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B8600A"/>
          <w:spacing w:val="60"/>
          <w:sz w:val="20"/>
          <w:szCs w:val="20"/>
        </w:rPr>
        <w:t xml:space="preserve">GBP  ·  TMS</w:t>
      </w:r>
    </w:p>
    <w:p>
      <w:pPr>
        <w:spacing w:after="0" w:before="240"/>
      </w:pPr>
      <w:r>
        <w:rPr>
          <w:b/>
          <w:bCs/>
          <w:color w:val="1F2937"/>
          <w:sz w:val="56"/>
          <w:szCs w:val="56"/>
        </w:rPr>
        <w:t xml:space="preserve">Módulo de entregas</w:t>
      </w:r>
    </w:p>
    <w:p>
      <w:pPr>
        <w:spacing w:after="300" w:before="100"/>
      </w:pPr>
      <w:r>
        <w:rPr>
          <w:color w:val="64748B"/>
          <w:sz w:val="26"/>
          <w:szCs w:val="26"/>
        </w:rPr>
        <w:t xml:space="preserve">Análisis funcional y revisión del diagrama UML</w:t>
      </w:r>
    </w:p>
    <w:p>
      <w:pPr>
        <w:pBdr>
          <w:bottom w:val="single" w:color="D8DEE7" w:sz="6" w:space="1"/>
        </w:pBdr>
        <w:spacing w:after="200" w:before="120"/>
      </w:pPr>
    </w:p>
    <w:p>
      <w:pPr>
        <w:spacing w:after="140" w:line="300"/>
      </w:pPr>
      <w:r>
        <w:rPr>
          <w:color w:val="64748B"/>
          <w:sz w:val="21"/>
          <w:szCs w:val="21"/>
        </w:rPr>
        <w:t xml:space="preserve">Documento de análisis previo a la construcción del módulo. Recoge las definiciones del negocio confirmadas por el área de transporte, corrige el diagrama UML propuesto y deja planteada la tabla que soportará las entregas dentro del TMS.</w:t>
      </w:r>
    </w:p>
    <w:p>
      <w:pPr>
        <w:spacing w:before="800"/>
      </w:pPr>
    </w:p>
    <w:tbl>
      <w:tblPr>
        <w:tblW w:type="dxa" w:w="9640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E2E8F0" w:sz="2"/>
          <w:insideV w:val="single" w:color="E2E8F0" w:sz="2"/>
        </w:tblBorders>
      </w:tblPr>
      <w:tblGrid>
        <w:gridCol w:w="2400"/>
        <w:gridCol w:w="7240"/>
      </w:tblGrid>
      <w:tr>
        <w:trPr>
          <w:tblHeader/>
        </w:trPr>
        <w:tc>
          <w:tcPr>
            <w:tcW w:type="dxa" w:w="240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4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Sistema</w:t>
            </w:r>
          </w:p>
        </w:tc>
        <w:tc>
          <w:tcPr>
            <w:tcW w:type="dxa" w:w="7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TMS Web — Gestión de transporte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Módulo</w:t>
            </w:r>
          </w:p>
        </w:tc>
        <w:tc>
          <w:tcPr>
            <w:tcW w:type="dxa" w:w="72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Entregas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Origen datos</w:t>
            </w:r>
          </w:p>
        </w:tc>
        <w:tc>
          <w:tcPr>
            <w:tcW w:type="dxa" w:w="7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SAP Business One (Service Layer)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2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DataTMS (productiva)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Estado</w:t>
            </w:r>
          </w:p>
        </w:tc>
        <w:tc>
          <w:tcPr>
            <w:tcW w:type="dxa" w:w="7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Análisis — pendiente de confirmar cuatro puntos abiertos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Fecha</w:t>
            </w:r>
          </w:p>
        </w:tc>
        <w:tc>
          <w:tcPr>
            <w:tcW w:type="dxa" w:w="72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9 de septiembre de 2026</w:t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b/>
          <w:bCs/>
          <w:color w:val="B8600A"/>
          <w:sz w:val="30"/>
          <w:szCs w:val="30"/>
        </w:rPr>
        <w:t xml:space="preserve">1. Qué hace el módulo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El módulo de entregas toma de SAP Business One los documentos de entrega ya generados y los pone en una tabla de trabajo para el supervisor de transporte. El supervisor arma viajes, asigna a cada viaje un piloto y un camión, y despacha. El piloto registra después el resultado de cada entrega desde la aplicación móvil que se construirá aparte.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El TMS no crea documentos en SAP ni interviene en la facturación: solo lee lo que SAP ya produjo y administra la logística de llevarlo al cliente.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Vocabulario acordado</w:t>
      </w:r>
    </w:p>
    <w:tbl>
      <w:tblPr>
        <w:tblW w:type="dxa" w:w="9640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E2E8F0" w:sz="2"/>
          <w:insideV w:val="single" w:color="E2E8F0" w:sz="2"/>
        </w:tblBorders>
      </w:tblPr>
      <w:tblGrid>
        <w:gridCol w:w="1900"/>
        <w:gridCol w:w="7740"/>
      </w:tblGrid>
      <w:tr>
        <w:trPr>
          <w:tblHeader/>
        </w:trPr>
        <w:tc>
          <w:tcPr>
            <w:tcW w:type="dxa" w:w="190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74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 aquí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Orden de compra</w:t>
            </w:r>
          </w:p>
        </w:tc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El número de compra que el cliente asigna a su pedido. Viaja en SAP como referencia del cliente (NumAtCard) y es el número por el que el cliente reconoce el envío.</w:t>
            </w:r>
          </w:p>
        </w:tc>
      </w:tr>
      <w:tr>
        <w:tc>
          <w:tcPr>
            <w:tcW w:type="dxa" w:w="19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Entrega</w:t>
            </w:r>
          </w:p>
        </w:tc>
        <w:tc>
          <w:tcPr>
            <w:tcW w:type="dxa" w:w="77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El documento de salida de mercadería de SAP (ODLN, tipo 15). Es la unidad de trabajo del módulo: una fila del TMS por cada entrega de SAP.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Boleta</w:t>
            </w:r>
          </w:p>
        </w:tc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El papel impreso de esa entrega, el que el piloto lleva físicamente y el cliente firma al recibir.</w:t>
            </w:r>
          </w:p>
        </w:tc>
      </w:tr>
      <w:tr>
        <w:tc>
          <w:tcPr>
            <w:tcW w:type="dxa" w:w="19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Factura</w:t>
            </w:r>
          </w:p>
        </w:tc>
        <w:tc>
          <w:tcPr>
            <w:tcW w:type="dxa" w:w="77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El documento fiscal (OINV, tipo 13) que emite el facturador en SAP. Sin factura la entrega no sale.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Viaje</w:t>
            </w:r>
          </w:p>
        </w:tc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Un conjunto de entregas asignadas a un mismo piloto con un mismo camión, para recorrer en una salida.</w:t>
            </w:r>
          </w:p>
        </w:tc>
      </w:tr>
      <w:tr>
        <w:tc>
          <w:tcPr>
            <w:tcW w:type="dxa" w:w="19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Supervisor de transporte</w:t>
            </w:r>
          </w:p>
        </w:tc>
        <w:tc>
          <w:tcPr>
            <w:tcW w:type="dxa" w:w="77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Quien decide qué entregas van en cada viaje, con qué piloto y en qué camión.</w:t>
            </w:r>
          </w:p>
        </w:tc>
      </w:tr>
    </w:tbl>
    <w:p>
      <w:pPr>
        <w:spacing w:before="200"/>
      </w:pPr>
    </w:p>
    <w:p>
      <w:pPr>
        <w:spacing w:after="140" w:line="300"/>
      </w:pPr>
      <w:r>
        <w:rPr>
          <w:b/>
          <w:bCs/>
          <w:color w:val="B8600A"/>
          <w:sz w:val="21"/>
          <w:szCs w:val="21"/>
        </w:rPr>
        <w:t xml:space="preserve">Supuesto por confirmar. </w:t>
      </w:r>
      <w:r>
        <w:rPr>
          <w:color w:val="1F2937"/>
          <w:sz w:val="21"/>
          <w:szCs w:val="21"/>
        </w:rPr>
        <w:t xml:space="preserve">En este documento «orden de compra» se interpreta como la orden de compra del cliente guardada en el campo NumAtCard del pedido de venta de SAP. Si en realidad se refiere a una orden de compra propia de GBP a un proveedor (tabla OPOR, tipo 22), el campo cambia de origen y hay que revisar el punto 4.</w:t>
      </w:r>
    </w:p>
    <w:p>
      <w:pPr>
        <w:pStyle w:val="Heading1"/>
        <w:spacing w:after="180" w:before="340"/>
      </w:pPr>
      <w:r>
        <w:rPr>
          <w:b/>
          <w:bCs/>
          <w:color w:val="B8600A"/>
          <w:sz w:val="30"/>
          <w:szCs w:val="30"/>
        </w:rPr>
        <w:t xml:space="preserve">2. Casos de uso corregidos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El diagrama propuesto colocaba al facturador como actor del TMS y dibujaba a SAP como si fuera un módulo más del sistema. Ninguna de las dos cosas corresponde a lo que se acordó. La versión corregida marca tres límites: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1F2937"/>
          <w:sz w:val="21"/>
          <w:szCs w:val="21"/>
        </w:rPr>
        <w:t xml:space="preserve">El facturador queda fuera de la frontera del TMS. Trabaja únicamente dentro de SAP y no ve información del TMS, pero el módulo depende de que él emita la factura: mientras no exista, la entrega no puede despacharse.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1F2937"/>
          <w:sz w:val="21"/>
          <w:szCs w:val="21"/>
        </w:rPr>
        <w:t xml:space="preserve">SAP Business One se dibuja como sistema externo, no como caso de uso. El TMS lo consulta; no lo opera.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1F2937"/>
          <w:sz w:val="21"/>
          <w:szCs w:val="21"/>
        </w:rPr>
        <w:t xml:space="preserve">TMS Móvil aparece como frontera aparte, en línea discontinua, porque es una aplicación distinta que se construirá después sobre estas mismas tablas.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Figura 1. Casos de uso del módulo. El facturador y SAP quedan fuera de la frontera del TMS Web.</w:t>
      </w:r>
    </w:p>
    <w:p>
      <w:pPr>
        <w:pStyle w:val="Heading1"/>
        <w:spacing w:after="180" w:before="340"/>
      </w:pPr>
      <w:r>
        <w:rPr>
          <w:b/>
          <w:bCs/>
          <w:color w:val="B8600A"/>
          <w:sz w:val="30"/>
          <w:szCs w:val="30"/>
        </w:rPr>
        <w:t xml:space="preserve">3. La cadena documental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Los tres documentos que menciona el negocio no son alternativas: son eslabones de una misma cadena dentro de SAP. Entender el orden evita duplicar campos en la tabla del TMS.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Figura 2. De la orden de compra del cliente a la fila del TMS. La entrega es la unidad de trabajo; la orden de compra y la factura se guardan como número de referencia.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Se guardan los tres números en la misma fila porque cada uno sirve a un interlocutor distinto: el número de entrega identifica el documento dentro de la operación, la orden de compra es lo que el cliente pregunta cuando llama, y el número de factura es lo que se cobra.</w:t>
      </w:r>
    </w:p>
    <w:p>
      <w:pPr>
        <w:pStyle w:val="Heading1"/>
        <w:spacing w:after="180" w:before="340"/>
      </w:pPr>
      <w:r>
        <w:rPr>
          <w:b/>
          <w:bCs/>
          <w:color w:val="B8600A"/>
          <w:sz w:val="30"/>
          <w:szCs w:val="30"/>
        </w:rPr>
        <w:t xml:space="preserve">4. Modelo de datos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El punto que más cambia respecto del diagrama original es la relación entre entrega y viaje. En la propuesta inicial toda entrega pertenecía a un viaje. En la operación real una entrega recién sincronizada de SAP existe sin viaje: está esperando en la tabla del supervisor a que alguien la asigne. Por eso la cardinalidad es 0..1, no 1.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Figura 3. Modelo de dominio. Unidad y usuario ya existen en el TMS; entrega y viaje son lo nuevo.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Tabla propuesta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Se propone una sola tabla nueva para el módulo, siguiendo la convención del proyecto tbl_gbp_tms_*. No se descompone en líneas de detalle porque el TMS no necesita el detalle de artículos: la unidad de decisión logística es el documento completo.</w:t>
      </w:r>
    </w:p>
    <w:tbl>
      <w:tblPr>
        <w:tblW w:type="dxa" w:w="9640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E2E8F0" w:sz="2"/>
          <w:insideV w:val="single" w:color="E2E8F0" w:sz="2"/>
        </w:tblBorders>
      </w:tblPr>
      <w:tblGrid>
        <w:gridCol w:w="2300"/>
        <w:gridCol w:w="1700"/>
        <w:gridCol w:w="5640"/>
      </w:tblGrid>
      <w:tr>
        <w:trPr>
          <w:tblHeader/>
        </w:trPr>
        <w:tc>
          <w:tcPr>
            <w:tcW w:type="dxa" w:w="230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70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64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id_entrega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Llave primaria interna.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sap_doc_entry</w:t>
            </w:r>
          </w:p>
        </w:tc>
        <w:tc>
          <w:tcPr>
            <w:tcW w:type="dxa" w:w="1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56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Identificador interno de SAP. Es la llave real de sincronización: único.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sap_doc_num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Número visible de la entrega. Es el número de boleta que lleva el piloto.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sap_orden_compra</w:t>
            </w:r>
          </w:p>
        </w:tc>
        <w:tc>
          <w:tcPr>
            <w:tcW w:type="dxa" w:w="1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6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Orden de compra del cliente. Referencia con la que el cliente reconoce el envío.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sap_factura_num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int null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Número de factura. Nulo mientras el facturador no la emita.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cliente_codigo</w:t>
            </w:r>
          </w:p>
        </w:tc>
        <w:tc>
          <w:tcPr>
            <w:tcW w:type="dxa" w:w="1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6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Código del cliente en SAP.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cliente_nombre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Nombre del cliente, copiado para no depender de SAP al listar.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direccion</w:t>
            </w:r>
          </w:p>
        </w:tc>
        <w:tc>
          <w:tcPr>
            <w:tcW w:type="dxa" w:w="1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56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Dirección de entrega tal como viene del documento.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municipio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Sirve para agrupar entregas cercanas al armar el viaje.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peso_kg</w:t>
            </w:r>
          </w:p>
        </w:tc>
        <w:tc>
          <w:tcPr>
            <w:tcW w:type="dxa" w:w="1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56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Peso total. Se compara contra la capacidad del camión.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monto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Valor del documento, para control.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fecha_documento</w:t>
            </w:r>
          </w:p>
        </w:tc>
        <w:tc>
          <w:tcPr>
            <w:tcW w:type="dxa" w:w="1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56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Fecha con la que SAP emitió la entrega.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estado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Estado dentro del TMS. Ver punto 5.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id_viaje</w:t>
            </w:r>
          </w:p>
        </w:tc>
        <w:tc>
          <w:tcPr>
            <w:tcW w:type="dxa" w:w="1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int null</w:t>
            </w:r>
          </w:p>
        </w:tc>
        <w:tc>
          <w:tcPr>
            <w:tcW w:type="dxa" w:w="56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Viaje al que se asignó. Nulo mientras esté pendiente.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fecha_sincronizacion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datetime2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Cuándo se trajo o actualizó desde SAP.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activo</w:t>
            </w:r>
          </w:p>
        </w:tc>
        <w:tc>
          <w:tcPr>
            <w:tcW w:type="dxa" w:w="1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bit</w:t>
            </w:r>
          </w:p>
        </w:tc>
        <w:tc>
          <w:tcPr>
            <w:tcW w:type="dxa" w:w="56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Baja lógica, igual que en el resto del sistema.</w:t>
            </w:r>
          </w:p>
        </w:tc>
      </w:tr>
    </w:tbl>
    <w:p>
      <w:pPr>
        <w:spacing w:before="200"/>
      </w:pPr>
    </w:p>
    <w:p>
      <w:pPr>
        <w:spacing w:after="100" w:line="300"/>
      </w:pPr>
      <w:r>
        <w:rPr>
          <w:color w:val="1F2937"/>
          <w:sz w:val="21"/>
          <w:szCs w:val="21"/>
        </w:rPr>
        <w:t xml:space="preserve">Dos reglas de integridad que conviene dejar en la base y no en el código: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1F2937"/>
          <w:sz w:val="21"/>
          <w:szCs w:val="21"/>
        </w:rPr>
        <w:t xml:space="preserve">Índice único sobre sap_doc_entry. Es lo que hace que sincronizar dos veces actualice la fila en vez de duplicarla.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1F2937"/>
          <w:sz w:val="21"/>
          <w:szCs w:val="21"/>
        </w:rPr>
        <w:t xml:space="preserve">Restricción que impida asignar a un viaje una entrega sin factura. La operación no admite despachar mercadería sin documento fiscal, así que el motor debe rechazarlo aunque la pantalla lo permitiera por error.</w:t>
      </w:r>
    </w:p>
    <w:p>
      <w:pPr>
        <w:pStyle w:val="Heading1"/>
        <w:spacing w:after="180" w:before="340"/>
      </w:pPr>
      <w:r>
        <w:rPr>
          <w:b/>
          <w:bCs/>
          <w:color w:val="B8600A"/>
          <w:sz w:val="30"/>
          <w:szCs w:val="30"/>
        </w:rPr>
        <w:t xml:space="preserve">5. Ciclo de vida de una entrega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Se retira el estado PARCIAL que aparecía en la propuesta original: se confirmó que no se parcializan entregas. Una entrega se entrega completa o se rechaza.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Figura 4. Estados de una entrega. El paso de SIN_FACTURA a PENDIENTE lo dispara el facturador desde SAP, no el TMS.</w:t>
      </w:r>
    </w:p>
    <w:tbl>
      <w:tblPr>
        <w:tblW w:type="dxa" w:w="9640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E2E8F0" w:sz="2"/>
          <w:insideV w:val="single" w:color="E2E8F0" w:sz="2"/>
        </w:tblBorders>
      </w:tblPr>
      <w:tblGrid>
        <w:gridCol w:w="1750"/>
        <w:gridCol w:w="5290"/>
        <w:gridCol w:w="2600"/>
      </w:tblGrid>
      <w:tr>
        <w:trPr>
          <w:tblHeader/>
        </w:trPr>
        <w:tc>
          <w:tcPr>
            <w:tcW w:type="dxa" w:w="175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29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260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lo provoca</w:t>
            </w:r>
          </w:p>
        </w:tc>
      </w:tr>
      <w:t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SIN_FACTURA</w:t>
            </w:r>
          </w:p>
        </w:tc>
        <w:tc>
          <w:tcPr>
            <w:tcW w:type="dxa" w:w="529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Llegó de SAP pero todavía no tiene factura. No puede asignarse.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Sincronización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PENDIENTE</w:t>
            </w:r>
          </w:p>
        </w:tc>
        <w:tc>
          <w:tcPr>
            <w:tcW w:type="dxa" w:w="529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Ya tiene factura y espera que la asignen a un viaje.</w:t>
            </w:r>
          </w:p>
        </w:tc>
        <w:tc>
          <w:tcPr>
            <w:tcW w:type="dxa" w:w="26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Facturador (en SAP)</w:t>
            </w:r>
          </w:p>
        </w:tc>
      </w:tr>
      <w:t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ASIGNADA</w:t>
            </w:r>
          </w:p>
        </w:tc>
        <w:tc>
          <w:tcPr>
            <w:tcW w:type="dxa" w:w="529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Forma parte de un viaje que aún no sale.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Supervisor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EN_RUTA</w:t>
            </w:r>
          </w:p>
        </w:tc>
        <w:tc>
          <w:tcPr>
            <w:tcW w:type="dxa" w:w="529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El viaje fue despachado y va en camino.</w:t>
            </w:r>
          </w:p>
        </w:tc>
        <w:tc>
          <w:tcPr>
            <w:tcW w:type="dxa" w:w="26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Supervisor</w:t>
            </w:r>
          </w:p>
        </w:tc>
      </w:tr>
      <w:t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ENTREGADA</w:t>
            </w:r>
          </w:p>
        </w:tc>
        <w:tc>
          <w:tcPr>
            <w:tcW w:type="dxa" w:w="529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El cliente la recibió y firmó la boleta.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Piloto (TMS Móvil)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RECHAZADA</w:t>
            </w:r>
          </w:p>
        </w:tc>
        <w:tc>
          <w:tcPr>
            <w:tcW w:type="dxa" w:w="529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El cliente no la recibió. Regresa a bodega.</w:t>
            </w:r>
          </w:p>
        </w:tc>
        <w:tc>
          <w:tcPr>
            <w:tcW w:type="dxa" w:w="26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Piloto (TMS Móvil)</w:t>
            </w:r>
          </w:p>
        </w:tc>
      </w:tr>
      <w:t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ANULADA</w:t>
            </w:r>
          </w:p>
        </w:tc>
        <w:tc>
          <w:tcPr>
            <w:tcW w:type="dxa" w:w="529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SAP canceló el documento antes de que saliera.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Sincronización</w:t>
            </w:r>
          </w:p>
        </w:tc>
      </w:tr>
    </w:tbl>
    <w:p>
      <w:pPr>
        <w:spacing w:before="200"/>
      </w:pPr>
    </w:p>
    <w:p>
      <w:pPr>
        <w:spacing w:after="140" w:line="300"/>
      </w:pPr>
      <w:r>
        <w:rPr>
          <w:color w:val="1F2937"/>
          <w:sz w:val="21"/>
          <w:szCs w:val="21"/>
        </w:rPr>
        <w:t xml:space="preserve">Mientras la entrega está en ASIGNADA el supervisor puede quitarla del viaje y devolverla a PENDIENTE. Una vez en EN_RUTA ya no: el camión salió y el cambio tendría que registrarse como rechazo.</w:t>
      </w:r>
    </w:p>
    <w:p>
      <w:pPr>
        <w:pStyle w:val="Heading1"/>
        <w:spacing w:after="180" w:before="340"/>
      </w:pPr>
      <w:r>
        <w:rPr>
          <w:b/>
          <w:bCs/>
          <w:color w:val="B8600A"/>
          <w:sz w:val="30"/>
          <w:szCs w:val="30"/>
        </w:rPr>
        <w:t xml:space="preserve">6. Cómo asigna el supervisor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El flujo que se describió en la reunión es de dos pasos y así debe construirse la pantalla: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1F2937"/>
          <w:sz w:val="21"/>
          <w:szCs w:val="21"/>
        </w:rPr>
        <w:t xml:space="preserve">El supervisor ve una tabla con todas las entregas pendientes —cliente, municipio, peso, monto, orden de compra— y selecciona un grupo que tenga sentido recorrer junto. Ese grupo se convierte en un viaje.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1F2937"/>
          <w:sz w:val="21"/>
          <w:szCs w:val="21"/>
        </w:rPr>
        <w:t xml:space="preserve">Al viaje le asigna un piloto y un camión. El criterio es del supervisor; el sistema solo advierte cuando el peso del grupo supera la capacidad de la unidad o cuando el piloto o el camión ya están ocupados en otro viaje del mismo día.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El sistema no propone agrupaciones automáticas. Se confirmó que la decisión es del supervisor y el módulo debe respetarla; cualquier optimización de rutas queda para una etapa posterior.</w:t>
      </w:r>
    </w:p>
    <w:p>
      <w:pPr>
        <w:pStyle w:val="Heading1"/>
        <w:spacing w:after="180" w:before="340"/>
      </w:pPr>
      <w:r>
        <w:rPr>
          <w:b/>
          <w:bCs/>
          <w:color w:val="B8600A"/>
          <w:sz w:val="30"/>
          <w:szCs w:val="30"/>
        </w:rPr>
        <w:t xml:space="preserve">7. Puntos abiertos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Cuatro decisiones faltan para poder empezar a construir. Ninguna bloquea el diseño de la tabla, pero sí el comportamiento del módulo.</w:t>
      </w:r>
    </w:p>
    <w:tbl>
      <w:tblPr>
        <w:tblW w:type="dxa" w:w="9640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E2E8F0" w:sz="2"/>
          <w:insideV w:val="single" w:color="E2E8F0" w:sz="2"/>
        </w:tblBorders>
      </w:tblPr>
      <w:tblGrid>
        <w:gridCol w:w="500"/>
        <w:gridCol w:w="4640"/>
        <w:gridCol w:w="4500"/>
      </w:tblGrid>
      <w:tr>
        <w:trPr>
          <w:tblHeader/>
        </w:trPr>
        <w:tc>
          <w:tcPr>
            <w:tcW w:type="dxa" w:w="50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4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500"/>
            <w:shd w:fill="B8600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4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¿«Orden de compra» es la referencia del cliente (NumAtCard) o una orden de compra a proveedor (OPOR)?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Cambia de dónde se lee el campo sap_orden_compra.</w:t>
            </w:r>
          </w:p>
        </w:tc>
      </w:tr>
      <w:tr>
        <w:tc>
          <w:tcPr>
            <w:tcW w:type="dxa" w:w="5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46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¿Qué pasa si SAP anula una entrega que ya está asignada a un viaje?</w:t>
            </w:r>
          </w:p>
        </w:tc>
        <w:tc>
          <w:tcPr>
            <w:tcW w:type="dxa" w:w="45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Define si el sistema la retira sola del viaje y avisa, o si bloquea la anulación en pantalla.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4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¿La sincronización con SAP es manual o automática?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Si es automática hay que definir cada cuánto; si es manual, quién tiene el botón.</w:t>
            </w:r>
          </w:p>
        </w:tc>
      </w:tr>
      <w:tr>
        <w:tc>
          <w:tcPr>
            <w:tcW w:type="dxa" w:w="5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¿Un viaje puede llevar entregas de fechas distintas?</w:t>
            </w:r>
          </w:p>
        </w:tc>
        <w:tc>
          <w:tcPr>
            <w:tcW w:type="dxa" w:w="45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F2937"/>
                <w:sz w:val="19"/>
                <w:szCs w:val="19"/>
              </w:rPr>
              <w:t xml:space="preserve">Determina si la fecha del documento restringe el armado del viaje.</w:t>
            </w:r>
          </w:p>
        </w:tc>
      </w:tr>
    </w:tbl>
    <w:p>
      <w:pPr>
        <w:spacing w:before="260"/>
      </w:pPr>
    </w:p>
    <w:p>
      <w:pPr>
        <w:pBdr>
          <w:bottom w:val="single" w:color="D8DEE7" w:sz="6" w:space="1"/>
        </w:pBdr>
        <w:spacing w:after="200" w:before="120"/>
      </w:pPr>
    </w:p>
    <w:p>
      <w:pPr>
        <w:spacing w:after="140" w:line="300"/>
      </w:pPr>
      <w:r>
        <w:rPr>
          <w:color w:val="64748B"/>
          <w:sz w:val="21"/>
          <w:szCs w:val="21"/>
        </w:rPr>
        <w:t xml:space="preserve">Con estas cuatro respuestas el módulo puede pasar a construcción: primero los procedimientos almacenados de sincronización y consulta, después la API y por último la pantalla del supervisor. La aplicación móvil del piloto consume estas mismas tablas sin cambios.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73abf7bfd58f172123eb70a6305aa337fe1633.png"/><Relationship Id="rId8" Type="http://schemas.openxmlformats.org/officeDocument/2006/relationships/image" Target="media/acffc89fa1fe5a27038628b45bcea59e20ac35de.png"/><Relationship Id="rId9" Type="http://schemas.openxmlformats.org/officeDocument/2006/relationships/image" Target="media/2506a652b45d22a95264496f6b38694e358a964f.png"/><Relationship Id="rId10" Type="http://schemas.openxmlformats.org/officeDocument/2006/relationships/image" Target="media/318bdb41e356f813c8bfd239b7165fb59208232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de entregas — Análisis funcional</dc:title>
  <dc:creator>GBP — TMS</dc:creator>
  <dc:description>Análisis del módulo de entregas del TMS y revisión del diagrama UML.</dc:description>
  <cp:lastModifiedBy>Un-named</cp:lastModifiedBy>
  <cp:revision>1</cp:revision>
  <dcterms:created xsi:type="dcterms:W3CDTF">2026-09-09T17:12:29.945Z</dcterms:created>
  <dcterms:modified xsi:type="dcterms:W3CDTF">2026-09-09T17:12:29.953Z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