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Working Title</w:t>
      </w:r>
    </w:p>
    <w:p>
      <w:pPr>
        <w:pStyle w:val="Heading1"/>
      </w:pPr>
      <w:r>
        <w:t>Chapter One: The Archive</w:t>
      </w:r>
    </w:p>
    <w:p>
      <w:r>
        <w:t xml:space="preserve">The archive opens with a </w:t>
      </w:r>
      <w:r>
        <w:rPr>
          <w:b/>
        </w:rPr>
        <w:t>bold claim</w:t>
      </w:r>
      <w:r>
        <w:t xml:space="preserve"> and an </w:t>
      </w:r>
      <w:r>
        <w:rPr>
          <w:i/>
        </w:rPr>
        <w:t>italic aside</w:t>
      </w:r>
      <w:r>
        <w:t xml:space="preserve"> before the first note.</w:t>
      </w:r>
      <w:r>
        <w:rPr>
          <w:rStyle w:val="FootnoteReference"/>
          <w:vertAlign w:val="superscript"/>
        </w:rPr>
        <w:footnoteReference w:id="1"/>
      </w:r>
      <w:r>
        <w:t xml:space="preserve"> The argument continues.</w:t>
      </w:r>
      <w:r>
        <w:rPr>
          <w:rStyle w:val="FootnoteReference"/>
          <w:vertAlign w:val="superscript"/>
        </w:rPr>
        <w:footnoteReference w:id="2"/>
      </w:r>
      <w:r>
        <w:t xml:space="preserve"/>
      </w:r>
    </w:p>
    <w:p>
      <w:pPr>
        <w:pStyle w:val="Heading2"/>
      </w:pPr>
      <w:r>
        <w:t>Sources</w:t>
      </w:r>
    </w:p>
    <w:p>
      <w:pPr>
        <w:pStyle w:val="ListBullet"/>
      </w:pPr>
      <w:r>
        <w:t>Letters, 1890 to 1910</w:t>
      </w:r>
    </w:p>
    <w:p>
      <w:pPr>
        <w:pStyle w:val="ListBullet"/>
      </w:pPr>
      <w:r>
        <w:t>Parish registers</w:t>
      </w:r>
    </w:p>
    <w:p>
      <w:pPr>
        <w:pStyle w:val="ListBullet"/>
      </w:pPr>
      <w:r>
        <w:t>Newspapers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</w:t>
            </w:r>
          </w:p>
        </w:tc>
        <w:tc>
          <w:tcPr>
            <w:tcW w:type="dxa" w:w="4320"/>
          </w:tcPr>
          <w:p>
            <w:r>
              <w:t>Letters</w:t>
            </w:r>
          </w:p>
        </w:tc>
      </w:tr>
      <w:tr>
        <w:tc>
          <w:tcPr>
            <w:tcW w:type="dxa" w:w="4320"/>
          </w:tcPr>
          <w:p>
            <w:r>
              <w:t>1890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p>
      <w:r>
        <w:t>Closing paragraph of the chapter.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 Jane Smith, The Archive (Oxford: Clarendon Press, 2019), 45.</w:t>
      </w:r>
    </w:p>
  </w:footnote>
  <w:footnote w:id="2">
    <w:p>
      <w:pPr>
        <w:pStyle w:val="FootnoteText"/>
      </w:pPr>
      <w:r>
        <w:rPr>
          <w:vertAlign w:val="superscript"/>
        </w:rPr>
        <w:footnoteRef/>
      </w:r>
      <w:r>
        <w:t xml:space="preserve"> Ibid., 52.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n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