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666666"/>
          <w:sz w:val="20"/>
          <w:szCs w:val="20"/>
        </w:rPr>
        <w:t xml:space="preserve">MAJOR PROJECT SYNOPSIS</w:t>
      </w:r>
    </w:p>
    <w:p>
      <w:pPr>
        <w:spacing w:after="60"/>
        <w:jc w:val="center"/>
      </w:pPr>
      <w:r>
        <w:rPr>
          <w:rFonts w:ascii="Calibri" w:cs="Calibri" w:eastAsia="Calibri" w:hAnsi="Calibri"/>
          <w:b/>
          <w:bCs/>
          <w:color w:val="1F3864"/>
          <w:sz w:val="34"/>
          <w:szCs w:val="34"/>
        </w:rPr>
        <w:t xml:space="preserve">Zero-Knowledge Proof-of-Compute (ZK-PoC)</w:t>
      </w:r>
    </w:p>
    <w:p>
      <w:pPr>
        <w:pBdr>
          <w:bottom w:val="single" w:color="1F3864" w:sz="12" w:space="8"/>
        </w:pBdr>
        <w:spacing w:after="240"/>
        <w:jc w:val="center"/>
      </w:pPr>
      <w:r>
        <w:rPr>
          <w:rFonts w:ascii="Calibri" w:cs="Calibri" w:eastAsia="Calibri" w:hAnsi="Calibri"/>
          <w:i/>
          <w:iCs/>
          <w:sz w:val="22"/>
          <w:szCs w:val="22"/>
        </w:rPr>
        <w:t xml:space="preserve">A Consent-Governed, Verifiable Ambient Compute Bartering Framework as an Alternative to Surveillance-Based Digital Advertising</w:t>
      </w:r>
    </w:p>
    <w:p>
      <w:pPr>
        <w:pStyle w:val="Heading1"/>
        <w:pBdr>
          <w:bottom w:val="single" w:color="1F3864" w:sz="8" w:space="4"/>
        </w:pBdr>
        <w:spacing w:after="160" w:before="320"/>
      </w:pPr>
      <w:r>
        <w:rPr>
          <w:rFonts w:ascii="Calibri" w:cs="Calibri" w:eastAsia="Calibri" w:hAnsi="Calibri"/>
          <w:b/>
          <w:bCs/>
          <w:color w:val="1F3864"/>
          <w:sz w:val="26"/>
          <w:szCs w:val="26"/>
        </w:rPr>
        <w:t xml:space="preserve">1. Project Title</w:t>
      </w:r>
    </w:p>
    <w:p>
      <w:pPr>
        <w:spacing w:after="120" w:line="276"/>
      </w:pPr>
      <w:r>
        <w:rPr>
          <w:rFonts w:ascii="Calibri" w:cs="Calibri" w:eastAsia="Calibri" w:hAnsi="Calibri"/>
          <w:sz w:val="21"/>
          <w:szCs w:val="21"/>
        </w:rPr>
        <w:t xml:space="preserve">Zero-Knowledge Proof-of-Compute (ZK-PoC): A Consent-Governed, Verifiable Ambient Compute Bartering Framework for Web Monetisation.</w:t>
      </w:r>
    </w:p>
    <w:p>
      <w:pPr>
        <w:spacing w:after="120" w:line="276"/>
      </w:pPr>
      <w:r>
        <w:rPr>
          <w:rFonts w:ascii="Calibri" w:cs="Calibri" w:eastAsia="Calibri" w:hAnsi="Calibri"/>
          <w:b/>
          <w:bCs/>
          <w:sz w:val="21"/>
          <w:szCs w:val="21"/>
        </w:rPr>
        <w:t xml:space="preserve">Working sub-title for the panel: </w:t>
      </w:r>
      <w:r>
        <w:rPr>
          <w:rFonts w:ascii="Calibri" w:cs="Calibri" w:eastAsia="Calibri" w:hAnsi="Calibri"/>
          <w:sz w:val="21"/>
          <w:szCs w:val="21"/>
        </w:rPr>
        <w:t xml:space="preserve">“Can a user pay for premium content with verifiable, metered, consented spare compute instead of their attention or their data?”</w:t>
      </w:r>
    </w:p>
    <w:p>
      <w:pPr>
        <w:pStyle w:val="Heading1"/>
        <w:pBdr>
          <w:bottom w:val="single" w:color="1F3864" w:sz="8" w:space="4"/>
        </w:pBdr>
        <w:spacing w:after="160" w:before="320"/>
      </w:pPr>
      <w:r>
        <w:rPr>
          <w:rFonts w:ascii="Calibri" w:cs="Calibri" w:eastAsia="Calibri" w:hAnsi="Calibri"/>
          <w:b/>
          <w:bCs/>
          <w:color w:val="1F3864"/>
          <w:sz w:val="26"/>
          <w:szCs w:val="26"/>
        </w:rPr>
        <w:t xml:space="preserve">2. Problem Statement / Research Gap</w:t>
      </w:r>
    </w:p>
    <w:p>
      <w:pPr>
        <w:pStyle w:val="Heading2"/>
        <w:spacing w:after="100" w:before="220"/>
      </w:pPr>
      <w:r>
        <w:rPr>
          <w:rFonts w:ascii="Calibri" w:cs="Calibri" w:eastAsia="Calibri" w:hAnsi="Calibri"/>
          <w:b/>
          <w:bCs/>
          <w:color w:val="1F3864"/>
          <w:sz w:val="22"/>
          <w:szCs w:val="22"/>
        </w:rPr>
        <w:t xml:space="preserve">2.1 The monetisation trilemma</w:t>
      </w:r>
    </w:p>
    <w:p>
      <w:pPr>
        <w:spacing w:after="120" w:line="276"/>
      </w:pPr>
      <w:r>
        <w:rPr>
          <w:rFonts w:ascii="Calibri" w:cs="Calibri" w:eastAsia="Calibri" w:hAnsi="Calibri"/>
          <w:sz w:val="21"/>
          <w:szCs w:val="21"/>
        </w:rPr>
        <w:t xml:space="preserve">Today the open web is funded by exactly two mechanisms, and both are failing:</w:t>
      </w:r>
    </w:p>
    <w:p>
      <w:pPr>
        <w:pStyle w:val="ListParagraph"/>
        <w:numPr>
          <w:ilvl w:val="0"/>
          <w:numId w:val="2"/>
        </w:numPr>
        <w:spacing w:after="80" w:line="276"/>
      </w:pPr>
      <w:r>
        <w:rPr>
          <w:rFonts w:ascii="Calibri" w:cs="Calibri" w:eastAsia="Calibri" w:hAnsi="Calibri"/>
          <w:b/>
          <w:bCs/>
          <w:sz w:val="21"/>
          <w:szCs w:val="21"/>
        </w:rPr>
        <w:t xml:space="preserve">Surveillance advertising — </w:t>
      </w:r>
      <w:r>
        <w:rPr>
          <w:rFonts w:ascii="Calibri" w:cs="Calibri" w:eastAsia="Calibri" w:hAnsi="Calibri"/>
          <w:sz w:val="21"/>
          <w:szCs w:val="21"/>
        </w:rPr>
        <w:t xml:space="preserve">high yield, but structurally dependent on cross-site tracking. Third-party cookies are being deprecated across Safari, Firefox and Brave, and Google’s Privacy Sandbox replacements (Topics API, Protected Audience API) have been shown by multiple independent studies to leak re-identifiable interest signals while still delivering lower measured ad utility than the cookies they replace.</w:t>
      </w:r>
    </w:p>
    <w:p>
      <w:pPr>
        <w:pStyle w:val="ListParagraph"/>
        <w:numPr>
          <w:ilvl w:val="0"/>
          <w:numId w:val="2"/>
        </w:numPr>
        <w:spacing w:after="80" w:line="276"/>
      </w:pPr>
      <w:r>
        <w:rPr>
          <w:rFonts w:ascii="Calibri" w:cs="Calibri" w:eastAsia="Calibri" w:hAnsi="Calibri"/>
          <w:b/>
          <w:bCs/>
          <w:sz w:val="21"/>
          <w:szCs w:val="21"/>
        </w:rPr>
        <w:t xml:space="preserve">Hard paywalls — </w:t>
      </w:r>
      <w:r>
        <w:rPr>
          <w:rFonts w:ascii="Calibri" w:cs="Calibri" w:eastAsia="Calibri" w:hAnsi="Calibri"/>
          <w:sz w:val="21"/>
          <w:szCs w:val="21"/>
        </w:rPr>
        <w:t xml:space="preserve">privacy-safe, but they collapse reach, exclude low-income and emerging-market readers, and are unworkable for the long tail of publishers who cannot sustain a subscriber relationship.</w:t>
      </w:r>
    </w:p>
    <w:p>
      <w:pPr>
        <w:spacing w:after="120" w:line="276"/>
      </w:pPr>
      <w:r>
        <w:rPr>
          <w:rFonts w:ascii="Calibri" w:cs="Calibri" w:eastAsia="Calibri" w:hAnsi="Calibri"/>
          <w:sz w:val="21"/>
          <w:szCs w:val="21"/>
        </w:rPr>
        <w:t xml:space="preserve">A third payment rail is therefore needed: one that is non-identifying, frictionless, and does not require a payment instrument.</w:t>
      </w:r>
    </w:p>
    <w:p>
      <w:pPr>
        <w:pStyle w:val="Heading2"/>
        <w:spacing w:after="100" w:before="220"/>
      </w:pPr>
      <w:r>
        <w:rPr>
          <w:rFonts w:ascii="Calibri" w:cs="Calibri" w:eastAsia="Calibri" w:hAnsi="Calibri"/>
          <w:b/>
          <w:bCs/>
          <w:color w:val="1F3864"/>
          <w:sz w:val="22"/>
          <w:szCs w:val="22"/>
        </w:rPr>
        <w:t xml:space="preserve">2.2 The prior attempt and why it failed</w:t>
      </w:r>
    </w:p>
    <w:p>
      <w:pPr>
        <w:spacing w:after="120" w:line="276"/>
      </w:pPr>
      <w:r>
        <w:rPr>
          <w:rFonts w:ascii="Calibri" w:cs="Calibri" w:eastAsia="Calibri" w:hAnsi="Calibri"/>
          <w:sz w:val="21"/>
          <w:szCs w:val="21"/>
        </w:rPr>
        <w:t xml:space="preserve">Browser-based compute monetisation has been tried once, at scale, as in-browser cryptocurrency mining (Coinhive, JSEcoin, 2017–2019). It collapsed and is now classified almost universally as malware (“cryptojacking”). The failure was not one problem but three, and this project is scoped precisely against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shd w:fill="D9E2F3"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9"/>
                <w:szCs w:val="19"/>
              </w:rPr>
              <w:t xml:space="preserve">Failure mode of in-browser mining</w:t>
            </w:r>
          </w:p>
        </w:tc>
        <w:tc>
          <w:tcPr>
            <w:tcW w:type="dxa" w:w="3000"/>
            <w:shd w:fill="D9E2F3"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9"/>
                <w:szCs w:val="19"/>
              </w:rPr>
              <w:t xml:space="preserve">Why it failed</w:t>
            </w:r>
          </w:p>
        </w:tc>
        <w:tc>
          <w:tcPr>
            <w:tcW w:type="dxa" w:w="2960"/>
            <w:shd w:fill="D9E2F3"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9"/>
                <w:szCs w:val="19"/>
              </w:rPr>
              <w:t xml:space="preserve">What ZK-PoC changes</w:t>
            </w:r>
          </w:p>
        </w:tc>
      </w:tr>
      <w:tr>
        <w:tc>
          <w:tcPr>
            <w:tcW w:type="dxa" w:w="34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F1 — No consent</w:t>
            </w:r>
          </w:p>
        </w:tc>
        <w:tc>
          <w:tcPr>
            <w:tcW w:type="dxa" w:w="30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Scripts ran silently, drained CPU and battery, and were indistinguishable from malware. Detection research (MinerRay, MINOS, CJDetector) exists purely to kill it.</w:t>
            </w:r>
          </w:p>
        </w:tc>
        <w:tc>
          <w:tcPr>
            <w:tcW w:type="dxa" w:w="29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Explicit, machine-readable Compute Consent Manifest; a hard resource governor; one-click revocation; a live meter the user can watch.</w:t>
            </w:r>
          </w:p>
        </w:tc>
      </w:tr>
      <w:tr>
        <w:tc>
          <w:tcPr>
            <w:tcW w:type="dxa" w:w="34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F2 — The work had no external value</w:t>
            </w:r>
          </w:p>
        </w:tc>
        <w:tc>
          <w:tcPr>
            <w:tcW w:type="dxa" w:w="30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SHA-256/CryptoNight hashing produces no output anyone wants. Its only value is a lottery ticket, so the revenue per user-second is near zero.</w:t>
            </w:r>
          </w:p>
        </w:tc>
        <w:tc>
          <w:tcPr>
            <w:tcW w:type="dxa" w:w="29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Substitute market-priced useful work: neural-network inference shards, model-training gradients, render tiles, scientific kernels — work a buyer already pays for.</w:t>
            </w:r>
          </w:p>
        </w:tc>
      </w:tr>
      <w:tr>
        <w:tc>
          <w:tcPr>
            <w:tcW w:type="dxa" w:w="34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F3 — No verifiability</w:t>
            </w:r>
          </w:p>
        </w:tc>
        <w:tc>
          <w:tcPr>
            <w:tcW w:type="dxa" w:w="30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The orchestrator could not distinguish a genuine result from a fabricated one, so a client could free-ride by returning garbage and still claim access.</w:t>
            </w:r>
          </w:p>
        </w:tc>
        <w:tc>
          <w:tcPr>
            <w:tcW w:type="dxa" w:w="29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Cryptographic proof of correct execution (zkVM / zk-SNARK) plus redundant execution and probabilistic spot-auditing.</w:t>
            </w:r>
          </w:p>
        </w:tc>
      </w:tr>
    </w:tbl>
    <w:p>
      <w:pPr>
        <w:spacing w:after="160" w:line="276"/>
      </w:pPr>
      <w:r>
        <w:rPr>
          <w:rFonts w:ascii="Calibri" w:cs="Calibri" w:eastAsia="Calibri" w:hAnsi="Calibri"/>
          <w:sz w:val="21"/>
          <w:szCs w:val="21"/>
        </w:rPr>
        <w:t xml:space="preserve"/>
      </w:r>
    </w:p>
    <w:p>
      <w:pPr>
        <w:pStyle w:val="Heading2"/>
        <w:spacing w:after="100" w:before="220"/>
      </w:pPr>
      <w:r>
        <w:rPr>
          <w:rFonts w:ascii="Calibri" w:cs="Calibri" w:eastAsia="Calibri" w:hAnsi="Calibri"/>
          <w:b/>
          <w:bCs/>
          <w:color w:val="1F3864"/>
          <w:sz w:val="22"/>
          <w:szCs w:val="22"/>
        </w:rPr>
        <w:t xml:space="preserve">2.3 The precise research gap</w:t>
      </w:r>
    </w:p>
    <w:p>
      <w:pPr>
        <w:spacing w:after="120" w:line="276"/>
      </w:pPr>
      <w:r>
        <w:rPr>
          <w:rFonts w:ascii="Calibri" w:cs="Calibri" w:eastAsia="Calibri" w:hAnsi="Calibri"/>
          <w:b w:val="false"/>
          <w:bCs w:val="false"/>
          <w:sz w:val="21"/>
          <w:szCs w:val="21"/>
        </w:rPr>
        <w:t xml:space="preserve">Saad and Mohaisen (IEEE Transactions on Dependable and Secure Computing, 2024) construct an analytical model that evaluates in-browser mining as an alternative to online advertising and report a sizeable negative profit-and-loss gap, concluding the model is economically infeasible. </w:t>
      </w:r>
      <w:r>
        <w:rPr>
          <w:rFonts w:ascii="Calibri" w:cs="Calibri" w:eastAsia="Calibri" w:hAnsi="Calibri"/>
          <w:b/>
          <w:bCs/>
          <w:sz w:val="21"/>
          <w:szCs w:val="21"/>
        </w:rPr>
        <w:t xml:space="preserve">This result is the foundation of this project, not an objection to it.</w:t>
      </w:r>
    </w:p>
    <w:p>
      <w:pPr>
        <w:spacing w:after="120" w:line="276"/>
      </w:pPr>
      <w:r>
        <w:rPr>
          <w:rFonts w:ascii="Calibri" w:cs="Calibri" w:eastAsia="Calibri" w:hAnsi="Calibri"/>
          <w:sz w:val="21"/>
          <w:szCs w:val="21"/>
        </w:rPr>
        <w:t xml:space="preserve">Their model is measured against hash-based proof-of-work — i.e. failure mode F2. No published work has re-run that economic analysis after substituting useful, market-priced compute, and no published work combines all three fixes (consent + useful work + verifiability) into a single browser-native framework. Separately:</w:t>
      </w:r>
    </w:p>
    <w:p>
      <w:pPr>
        <w:pStyle w:val="ListParagraph"/>
        <w:numPr>
          <w:ilvl w:val="0"/>
          <w:numId w:val="2"/>
        </w:numPr>
        <w:spacing w:after="80" w:line="276"/>
      </w:pPr>
      <w:r>
        <w:rPr>
          <w:rFonts w:ascii="Calibri" w:cs="Calibri" w:eastAsia="Calibri" w:hAnsi="Calibri"/>
          <w:sz w:val="21"/>
          <w:szCs w:val="21"/>
        </w:rPr>
        <w:t xml:space="preserve">Volunteer-computing literature (BOINC, Wasimoff, Pando) solves distribution and sandboxing but assumes an altruistic donor and therefore ignores both settlement and adversarial verification.</w:t>
      </w:r>
    </w:p>
    <w:p>
      <w:pPr>
        <w:pStyle w:val="ListParagraph"/>
        <w:numPr>
          <w:ilvl w:val="0"/>
          <w:numId w:val="2"/>
        </w:numPr>
        <w:spacing w:after="80" w:line="276"/>
      </w:pPr>
      <w:r>
        <w:rPr>
          <w:rFonts w:ascii="Calibri" w:cs="Calibri" w:eastAsia="Calibri" w:hAnsi="Calibri"/>
          <w:sz w:val="21"/>
          <w:szCs w:val="21"/>
        </w:rPr>
        <w:t xml:space="preserve">Verifiable-computation literature (zk-SNARKs, IVC, zkML) solves integrity but assumes a datacentre-class prover with unbounded time — not a throttled browser tab on a thermally-limited laptop inside a six-minute session.</w:t>
      </w:r>
    </w:p>
    <w:p>
      <w:pPr>
        <w:pStyle w:val="ListParagraph"/>
        <w:numPr>
          <w:ilvl w:val="0"/>
          <w:numId w:val="2"/>
        </w:numPr>
        <w:spacing w:after="80" w:line="276"/>
      </w:pPr>
      <w:r>
        <w:rPr>
          <w:rFonts w:ascii="Calibri" w:cs="Calibri" w:eastAsia="Calibri" w:hAnsi="Calibri"/>
          <w:sz w:val="21"/>
          <w:szCs w:val="21"/>
        </w:rPr>
        <w:t xml:space="preserve">Neither literature addresses the reverse proof direction: proving to the user that the platform stayed within its declared resource budget and touched no local data.</w:t>
      </w:r>
    </w:p>
    <w:p>
      <w:pPr>
        <w:spacing w:after="120" w:line="276"/>
      </w:pPr>
      <w:r>
        <w:rPr>
          <w:rFonts w:ascii="Calibri" w:cs="Calibri" w:eastAsia="Calibri" w:hAnsi="Calibri"/>
          <w:b/>
          <w:bCs/>
          <w:sz w:val="21"/>
          <w:szCs w:val="21"/>
        </w:rPr>
        <w:t xml:space="preserve">Gap statement: </w:t>
      </w:r>
      <w:r>
        <w:rPr>
          <w:rFonts w:ascii="Calibri" w:cs="Calibri" w:eastAsia="Calibri" w:hAnsi="Calibri"/>
          <w:sz w:val="21"/>
          <w:szCs w:val="21"/>
        </w:rPr>
        <w:t xml:space="preserve">There is no consent-governed, resource-bounded, cryptographically verifiable framework for exchanging client-side spare compute for content access, and no empirical evaluation of whether such a framework is economically viable against real advertising yield on consumer hardware.</w:t>
      </w:r>
    </w:p>
    <w:p>
      <w:pPr>
        <w:pStyle w:val="Heading1"/>
        <w:pBdr>
          <w:bottom w:val="single" w:color="1F3864" w:sz="8" w:space="4"/>
        </w:pBdr>
        <w:spacing w:after="160" w:before="320"/>
      </w:pPr>
      <w:r>
        <w:rPr>
          <w:rFonts w:ascii="Calibri" w:cs="Calibri" w:eastAsia="Calibri" w:hAnsi="Calibri"/>
          <w:b/>
          <w:bCs/>
          <w:color w:val="1F3864"/>
          <w:sz w:val="26"/>
          <w:szCs w:val="26"/>
        </w:rPr>
        <w:t xml:space="preserve">3. Proposed Solution</w:t>
      </w:r>
    </w:p>
    <w:p>
      <w:pPr>
        <w:spacing w:after="120" w:line="276"/>
      </w:pPr>
      <w:r>
        <w:rPr>
          <w:rFonts w:ascii="Calibri" w:cs="Calibri" w:eastAsia="Calibri" w:hAnsi="Calibri"/>
          <w:sz w:val="21"/>
          <w:szCs w:val="21"/>
        </w:rPr>
        <w:t xml:space="preserve">ZK-PoC is a four-layer framework. A user opening a participating page is offered a compute barter instead of ads or a paywall; on acceptance, a sandboxed worker executes bounded shards of paid third-party workloads, returns results with cryptographic commitments, and earns compute-credits that unlock the content.</w:t>
      </w:r>
    </w:p>
    <w:p>
      <w:pPr>
        <w:pStyle w:val="Heading2"/>
        <w:spacing w:after="100" w:before="220"/>
      </w:pPr>
      <w:r>
        <w:rPr>
          <w:rFonts w:ascii="Calibri" w:cs="Calibri" w:eastAsia="Calibri" w:hAnsi="Calibri"/>
          <w:b/>
          <w:bCs/>
          <w:color w:val="1F3864"/>
          <w:sz w:val="22"/>
          <w:szCs w:val="22"/>
        </w:rPr>
        <w:t xml:space="preserve">3.1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D9E2F3"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9"/>
                <w:szCs w:val="19"/>
              </w:rPr>
              <w:t xml:space="preserve">Layer</w:t>
            </w:r>
          </w:p>
        </w:tc>
        <w:tc>
          <w:tcPr>
            <w:tcW w:type="dxa" w:w="3900"/>
            <w:shd w:fill="D9E2F3"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9"/>
                <w:szCs w:val="19"/>
              </w:rPr>
              <w:t xml:space="preserve">Responsibility</w:t>
            </w:r>
          </w:p>
        </w:tc>
        <w:tc>
          <w:tcPr>
            <w:tcW w:type="dxa" w:w="3560"/>
            <w:shd w:fill="D9E2F3"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9"/>
                <w:szCs w:val="19"/>
              </w:rPr>
              <w:t xml:space="preserve">Key mechanism</w:t>
            </w:r>
          </w:p>
        </w:tc>
      </w:tr>
      <w:tr>
        <w:tc>
          <w:tcPr>
            <w:tcW w:type="dxa" w:w="1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L1 — Consent &amp; Metering</w:t>
            </w:r>
          </w:p>
        </w:tc>
        <w:tc>
          <w:tcPr>
            <w:tcW w:type="dxa" w:w="3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Obtain, display and enforce informed consent. Show live CPU/GPU share, energy estimate and credits earned. Allow instant revocation.</w:t>
            </w:r>
          </w:p>
        </w:tc>
        <w:tc>
          <w:tcPr>
            <w:tcW w:type="dxa" w:w="35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Compute Consent Manifest (CCM): a signed declaration of workload class, resource ceiling, duration and data-access scope.</w:t>
            </w:r>
          </w:p>
        </w:tc>
      </w:tr>
      <w:tr>
        <w:tc>
          <w:tcPr>
            <w:tcW w:type="dxa" w:w="1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L2 — Sandboxed Execution</w:t>
            </w:r>
          </w:p>
        </w:tc>
        <w:tc>
          <w:tcPr>
            <w:tcW w:type="dxa" w:w="3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Run the shard inside the browser without degrading user experience. Enforce the ≤5% ceiling, yield on interaction, throttle on battery/thermal signals.</w:t>
            </w:r>
          </w:p>
        </w:tc>
        <w:tc>
          <w:tcPr>
            <w:tcW w:type="dxa" w:w="35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WebAssembly + WebGPU compute shaders in a dedicated Worker; idle-frame scheduling; a resource governor that pre-empts the task.</w:t>
            </w:r>
          </w:p>
        </w:tc>
      </w:tr>
      <w:tr>
        <w:tc>
          <w:tcPr>
            <w:tcW w:type="dxa" w:w="1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L3 — Verification</w:t>
            </w:r>
          </w:p>
        </w:tc>
        <w:tc>
          <w:tcPr>
            <w:tcW w:type="dxa" w:w="3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Prevent free-riding and result forgery without destroying the economics.</w:t>
            </w:r>
          </w:p>
        </w:tc>
        <w:tc>
          <w:tcPr>
            <w:tcW w:type="dxa" w:w="35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Tiered: (a) redundant execution + consensus on the bulk of shards; (b) zkVM proof of correct execution on a random audited sample; (c) one recursive/folded proof at settlement.</w:t>
            </w:r>
          </w:p>
        </w:tc>
      </w:tr>
      <w:tr>
        <w:tc>
          <w:tcPr>
            <w:tcW w:type="dxa" w:w="1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L4 — Settlement</w:t>
            </w:r>
          </w:p>
        </w:tc>
        <w:tc>
          <w:tcPr>
            <w:tcW w:type="dxa" w:w="3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Price the work, credit the user, unlock the content, pay the publisher.</w:t>
            </w:r>
          </w:p>
        </w:tc>
        <w:tc>
          <w:tcPr>
            <w:tcW w:type="dxa" w:w="35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Compute-credit ledger with a smart-contract verifier; content gate released against accumulated credits.</w:t>
            </w:r>
          </w:p>
        </w:tc>
      </w:tr>
    </w:tbl>
    <w:p>
      <w:pPr>
        <w:spacing w:after="160" w:line="276"/>
      </w:pPr>
      <w:r>
        <w:rPr>
          <w:rFonts w:ascii="Calibri" w:cs="Calibri" w:eastAsia="Calibri" w:hAnsi="Calibri"/>
          <w:sz w:val="21"/>
          <w:szCs w:val="21"/>
        </w:rPr>
        <w:t xml:space="preserve"/>
      </w:r>
    </w:p>
    <w:p>
      <w:pPr>
        <w:pStyle w:val="Heading2"/>
        <w:spacing w:after="100" w:before="220"/>
      </w:pPr>
      <w:r>
        <w:rPr>
          <w:rFonts w:ascii="Calibri" w:cs="Calibri" w:eastAsia="Calibri" w:hAnsi="Calibri"/>
          <w:b/>
          <w:bCs/>
          <w:color w:val="1F3864"/>
          <w:sz w:val="22"/>
          <w:szCs w:val="22"/>
        </w:rPr>
        <w:t xml:space="preserve">3.2 Session flow</w:t>
      </w:r>
    </w:p>
    <w:p>
      <w:pPr>
        <w:pStyle w:val="ListParagraph"/>
        <w:numPr>
          <w:ilvl w:val="0"/>
          <w:numId w:val="2"/>
        </w:numPr>
        <w:spacing w:after="80" w:line="276"/>
      </w:pPr>
      <w:r>
        <w:rPr>
          <w:rFonts w:ascii="Calibri" w:cs="Calibri" w:eastAsia="Calibri" w:hAnsi="Calibri"/>
          <w:sz w:val="21"/>
          <w:szCs w:val="21"/>
        </w:rPr>
        <w:t xml:space="preserve">1. User requests premium content. Publisher SDK offers three options: view ads, subscribe, or barter compute.</w:t>
      </w:r>
    </w:p>
    <w:p>
      <w:pPr>
        <w:pStyle w:val="ListParagraph"/>
        <w:numPr>
          <w:ilvl w:val="0"/>
          <w:numId w:val="2"/>
        </w:numPr>
        <w:spacing w:after="80" w:line="276"/>
      </w:pPr>
      <w:r>
        <w:rPr>
          <w:rFonts w:ascii="Calibri" w:cs="Calibri" w:eastAsia="Calibri" w:hAnsi="Calibri"/>
          <w:sz w:val="21"/>
          <w:szCs w:val="21"/>
        </w:rPr>
        <w:t xml:space="preserve">2. User accepts the Compute Consent Manifest. Worker spawns and registers with the Broker.</w:t>
      </w:r>
    </w:p>
    <w:p>
      <w:pPr>
        <w:pStyle w:val="ListParagraph"/>
        <w:numPr>
          <w:ilvl w:val="0"/>
          <w:numId w:val="2"/>
        </w:numPr>
        <w:spacing w:after="80" w:line="276"/>
      </w:pPr>
      <w:r>
        <w:rPr>
          <w:rFonts w:ascii="Calibri" w:cs="Calibri" w:eastAsia="Calibri" w:hAnsi="Calibri"/>
          <w:sz w:val="21"/>
          <w:szCs w:val="21"/>
        </w:rPr>
        <w:t xml:space="preserve">3. Broker assigns a shard from a queued paid workload (e.g. an ONNX inference batch or a render tile), sized to the device tier and expected session length.</w:t>
      </w:r>
    </w:p>
    <w:p>
      <w:pPr>
        <w:pStyle w:val="ListParagraph"/>
        <w:numPr>
          <w:ilvl w:val="0"/>
          <w:numId w:val="2"/>
        </w:numPr>
        <w:spacing w:after="80" w:line="276"/>
      </w:pPr>
      <w:r>
        <w:rPr>
          <w:rFonts w:ascii="Calibri" w:cs="Calibri" w:eastAsia="Calibri" w:hAnsi="Calibri"/>
          <w:sz w:val="21"/>
          <w:szCs w:val="21"/>
        </w:rPr>
        <w:t xml:space="preserve">4. Worker executes on idle frames within the resource ceiling, emitting a Poseidon commitment to the execution trace.</w:t>
      </w:r>
    </w:p>
    <w:p>
      <w:pPr>
        <w:pStyle w:val="ListParagraph"/>
        <w:numPr>
          <w:ilvl w:val="0"/>
          <w:numId w:val="2"/>
        </w:numPr>
        <w:spacing w:after="80" w:line="276"/>
      </w:pPr>
      <w:r>
        <w:rPr>
          <w:rFonts w:ascii="Calibri" w:cs="Calibri" w:eastAsia="Calibri" w:hAnsi="Calibri"/>
          <w:sz w:val="21"/>
          <w:szCs w:val="21"/>
        </w:rPr>
        <w:t xml:space="preserve">5. Result plus commitment returned. Verification tier decides: accept on redundancy consensus, or demand a zk proof if the shard was sampled for audit.</w:t>
      </w:r>
    </w:p>
    <w:p>
      <w:pPr>
        <w:pStyle w:val="ListParagraph"/>
        <w:numPr>
          <w:ilvl w:val="0"/>
          <w:numId w:val="2"/>
        </w:numPr>
        <w:spacing w:after="80" w:line="276"/>
      </w:pPr>
      <w:r>
        <w:rPr>
          <w:rFonts w:ascii="Calibri" w:cs="Calibri" w:eastAsia="Calibri" w:hAnsi="Calibri"/>
          <w:sz w:val="21"/>
          <w:szCs w:val="21"/>
        </w:rPr>
        <w:t xml:space="preserve">6. Credits minted to the session; content unlocks; buyer is billed; publisher is paid. No identifier is ever created or stored.</w:t>
      </w:r>
    </w:p>
    <w:p>
      <w:pPr>
        <w:pStyle w:val="Heading2"/>
        <w:spacing w:after="100" w:before="220"/>
      </w:pPr>
      <w:r>
        <w:rPr>
          <w:rFonts w:ascii="Calibri" w:cs="Calibri" w:eastAsia="Calibri" w:hAnsi="Calibri"/>
          <w:b/>
          <w:bCs/>
          <w:color w:val="1F3864"/>
          <w:sz w:val="22"/>
          <w:szCs w:val="22"/>
        </w:rPr>
        <w:t xml:space="preserve">3.3 The two proofs (why “zero-knowledge”, and in which direction)</w:t>
      </w:r>
    </w:p>
    <w:p>
      <w:pPr>
        <w:spacing w:after="120" w:line="276"/>
      </w:pPr>
      <w:r>
        <w:rPr>
          <w:rFonts w:ascii="Calibri" w:cs="Calibri" w:eastAsia="Calibri" w:hAnsi="Calibri"/>
          <w:b/>
          <w:bCs/>
          <w:sz w:val="21"/>
          <w:szCs w:val="21"/>
        </w:rPr>
        <w:t xml:space="preserve">Forward proof — integrity (client → orchestrator). </w:t>
      </w:r>
      <w:r>
        <w:rPr>
          <w:rFonts w:ascii="Calibri" w:cs="Calibri" w:eastAsia="Calibri" w:hAnsi="Calibri"/>
          <w:sz w:val="21"/>
          <w:szCs w:val="21"/>
        </w:rPr>
        <w:t xml:space="preserve">The client proves it actually executed the assigned computation correctly, without the orchestrator re-running it. This is succinct verifiable computation; zero-knowledge additionally hides the workload buyer’s proprietary model weights or scene data from the executing device.</w:t>
      </w:r>
    </w:p>
    <w:p>
      <w:pPr>
        <w:spacing w:after="120" w:line="276"/>
      </w:pPr>
      <w:r>
        <w:rPr>
          <w:rFonts w:ascii="Calibri" w:cs="Calibri" w:eastAsia="Calibri" w:hAnsi="Calibri"/>
          <w:b/>
          <w:bCs/>
          <w:sz w:val="21"/>
          <w:szCs w:val="21"/>
        </w:rPr>
        <w:t xml:space="preserve">Reverse proof — containment (platform → user). </w:t>
      </w:r>
      <w:r>
        <w:rPr>
          <w:rFonts w:ascii="Calibri" w:cs="Calibri" w:eastAsia="Calibri" w:hAnsi="Calibri"/>
          <w:sz w:val="21"/>
          <w:szCs w:val="21"/>
        </w:rPr>
        <w:t xml:space="preserve">The platform proves the dispatched code belongs to a whitelisted workload class, is capped at the declared budget, and performs no reads of user storage, sensors or DOM — without revealing the workload itself. This direction is, to the best of the literature reviewed, unaddressed, and it is what converts cryptojacking into a legitimate primitive.</w:t>
      </w:r>
    </w:p>
    <w:p>
      <w:pPr>
        <w:pStyle w:val="Heading1"/>
        <w:pBdr>
          <w:bottom w:val="single" w:color="1F3864" w:sz="8" w:space="4"/>
        </w:pBdr>
        <w:spacing w:after="160" w:before="320"/>
      </w:pPr>
      <w:r>
        <w:rPr>
          <w:rFonts w:ascii="Calibri" w:cs="Calibri" w:eastAsia="Calibri" w:hAnsi="Calibri"/>
          <w:b/>
          <w:bCs/>
          <w:color w:val="1F3864"/>
          <w:sz w:val="26"/>
          <w:szCs w:val="26"/>
        </w:rPr>
        <w:t xml:space="preserve">4. Technology / Tools to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D9E2F3"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9"/>
                <w:szCs w:val="19"/>
              </w:rPr>
              <w:t xml:space="preserve">Component</w:t>
            </w:r>
          </w:p>
        </w:tc>
        <w:tc>
          <w:tcPr>
            <w:tcW w:type="dxa" w:w="6860"/>
            <w:shd w:fill="D9E2F3"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9"/>
                <w:szCs w:val="19"/>
              </w:rPr>
              <w:t xml:space="preserve">Tools &amp; technologies</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Client execution</w:t>
            </w:r>
          </w:p>
        </w:tc>
        <w:tc>
          <w:tcPr>
            <w:tcW w:type="dxa" w:w="68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WebAssembly (Rust → wasm32-wasi, wasm-bindgen), WebGPU + WGSL compute shaders, Web Workers, OffscreenCanvas, requestIdleCallback, Battery Status API, Network Information API</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ML / render workloads</w:t>
            </w:r>
          </w:p>
        </w:tc>
        <w:tc>
          <w:tcPr>
            <w:tcW w:type="dxa" w:w="68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ONNX Runtime Web, transformers.js, TensorFlow.js, WebNN (NPU path), tile-based path-tracing kernel for the render workload</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Broker / orchestration</w:t>
            </w:r>
          </w:p>
        </w:tc>
        <w:tc>
          <w:tcPr>
            <w:tcW w:type="dxa" w:w="68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Go or Node.js broker, WebSocket transport with Protocol Buffers, Redis task queue, Docker + docker-compose for the test harness</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Zero-knowledge layer</w:t>
            </w:r>
          </w:p>
        </w:tc>
        <w:tc>
          <w:tcPr>
            <w:tcW w:type="dxa" w:w="68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RISC Zero zkVM or SP1 (proof of correct execution of a compiled shard); Circom + snarkjs with Groth16 for fixed small circuits; Nova/HyperNova folding for incrementally verifiable aggregation; Poseidon hash for commitments</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Settlement / ledger</w:t>
            </w:r>
          </w:p>
        </w:tc>
        <w:tc>
          <w:tcPr>
            <w:tcW w:type="dxa" w:w="68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Solidity verifier contract on a local Ethereum devnet (Hardhat / Anvil), or Hyperledger Fabric for a permissioned variant; IPFS for workload manifests</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Measurement &amp; evaluation</w:t>
            </w:r>
          </w:p>
        </w:tc>
        <w:tc>
          <w:tcPr>
            <w:tcW w:type="dxa" w:w="68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Chrome DevTools Protocol tracing, Lighthouse, powermetrics (macOS) / Intel Power Gadget / RAPL (Linux), k6 for load, Python + pandas + matplotlib for analysis</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Security testing</w:t>
            </w:r>
          </w:p>
        </w:tc>
        <w:tc>
          <w:tcPr>
            <w:tcW w:type="dxa" w:w="68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Custom free-rider and result-forgery adversaries; comparison against MinerRay / MINOS-style detectors to confirm ZK-PoC is distinguishable from covert mining</w:t>
            </w:r>
          </w:p>
        </w:tc>
      </w:tr>
    </w:tbl>
    <w:p>
      <w:pPr>
        <w:spacing w:after="160" w:line="276"/>
      </w:pPr>
      <w:r>
        <w:rPr>
          <w:rFonts w:ascii="Calibri" w:cs="Calibri" w:eastAsia="Calibri" w:hAnsi="Calibri"/>
          <w:sz w:val="21"/>
          <w:szCs w:val="21"/>
        </w:rPr>
        <w:t xml:space="preserve"/>
      </w:r>
    </w:p>
    <w:p>
      <w:pPr>
        <w:pStyle w:val="Heading1"/>
        <w:pBdr>
          <w:bottom w:val="single" w:color="1F3864" w:sz="8" w:space="4"/>
        </w:pBdr>
        <w:spacing w:after="160" w:before="320"/>
      </w:pPr>
      <w:r>
        <w:rPr>
          <w:rFonts w:ascii="Calibri" w:cs="Calibri" w:eastAsia="Calibri" w:hAnsi="Calibri"/>
          <w:b/>
          <w:bCs/>
          <w:color w:val="1F3864"/>
          <w:sz w:val="26"/>
          <w:szCs w:val="26"/>
        </w:rPr>
        <w:t xml:space="preserve">5. Uniqueness / Novelty of the Proposed Work</w:t>
      </w:r>
    </w:p>
    <w:p>
      <w:pPr>
        <w:spacing w:after="120" w:line="276"/>
      </w:pPr>
      <w:r>
        <w:rPr>
          <w:rFonts w:ascii="Calibri" w:cs="Calibri" w:eastAsia="Calibri" w:hAnsi="Calibri"/>
          <w:b/>
          <w:bCs/>
          <w:sz w:val="21"/>
          <w:szCs w:val="21"/>
        </w:rPr>
        <w:t xml:space="preserve">N1. Inverts cryptojacking into a governed primitive. </w:t>
      </w:r>
      <w:r>
        <w:rPr>
          <w:rFonts w:ascii="Calibri" w:cs="Calibri" w:eastAsia="Calibri" w:hAnsi="Calibri"/>
          <w:sz w:val="21"/>
          <w:szCs w:val="21"/>
        </w:rPr>
        <w:t xml:space="preserve">Every prior in-browser compute-harvesting system is either covert (cryptojacking) or altruistic (BOINC/volunteer computing). ZK-PoC is the first to make it consented, metered, resource-capped, revocable and transactional — a paid exchange with an enforced contract, not a donation and not a theft.</w:t>
      </w:r>
    </w:p>
    <w:p>
      <w:pPr>
        <w:spacing w:after="120" w:line="276"/>
      </w:pPr>
      <w:r>
        <w:rPr>
          <w:rFonts w:ascii="Calibri" w:cs="Calibri" w:eastAsia="Calibri" w:hAnsi="Calibri"/>
          <w:b/>
          <w:bCs/>
          <w:sz w:val="21"/>
          <w:szCs w:val="21"/>
        </w:rPr>
        <w:t xml:space="preserve">N2. Replaces valueless proof-of-work with market-priced useful work. </w:t>
      </w:r>
      <w:r>
        <w:rPr>
          <w:rFonts w:ascii="Calibri" w:cs="Calibri" w:eastAsia="Calibri" w:hAnsi="Calibri"/>
          <w:sz w:val="21"/>
          <w:szCs w:val="21"/>
        </w:rPr>
        <w:t xml:space="preserve">This directly attacks the economic-infeasibility result of IEEE TDSC 2024, which was measured against hash puzzles. Re-running that economic model with AI-inference and render workloads is itself a publishable contribution, whichever way the result falls.</w:t>
      </w:r>
    </w:p>
    <w:p>
      <w:pPr>
        <w:spacing w:after="120" w:line="276"/>
      </w:pPr>
      <w:r>
        <w:rPr>
          <w:rFonts w:ascii="Calibri" w:cs="Calibri" w:eastAsia="Calibri" w:hAnsi="Calibri"/>
          <w:b/>
          <w:bCs/>
          <w:sz w:val="21"/>
          <w:szCs w:val="21"/>
        </w:rPr>
        <w:t xml:space="preserve">N3. Bidirectional proofs, including the previously unaddressed direction. </w:t>
      </w:r>
      <w:r>
        <w:rPr>
          <w:rFonts w:ascii="Calibri" w:cs="Calibri" w:eastAsia="Calibri" w:hAnsi="Calibri"/>
          <w:sz w:val="21"/>
          <w:szCs w:val="21"/>
        </w:rPr>
        <w:t xml:space="preserve">Prior verifiable-compute work proves the worker was honest. ZK-PoC additionally proves to the worker that the platform was honest — bounded consumption and zero data access — which is the actual precondition for user acceptance.</w:t>
      </w:r>
    </w:p>
    <w:p>
      <w:pPr>
        <w:spacing w:after="120" w:line="276"/>
      </w:pPr>
      <w:r>
        <w:rPr>
          <w:rFonts w:ascii="Calibri" w:cs="Calibri" w:eastAsia="Calibri" w:hAnsi="Calibri"/>
          <w:b/>
          <w:bCs/>
          <w:sz w:val="21"/>
          <w:szCs w:val="21"/>
        </w:rPr>
        <w:t xml:space="preserve">N4. Economically-aware tiered verification. </w:t>
      </w:r>
      <w:r>
        <w:rPr>
          <w:rFonts w:ascii="Calibri" w:cs="Calibri" w:eastAsia="Calibri" w:hAnsi="Calibri"/>
          <w:sz w:val="21"/>
          <w:szCs w:val="21"/>
        </w:rPr>
        <w:t xml:space="preserve">Naive designs that prove every task are non-viable, because zk proving costs orders of magnitude more compute than the computation being proved. ZK-PoC spends proofs only where they pay for themselves: cheap redundancy on the bulk, zk audits on a random sample, one folded proof at settlement. Proof placement is treated as an optimisation problem, not a default.</w:t>
      </w:r>
    </w:p>
    <w:p>
      <w:pPr>
        <w:spacing w:after="120" w:line="276"/>
      </w:pPr>
      <w:r>
        <w:rPr>
          <w:rFonts w:ascii="Calibri" w:cs="Calibri" w:eastAsia="Calibri" w:hAnsi="Calibri"/>
          <w:b/>
          <w:bCs/>
          <w:sz w:val="21"/>
          <w:szCs w:val="21"/>
        </w:rPr>
        <w:t xml:space="preserve">N5. First evaluation of verifiable compute under consumer browser constraints. </w:t>
      </w:r>
      <w:r>
        <w:rPr>
          <w:rFonts w:ascii="Calibri" w:cs="Calibri" w:eastAsia="Calibri" w:hAnsi="Calibri"/>
          <w:sz w:val="21"/>
          <w:szCs w:val="21"/>
        </w:rPr>
        <w:t xml:space="preserve">Existing zk and volunteer-computing benchmarks assume datacentre provers and unbounded runtime. This work characterises proving and execution on thermally-throttled consumer laptops and mobile devices, inside realistic session durations, with battery cost measured rather than assumed.</w:t>
      </w:r>
    </w:p>
    <w:p>
      <w:pPr>
        <w:pStyle w:val="Heading1"/>
        <w:pBdr>
          <w:bottom w:val="single" w:color="1F3864" w:sz="8" w:space="4"/>
        </w:pBdr>
        <w:spacing w:after="160" w:before="320"/>
      </w:pPr>
      <w:r>
        <w:rPr>
          <w:rFonts w:ascii="Calibri" w:cs="Calibri" w:eastAsia="Calibri" w:hAnsi="Calibri"/>
          <w:b/>
          <w:bCs/>
          <w:color w:val="1F3864"/>
          <w:sz w:val="26"/>
          <w:szCs w:val="26"/>
        </w:rPr>
        <w:t xml:space="preserve">6. Implementation Plan — How the Project Will Be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4160"/>
        <w:gridCol w:w="3200"/>
      </w:tblGrid>
      <w:tr>
        <w:trPr>
          <w:tblHeader/>
        </w:trPr>
        <w:tc>
          <w:tcPr>
            <w:tcW w:type="dxa" w:w="1100"/>
            <w:shd w:fill="D9E2F3"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9"/>
                <w:szCs w:val="19"/>
              </w:rPr>
              <w:t xml:space="preserve">Phase</w:t>
            </w:r>
          </w:p>
        </w:tc>
        <w:tc>
          <w:tcPr>
            <w:tcW w:type="dxa" w:w="900"/>
            <w:shd w:fill="D9E2F3"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9"/>
                <w:szCs w:val="19"/>
              </w:rPr>
              <w:t xml:space="preserve">Weeks</w:t>
            </w:r>
          </w:p>
        </w:tc>
        <w:tc>
          <w:tcPr>
            <w:tcW w:type="dxa" w:w="4160"/>
            <w:shd w:fill="D9E2F3"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9"/>
                <w:szCs w:val="19"/>
              </w:rPr>
              <w:t xml:space="preserve">Work</w:t>
            </w:r>
          </w:p>
        </w:tc>
        <w:tc>
          <w:tcPr>
            <w:tcW w:type="dxa" w:w="3200"/>
            <w:shd w:fill="D9E2F3"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9"/>
                <w:szCs w:val="19"/>
              </w:rPr>
              <w:t xml:space="preserve">Verifiable deliverable</w:t>
            </w:r>
          </w:p>
        </w:tc>
      </w:tr>
      <w:tr>
        <w:tc>
          <w:tcPr>
            <w:tcW w:type="dxa" w:w="11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P0 Foundation</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1–3</w:t>
            </w:r>
          </w:p>
        </w:tc>
        <w:tc>
          <w:tcPr>
            <w:tcW w:type="dxa" w:w="41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Systematic literature review; threat model (free-rider, result-forgery, malicious-workload, Sybil, side-channel); formal economic model of compute-yield vs ad-yield.</w:t>
            </w:r>
          </w:p>
        </w:tc>
        <w:tc>
          <w:tcPr>
            <w:tcW w:type="dxa" w:w="32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Threat model document + a device-tier benchmark table: achievable FLOPs at a 5% budget on desktop, laptop and mobile.</w:t>
            </w:r>
          </w:p>
        </w:tc>
      </w:tr>
      <w:tr>
        <w:tc>
          <w:tcPr>
            <w:tcW w:type="dxa" w:w="11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P1 Execution</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4–7</w:t>
            </w:r>
          </w:p>
        </w:tc>
        <w:tc>
          <w:tcPr>
            <w:tcW w:type="dxa" w:w="41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Build the sandboxed worker: WASM + WebGPU kernels, resource governor, idle scheduling, thermal/battery back-off, live consent meter UI.</w:t>
            </w:r>
          </w:p>
        </w:tc>
        <w:tc>
          <w:tcPr>
            <w:tcW w:type="dxa" w:w="32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Working demo executing an ONNX inference shard with measured, enforced ≤5% utilisation and no perceptible frame drop.</w:t>
            </w:r>
          </w:p>
        </w:tc>
      </w:tr>
      <w:tr>
        <w:tc>
          <w:tcPr>
            <w:tcW w:type="dxa" w:w="11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P2 Orchestration</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8–11</w:t>
            </w:r>
          </w:p>
        </w:tc>
        <w:tc>
          <w:tcPr>
            <w:tcW w:type="dxa" w:w="41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Broker, shard partitioning, result aggregation, redundant-execution consensus, free-rider detection, credit ledger, publisher SDK and content gate.</w:t>
            </w:r>
          </w:p>
        </w:tc>
        <w:tc>
          <w:tcPr>
            <w:tcW w:type="dxa" w:w="32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End-to-end barter: page unlocks after N verified shards, across ≥20 heterogeneous client devices.</w:t>
            </w:r>
          </w:p>
        </w:tc>
      </w:tr>
      <w:tr>
        <w:tc>
          <w:tcPr>
            <w:tcW w:type="dxa" w:w="11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P3 ZK layer</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12–14</w:t>
            </w:r>
          </w:p>
        </w:tc>
        <w:tc>
          <w:tcPr>
            <w:tcW w:type="dxa" w:w="41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Integrate zkVM proof-of-execution for one bounded shard class; implement the sampled-audit policy; recursive proof at settlement; on-chain verifier contract.</w:t>
            </w:r>
          </w:p>
        </w:tc>
        <w:tc>
          <w:tcPr>
            <w:tcW w:type="dxa" w:w="32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Measured prover overhead, proof size and on-chain verification cost — reported honestly, including where it does not yet close.</w:t>
            </w:r>
          </w:p>
        </w:tc>
      </w:tr>
      <w:tr>
        <w:tc>
          <w:tcPr>
            <w:tcW w:type="dxa" w:w="11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P4 Evaluation</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15–16</w:t>
            </w:r>
          </w:p>
        </w:tc>
        <w:tc>
          <w:tcPr>
            <w:tcW w:type="dxa" w:w="416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Controlled A/B against an ad-funded control page: revenue per session, energy per session, page performance, user-perception survey; detector comparison; thesis and paper draft.</w:t>
            </w:r>
          </w:p>
        </w:tc>
        <w:tc>
          <w:tcPr>
            <w:tcW w:type="dxa" w:w="320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9"/>
                <w:szCs w:val="19"/>
              </w:rPr>
              <w:t xml:space="preserve">Results chapter answering: does compute barter beat ad yield, and at what energy and UX cost?</w:t>
            </w:r>
          </w:p>
        </w:tc>
      </w:tr>
    </w:tbl>
    <w:p>
      <w:pPr>
        <w:spacing w:after="160" w:line="276"/>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Minimum viable success criterion: </w:t>
      </w:r>
      <w:r>
        <w:rPr>
          <w:rFonts w:ascii="Calibri" w:cs="Calibri" w:eastAsia="Calibri" w:hAnsi="Calibri"/>
          <w:sz w:val="21"/>
          <w:szCs w:val="21"/>
        </w:rPr>
        <w:t xml:space="preserve">even if the economics do not beat advertising, a working, consented, verifiable framework with a rigorously measured yield-vs-energy result is a complete and defensible project. The negative result is a contribution, because it is currently unmeasured.</w:t>
      </w:r>
    </w:p>
    <w:p>
      <w:pPr>
        <w:pStyle w:val="Heading1"/>
        <w:pBdr>
          <w:bottom w:val="single" w:color="1F3864" w:sz="8" w:space="4"/>
        </w:pBdr>
        <w:spacing w:after="160" w:before="320"/>
      </w:pPr>
      <w:r>
        <w:rPr>
          <w:rFonts w:ascii="Calibri" w:cs="Calibri" w:eastAsia="Calibri" w:hAnsi="Calibri"/>
          <w:b/>
          <w:bCs/>
          <w:color w:val="1F3864"/>
          <w:sz w:val="26"/>
          <w:szCs w:val="26"/>
        </w:rPr>
        <w:t xml:space="preserve">7. Known Limitations and Anticipated Questions</w:t>
      </w:r>
    </w:p>
    <w:p>
      <w:pPr>
        <w:spacing w:after="120" w:line="276"/>
      </w:pPr>
      <w:r>
        <w:rPr>
          <w:rFonts w:ascii="Calibri" w:cs="Calibri" w:eastAsia="Calibri" w:hAnsi="Calibri"/>
          <w:b/>
          <w:bCs/>
          <w:sz w:val="21"/>
          <w:szCs w:val="21"/>
        </w:rPr>
        <w:t xml:space="preserve">Q. Proving costs more than computing — doesn’t that kill it? </w:t>
      </w:r>
      <w:r>
        <w:rPr>
          <w:rFonts w:ascii="Calibri" w:cs="Calibri" w:eastAsia="Calibri" w:hAnsi="Calibri"/>
          <w:sz w:val="21"/>
          <w:szCs w:val="21"/>
        </w:rPr>
        <w:t xml:space="preserve">Yes, if you prove everything. That is precisely why verification is tiered (N4): redundancy on the bulk, zk on a sampled audit, one folded proof at settlement. Quantifying the crossover point is a stated research objective.</w:t>
      </w:r>
    </w:p>
    <w:p>
      <w:pPr>
        <w:spacing w:after="120" w:line="276"/>
      </w:pPr>
      <w:r>
        <w:rPr>
          <w:rFonts w:ascii="Calibri" w:cs="Calibri" w:eastAsia="Calibri" w:hAnsi="Calibri"/>
          <w:b/>
          <w:bCs/>
          <w:sz w:val="21"/>
          <w:szCs w:val="21"/>
        </w:rPr>
        <w:t xml:space="preserve">Q. Is 5% of a consumer GPU worth more than an ad impression? </w:t>
      </w:r>
      <w:r>
        <w:rPr>
          <w:rFonts w:ascii="Calibri" w:cs="Calibri" w:eastAsia="Calibri" w:hAnsi="Calibri"/>
          <w:sz w:val="21"/>
          <w:szCs w:val="21"/>
        </w:rPr>
        <w:t xml:space="preserve">Unknown, and that is the central empirical question of the project. Phase 0 answers it with measured FLOPs against real spot-market compute pricing and real publisher CPM.</w:t>
      </w:r>
    </w:p>
    <w:p>
      <w:pPr>
        <w:spacing w:after="120" w:line="276"/>
      </w:pPr>
      <w:r>
        <w:rPr>
          <w:rFonts w:ascii="Calibri" w:cs="Calibri" w:eastAsia="Calibri" w:hAnsi="Calibri"/>
          <w:b/>
          <w:bCs/>
          <w:sz w:val="21"/>
          <w:szCs w:val="21"/>
        </w:rPr>
        <w:t xml:space="preserve">Q. How is this not just consented malware? </w:t>
      </w:r>
      <w:r>
        <w:rPr>
          <w:rFonts w:ascii="Calibri" w:cs="Calibri" w:eastAsia="Calibri" w:hAnsi="Calibri"/>
          <w:sz w:val="21"/>
          <w:szCs w:val="21"/>
        </w:rPr>
        <w:t xml:space="preserve">Enforced resource ceiling, live user-visible meter, one-click revocation, whitelisted workload classes, and a containment proof. The evaluation deliberately runs cryptojacking detectors against ZK-PoC to demonstrate it is behaviourally and cryptographically distinguishable.</w:t>
      </w:r>
    </w:p>
    <w:p>
      <w:pPr>
        <w:spacing w:after="120" w:line="276"/>
      </w:pPr>
      <w:r>
        <w:rPr>
          <w:rFonts w:ascii="Calibri" w:cs="Calibri" w:eastAsia="Calibri" w:hAnsi="Calibri"/>
          <w:b/>
          <w:bCs/>
          <w:sz w:val="21"/>
          <w:szCs w:val="21"/>
        </w:rPr>
        <w:t xml:space="preserve">Q. What about battery, heat and device wear? </w:t>
      </w:r>
      <w:r>
        <w:rPr>
          <w:rFonts w:ascii="Calibri" w:cs="Calibri" w:eastAsia="Calibri" w:hAnsi="Calibri"/>
          <w:sz w:val="21"/>
          <w:szCs w:val="21"/>
        </w:rPr>
        <w:t xml:space="preserve">Measured, not assumed — energy per session is a first-class evaluation metric, and mobile devices on battery are throttled to a lower ceiling by policy.</w:t>
      </w:r>
    </w:p>
    <w:p>
      <w:pPr>
        <w:spacing w:after="120" w:line="276"/>
      </w:pPr>
      <w:r>
        <w:rPr>
          <w:rFonts w:ascii="Calibri" w:cs="Calibri" w:eastAsia="Calibri" w:hAnsi="Calibri"/>
          <w:b/>
          <w:bCs/>
          <w:sz w:val="21"/>
          <w:szCs w:val="21"/>
        </w:rPr>
        <w:t xml:space="preserve">Q. Does this really “end digital advertising”? </w:t>
      </w:r>
      <w:r>
        <w:rPr>
          <w:rFonts w:ascii="Calibri" w:cs="Calibri" w:eastAsia="Calibri" w:hAnsi="Calibri"/>
          <w:sz w:val="21"/>
          <w:szCs w:val="21"/>
        </w:rPr>
        <w:t xml:space="preserve">No, and the project does not claim it. The defensible claim is that compute barter is a viable third monetisation rail alongside ads and subscriptions, most plausibly for privacy-sensitive and ad-blocked audiences. The scope of this work is to build the mechanism and measure the yield.</w:t>
      </w:r>
    </w:p>
    <w:p>
      <w:pPr>
        <w:pageBreakBefore/>
      </w:pPr>
      <w:r>
        <w:t xml:space="preserve"/>
      </w:r>
    </w:p>
    <w:p>
      <w:pPr>
        <w:pStyle w:val="Heading1"/>
        <w:pBdr>
          <w:bottom w:val="single" w:color="1F3864" w:sz="8" w:space="4"/>
        </w:pBdr>
        <w:spacing w:after="160" w:before="320"/>
      </w:pPr>
      <w:r>
        <w:rPr>
          <w:rFonts w:ascii="Calibri" w:cs="Calibri" w:eastAsia="Calibri" w:hAnsi="Calibri"/>
          <w:b/>
          <w:bCs/>
          <w:color w:val="1F3864"/>
          <w:sz w:val="26"/>
          <w:szCs w:val="26"/>
        </w:rPr>
        <w:t xml:space="preserve">8. Supporting Research Papers (2022 onwards)</w:t>
      </w:r>
    </w:p>
    <w:p>
      <w:pPr>
        <w:pStyle w:val="Heading2"/>
        <w:spacing w:after="100" w:before="220"/>
      </w:pPr>
      <w:r>
        <w:rPr>
          <w:rFonts w:ascii="Calibri" w:cs="Calibri" w:eastAsia="Calibri" w:hAnsi="Calibri"/>
          <w:b/>
          <w:bCs/>
          <w:color w:val="1F3864"/>
          <w:sz w:val="22"/>
          <w:szCs w:val="22"/>
        </w:rPr>
        <w:t xml:space="preserve">Primary references</w:t>
      </w:r>
    </w:p>
    <w:p>
      <w:pPr>
        <w:spacing w:after="120" w:line="276"/>
      </w:pPr>
      <w:r>
        <w:rPr>
          <w:rFonts w:ascii="Calibri" w:cs="Calibri" w:eastAsia="Calibri" w:hAnsi="Calibri"/>
          <w:b/>
          <w:bCs/>
          <w:color w:val="1F3864"/>
          <w:sz w:val="21"/>
          <w:szCs w:val="21"/>
        </w:rPr>
        <w:t xml:space="preserve">[1] Establishes the research gap — the economic failure of the naive model</w:t>
      </w:r>
    </w:p>
    <w:p>
      <w:pPr>
        <w:spacing w:after="120" w:line="276"/>
      </w:pPr>
      <w:r>
        <w:rPr>
          <w:rFonts w:ascii="Calibri" w:cs="Calibri" w:eastAsia="Calibri" w:hAnsi="Calibri"/>
          <w:sz w:val="21"/>
          <w:szCs w:val="21"/>
        </w:rPr>
        <w:t xml:space="preserve">M. Saad and D. Mohaisen, “Analyzing In-Browser Cryptojacking,” IEEE Transactions on Dependable and Secure Computing, 2024.</w:t>
      </w:r>
    </w:p>
    <w:p>
      <w:pPr>
        <w:spacing w:after="120" w:line="276"/>
      </w:pPr>
      <w:r>
        <w:rPr>
          <w:rFonts w:ascii="Calibri" w:cs="Calibri" w:eastAsia="Calibri" w:hAnsi="Calibri"/>
          <w:color w:val="1155CC"/>
          <w:sz w:val="21"/>
          <w:szCs w:val="21"/>
        </w:rPr>
        <w:t xml:space="preserve">IEEE Xplore: https://ieeexplore.ieee.org/abstract/document/10472697</w:t>
      </w:r>
    </w:p>
    <w:p>
      <w:pPr>
        <w:spacing w:after="120" w:line="276"/>
      </w:pPr>
      <w:r>
        <w:rPr>
          <w:rFonts w:ascii="Calibri" w:cs="Calibri" w:eastAsia="Calibri" w:hAnsi="Calibri"/>
          <w:color w:val="1155CC"/>
          <w:sz w:val="21"/>
          <w:szCs w:val="21"/>
        </w:rPr>
        <w:t xml:space="preserve">Open-access preprint: https://arxiv.org/abs/2304.13253</w:t>
      </w:r>
    </w:p>
    <w:p>
      <w:pPr>
        <w:spacing w:after="200" w:line="276"/>
      </w:pPr>
      <w:r>
        <w:rPr>
          <w:rFonts w:ascii="Calibri" w:cs="Calibri" w:eastAsia="Calibri" w:hAnsi="Calibri"/>
          <w:b/>
          <w:bCs/>
          <w:sz w:val="21"/>
          <w:szCs w:val="21"/>
        </w:rPr>
        <w:t xml:space="preserve">Relevance: </w:t>
      </w:r>
      <w:r>
        <w:rPr>
          <w:rFonts w:ascii="Calibri" w:cs="Calibri" w:eastAsia="Calibri" w:hAnsi="Calibri"/>
          <w:sz w:val="21"/>
          <w:szCs w:val="21"/>
        </w:rPr>
        <w:t xml:space="preserve">Provides static, dynamic and economic analysis of in-browser compute harvesting, including CPU and battery impact and an analytical model of mining as an advertising alternative that finds it economically infeasible. This paper defines exactly what ZK-PoC must fix and supplies the baseline the project is measured against.</w:t>
      </w:r>
    </w:p>
    <w:p>
      <w:pPr>
        <w:spacing w:after="120" w:line="276"/>
      </w:pPr>
      <w:r>
        <w:rPr>
          <w:rFonts w:ascii="Calibri" w:cs="Calibri" w:eastAsia="Calibri" w:hAnsi="Calibri"/>
          <w:b/>
          <w:bCs/>
          <w:color w:val="1F3864"/>
          <w:sz w:val="21"/>
          <w:szCs w:val="21"/>
        </w:rPr>
        <w:t xml:space="preserve">[2] Establishes the execution layer is buildable</w:t>
      </w:r>
    </w:p>
    <w:p>
      <w:pPr>
        <w:spacing w:after="120" w:line="276"/>
      </w:pPr>
      <w:r>
        <w:rPr>
          <w:rFonts w:ascii="Calibri" w:cs="Calibri" w:eastAsia="Calibri" w:hAnsi="Calibri"/>
          <w:sz w:val="21"/>
          <w:szCs w:val="21"/>
        </w:rPr>
        <w:t xml:space="preserve">A. Semjonov, H. Bornholdt, J. Edinger and G. Russo Russo, “Wasimoff: Distributed Computation Offloading Using WebAssembly in the Browser,” 2024 IEEE International Conference on Pervasive Computing and Communications Workshops (PerCom Workshops), pp. 203–208.</w:t>
      </w:r>
    </w:p>
    <w:p>
      <w:pPr>
        <w:spacing w:after="120" w:line="276"/>
      </w:pPr>
      <w:r>
        <w:rPr>
          <w:rFonts w:ascii="Calibri" w:cs="Calibri" w:eastAsia="Calibri" w:hAnsi="Calibri"/>
          <w:color w:val="1155CC"/>
          <w:sz w:val="21"/>
          <w:szCs w:val="21"/>
        </w:rPr>
        <w:t xml:space="preserve">IEEE Xplore: https://ieeexplore.ieee.org/document/10503392/</w:t>
      </w:r>
    </w:p>
    <w:p>
      <w:pPr>
        <w:spacing w:after="200" w:line="276"/>
      </w:pPr>
      <w:r>
        <w:rPr>
          <w:rFonts w:ascii="Calibri" w:cs="Calibri" w:eastAsia="Calibri" w:hAnsi="Calibri"/>
          <w:b/>
          <w:bCs/>
          <w:sz w:val="21"/>
          <w:szCs w:val="21"/>
        </w:rPr>
        <w:t xml:space="preserve">Relevance: </w:t>
      </w:r>
      <w:r>
        <w:rPr>
          <w:rFonts w:ascii="Calibri" w:cs="Calibri" w:eastAsia="Calibri" w:hAnsi="Calibri"/>
          <w:sz w:val="21"/>
          <w:szCs w:val="21"/>
        </w:rPr>
        <w:t xml:space="preserve">A working Broker–Provider–Client architecture in which a device joins a compute pool simply by opening a URL, with WebAssembly providing sandboxed isolation and a real-world multi-continent evaluation. This validates the feasibility of L2 and L4 and is the closest existing system to ZK-PoC — differing in that it assumes volunteer donors, with no consent contract, no verification against forgery and no settlement.</w:t>
      </w:r>
    </w:p>
    <w:p>
      <w:pPr>
        <w:spacing w:after="120" w:line="276"/>
      </w:pPr>
      <w:r>
        <w:rPr>
          <w:rFonts w:ascii="Calibri" w:cs="Calibri" w:eastAsia="Calibri" w:hAnsi="Calibri"/>
          <w:b/>
          <w:bCs/>
          <w:color w:val="1F3864"/>
          <w:sz w:val="21"/>
          <w:szCs w:val="21"/>
        </w:rPr>
        <w:t xml:space="preserve">[3] Establishes the verification layer and its real cost</w:t>
      </w:r>
    </w:p>
    <w:p>
      <w:pPr>
        <w:spacing w:after="120" w:line="276"/>
      </w:pPr>
      <w:r>
        <w:rPr>
          <w:rFonts w:ascii="Calibri" w:cs="Calibri" w:eastAsia="Calibri" w:hAnsi="Calibri"/>
          <w:sz w:val="21"/>
          <w:szCs w:val="21"/>
        </w:rPr>
        <w:t xml:space="preserve">A. A. Bellachia, M. A. Bouchiha, A. Laraba, Y. Ghamri-Doudane and M. Rabah, “VerifBFL: Leveraging zk-SNARKs for a Verifiable Blockchained Federated Learning,” 2025 IEEE/IFIP Network Operations and Management Symposium (NOMS).</w:t>
      </w:r>
    </w:p>
    <w:p>
      <w:pPr>
        <w:spacing w:after="120" w:line="276"/>
      </w:pPr>
      <w:r>
        <w:rPr>
          <w:rFonts w:ascii="Calibri" w:cs="Calibri" w:eastAsia="Calibri" w:hAnsi="Calibri"/>
          <w:color w:val="1155CC"/>
          <w:sz w:val="21"/>
          <w:szCs w:val="21"/>
        </w:rPr>
        <w:t xml:space="preserve">IEEE Xplore: https://ieeexplore.ieee.org/document/11073628/</w:t>
      </w:r>
    </w:p>
    <w:p>
      <w:pPr>
        <w:spacing w:after="120" w:line="276"/>
      </w:pPr>
      <w:r>
        <w:rPr>
          <w:rFonts w:ascii="Calibri" w:cs="Calibri" w:eastAsia="Calibri" w:hAnsi="Calibri"/>
          <w:color w:val="1155CC"/>
          <w:sz w:val="21"/>
          <w:szCs w:val="21"/>
        </w:rPr>
        <w:t xml:space="preserve">Open-access preprint: https://arxiv.org/abs/2501.04319</w:t>
      </w:r>
    </w:p>
    <w:p>
      <w:pPr>
        <w:spacing w:after="200" w:line="276"/>
      </w:pPr>
      <w:r>
        <w:rPr>
          <w:rFonts w:ascii="Calibri" w:cs="Calibri" w:eastAsia="Calibri" w:hAnsi="Calibri"/>
          <w:b/>
          <w:bCs/>
          <w:sz w:val="21"/>
          <w:szCs w:val="21"/>
        </w:rPr>
        <w:t xml:space="preserve">Relevance: </w:t>
      </w:r>
      <w:r>
        <w:rPr>
          <w:rFonts w:ascii="Calibri" w:cs="Calibri" w:eastAsia="Calibri" w:hAnsi="Calibri"/>
          <w:sz w:val="21"/>
          <w:szCs w:val="21"/>
        </w:rPr>
        <w:t xml:space="preserve">Uses zk-SNARKs with incrementally verifiable computation to prove that distributed training and aggregation were executed correctly, verified on-chain. Reported proof-generation of roughly 81 s for training and 2 s for aggregation, with on-chain verification under 0.6 s, gives concrete, citable evidence both that L3 is achievable and that proving overhead is the dominant design constraint — which is the direct justification for the tiered verification design (N4).</w:t>
      </w:r>
    </w:p>
    <w:p>
      <w:pPr>
        <w:pStyle w:val="Heading2"/>
        <w:spacing w:after="100" w:before="220"/>
      </w:pPr>
      <w:r>
        <w:rPr>
          <w:rFonts w:ascii="Calibri" w:cs="Calibri" w:eastAsia="Calibri" w:hAnsi="Calibri"/>
          <w:b/>
          <w:bCs/>
          <w:color w:val="1F3864"/>
          <w:sz w:val="22"/>
          <w:szCs w:val="22"/>
        </w:rPr>
        <w:t xml:space="preserve">Supporting references</w:t>
      </w:r>
    </w:p>
    <w:p>
      <w:pPr>
        <w:spacing w:after="120" w:line="276"/>
      </w:pPr>
      <w:r>
        <w:rPr>
          <w:rFonts w:ascii="Calibri" w:cs="Calibri" w:eastAsia="Calibri" w:hAnsi="Calibri"/>
          <w:sz w:val="21"/>
          <w:szCs w:val="21"/>
        </w:rPr>
        <w:t xml:space="preserve">[4] “Towards WebAssembly-Based Federated Learning,” Springer Lecture Notes in Computer Science, 2025.</w:t>
      </w:r>
    </w:p>
    <w:p>
      <w:pPr>
        <w:spacing w:after="120" w:line="276"/>
      </w:pPr>
      <w:r>
        <w:rPr>
          <w:rFonts w:ascii="Calibri" w:cs="Calibri" w:eastAsia="Calibri" w:hAnsi="Calibri"/>
          <w:color w:val="1155CC"/>
          <w:sz w:val="21"/>
          <w:szCs w:val="21"/>
        </w:rPr>
        <w:t xml:space="preserve">https://link.springer.com/chapter/10.1007/978-3-031-84617-5_4</w:t>
      </w:r>
    </w:p>
    <w:p>
      <w:pPr>
        <w:spacing w:after="160" w:line="276"/>
      </w:pPr>
      <w:r>
        <w:rPr>
          <w:rFonts w:ascii="Calibri" w:cs="Calibri" w:eastAsia="Calibri" w:hAnsi="Calibri"/>
          <w:b/>
          <w:bCs/>
          <w:sz w:val="21"/>
          <w:szCs w:val="21"/>
        </w:rPr>
        <w:t xml:space="preserve">Relevance: </w:t>
      </w:r>
      <w:r>
        <w:rPr>
          <w:rFonts w:ascii="Calibri" w:cs="Calibri" w:eastAsia="Calibri" w:hAnsi="Calibri"/>
          <w:sz w:val="21"/>
          <w:szCs w:val="21"/>
        </w:rPr>
        <w:t xml:space="preserve">Demonstrates useful ML work executing inside a WebAssembly client runtime — the workload class ZK-PoC substitutes for hash puzzles.</w:t>
      </w:r>
    </w:p>
    <w:p>
      <w:pPr>
        <w:spacing w:after="120" w:line="276"/>
      </w:pPr>
      <w:r>
        <w:rPr>
          <w:rFonts w:ascii="Calibri" w:cs="Calibri" w:eastAsia="Calibri" w:hAnsi="Calibri"/>
          <w:sz w:val="21"/>
          <w:szCs w:val="21"/>
        </w:rPr>
        <w:t xml:space="preserve">[5] G. Xu et al., “Delay-CJ: A novel cryptojacking covert attack method based on delayed strategy and its detection,” Digital Communications and Networks (Elsevier), 2023.</w:t>
      </w:r>
    </w:p>
    <w:p>
      <w:pPr>
        <w:spacing w:after="120" w:line="276"/>
      </w:pPr>
      <w:r>
        <w:rPr>
          <w:rFonts w:ascii="Calibri" w:cs="Calibri" w:eastAsia="Calibri" w:hAnsi="Calibri"/>
          <w:color w:val="1155CC"/>
          <w:sz w:val="21"/>
          <w:szCs w:val="21"/>
        </w:rPr>
        <w:t xml:space="preserve">https://www.sciencedirect.com/science/article/pii/S2352864822000864</w:t>
      </w:r>
    </w:p>
    <w:p>
      <w:pPr>
        <w:spacing w:after="160" w:line="276"/>
      </w:pPr>
      <w:r>
        <w:rPr>
          <w:rFonts w:ascii="Calibri" w:cs="Calibri" w:eastAsia="Calibri" w:hAnsi="Calibri"/>
          <w:b/>
          <w:bCs/>
          <w:sz w:val="21"/>
          <w:szCs w:val="21"/>
        </w:rPr>
        <w:t xml:space="preserve">Relevance: </w:t>
      </w:r>
      <w:r>
        <w:rPr>
          <w:rFonts w:ascii="Calibri" w:cs="Calibri" w:eastAsia="Calibri" w:hAnsi="Calibri"/>
          <w:sz w:val="21"/>
          <w:szCs w:val="21"/>
        </w:rPr>
        <w:t xml:space="preserve">State-of-the-art covert-mining evasion and detection. Used as the adversarial and detector baseline: ZK-PoC must remain clearly distinguishable from covert mining under these detectors.</w:t>
      </w:r>
    </w:p>
    <w:p>
      <w:pPr>
        <w:spacing w:after="120" w:line="276"/>
      </w:pPr>
      <w:r>
        <w:rPr>
          <w:rFonts w:ascii="Calibri" w:cs="Calibri" w:eastAsia="Calibri" w:hAnsi="Calibri"/>
          <w:sz w:val="21"/>
          <w:szCs w:val="21"/>
        </w:rPr>
        <w:t xml:space="preserve">[6] N. Brown et al., “Web-Based Volunteer Distributed Computing for Handling Time-Critical Urgent Workloads,” 2022 IEEE/ACM International Workshop on HPC User Support Tools / Urgent HPC.</w:t>
      </w:r>
    </w:p>
    <w:p>
      <w:pPr>
        <w:spacing w:after="120" w:line="276"/>
      </w:pPr>
      <w:r>
        <w:rPr>
          <w:rFonts w:ascii="Calibri" w:cs="Calibri" w:eastAsia="Calibri" w:hAnsi="Calibri"/>
          <w:color w:val="1155CC"/>
          <w:sz w:val="21"/>
          <w:szCs w:val="21"/>
        </w:rPr>
        <w:t xml:space="preserve">https://ieeexplore.ieee.org/document/10025481</w:t>
      </w:r>
    </w:p>
    <w:p>
      <w:pPr>
        <w:spacing w:after="200" w:line="276"/>
      </w:pPr>
      <w:r>
        <w:rPr>
          <w:rFonts w:ascii="Calibri" w:cs="Calibri" w:eastAsia="Calibri" w:hAnsi="Calibri"/>
          <w:b/>
          <w:bCs/>
          <w:sz w:val="21"/>
          <w:szCs w:val="21"/>
        </w:rPr>
        <w:t xml:space="preserve">Relevance: </w:t>
      </w:r>
      <w:r>
        <w:rPr>
          <w:rFonts w:ascii="Calibri" w:cs="Calibri" w:eastAsia="Calibri" w:hAnsi="Calibri"/>
          <w:sz w:val="21"/>
          <w:szCs w:val="21"/>
        </w:rPr>
        <w:t xml:space="preserve">Documents the decline of install-based volunteer computing and argues the browser is the correct zero-friction participation surface — supporting the delivery-model choice.</w:t>
      </w:r>
    </w:p>
    <w:p>
      <w:pPr>
        <w:pBdr>
          <w:top w:val="single" w:color="AAAAAA" w:sz="6" w:space="6"/>
        </w:pBdr>
        <w:spacing w:before="200"/>
      </w:pPr>
      <w:r>
        <w:rPr>
          <w:rFonts w:ascii="Calibri" w:cs="Calibri" w:eastAsia="Calibri" w:hAnsi="Calibri"/>
          <w:i/>
          <w:iCs/>
          <w:sz w:val="19"/>
          <w:szCs w:val="19"/>
        </w:rPr>
        <w:t xml:space="preserve">Note on novelty: no published paper describes “ambient compute bartering” as a consented replacement for advertising. The three literatures above — in-browser compute economics, browser-native distributed execution, and zero-knowledge verifiable computation — exist separately and have not been combined. That absence is the novelty claim of this work, and the papers cited establish each component is individually feasible.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Zero-Knowledge Proof-of-Compute</dc:title>
  <dc:creator>Major Project Synopsis</dc:creator>
  <cp:lastModifiedBy>Un-named</cp:lastModifiedBy>
  <cp:revision>1</cp:revision>
  <dcterms:created xsi:type="dcterms:W3CDTF">2026-07-23T21:43:22.553Z</dcterms:created>
  <dcterms:modified xsi:type="dcterms:W3CDTF">2026-07-23T21:43:22.566Z</dcterms:modified>
</cp:coreProperties>
</file>

<file path=docProps/custom.xml><?xml version="1.0" encoding="utf-8"?>
<Properties xmlns="http://schemas.openxmlformats.org/officeDocument/2006/custom-properties" xmlns:vt="http://schemas.openxmlformats.org/officeDocument/2006/docPropsVTypes"/>
</file>