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 Pricing Comparison Analysis Report</w:t>
      </w:r>
    </w:p>
    <w:p>
      <w:pPr>
        <w:pStyle w:val="Heading1"/>
      </w:pPr>
      <w:r>
        <w:t>Executive Summary</w:t>
      </w:r>
    </w:p>
    <w:p>
      <w:r>
        <w:t>This report analyzes rental pricing compared to market benchmarks to identify pricing gaps and revenue opportunities across unit types. The goal is to evaluate pricing competitiveness and recommend data-driven adjustments.</w:t>
      </w:r>
    </w:p>
    <w:p>
      <w:pPr>
        <w:pStyle w:val="Heading1"/>
      </w:pPr>
      <w:r>
        <w:t>Key Questions &amp; Answers</w:t>
      </w:r>
    </w:p>
    <w:p>
      <w:r>
        <w:rPr>
          <w:b/>
        </w:rPr>
        <w:t>Are our rental units priced competitively compared to the market?</w:t>
      </w:r>
    </w:p>
    <w:p>
      <w:r>
        <w:t>Most units are priced below market rates, indicating an opportunity to increase rental income while remaining competitive.</w:t>
      </w:r>
    </w:p>
    <w:p>
      <w:r>
        <w:rPr>
          <w:b/>
        </w:rPr>
        <w:t>Which unit types are underpriced the most?</w:t>
      </w:r>
    </w:p>
    <w:p>
      <w:r>
        <w:t>2–3 bedroom units show the largest rent gaps and represent the highest revenue optimization opportunity.</w:t>
      </w:r>
    </w:p>
    <w:p>
      <w:r>
        <w:rPr>
          <w:b/>
        </w:rPr>
        <w:t>Are any units overpriced relative to the market?</w:t>
      </w:r>
    </w:p>
    <w:p>
      <w:r>
        <w:t>Studio units appear to be priced above market rates, which may impact occupancy and leasing speed.</w:t>
      </w:r>
    </w:p>
    <w:p>
      <w:r>
        <w:rPr>
          <w:b/>
        </w:rPr>
        <w:t>What is the potential revenue impact?</w:t>
      </w:r>
    </w:p>
    <w:p>
      <w:r>
        <w:t>Underpriced units indicate missed revenue potential. Adjusting rents closer to market levels could significantly increase income.</w:t>
      </w:r>
    </w:p>
    <w:p>
      <w:r>
        <w:rPr>
          <w:b/>
        </w:rPr>
        <w:t>How does pricing vary by bedrooms?</w:t>
      </w:r>
    </w:p>
    <w:p>
      <w:r>
        <w:t>Pricing increases with bedroom count, but inconsistencies exist. Larger units are more underpriced relative to market benchmarks.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Majority of units are below market</w:t>
      </w:r>
    </w:p>
    <w:p>
      <w:pPr>
        <w:pStyle w:val="ListBullet"/>
      </w:pPr>
      <w:r>
        <w:t>Larger units provide highest revenue opportunity</w:t>
      </w:r>
    </w:p>
    <w:p>
      <w:pPr>
        <w:pStyle w:val="ListBullet"/>
      </w:pPr>
      <w:r>
        <w:t>Studio units may be overpriced</w:t>
      </w:r>
    </w:p>
    <w:p>
      <w:pPr>
        <w:pStyle w:val="ListBullet"/>
      </w:pPr>
      <w:r>
        <w:t>Pricing strategy is not fully aligned with market trends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Increase rents gradually for underpriced units (especially 2–3 bedrooms)</w:t>
      </w:r>
    </w:p>
    <w:p>
      <w:pPr>
        <w:pStyle w:val="ListBullet"/>
      </w:pPr>
      <w:r>
        <w:t>Reassess pricing strategy for studio units</w:t>
      </w:r>
    </w:p>
    <w:p>
      <w:pPr>
        <w:pStyle w:val="ListBullet"/>
      </w:pPr>
      <w:r>
        <w:t>Perform regular market comparisons</w:t>
      </w:r>
    </w:p>
    <w:p>
      <w:pPr>
        <w:pStyle w:val="ListBullet"/>
      </w:pPr>
      <w:r>
        <w:t>Implement a data-driven pricing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