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4"/>
        </w:rPr>
        <w:t>Child Support Portal → CCMS Worker</w:t>
      </w:r>
    </w:p>
    <w:p>
      <w:pPr>
        <w:jc w:val="center"/>
      </w:pPr>
      <w:r>
        <w:rPr>
          <w:i/>
          <w:sz w:val="22"/>
        </w:rPr>
        <w:t>Data-Flow Discussion: how an application (and its people) moves from our database into the client's CCMS database</w:t>
      </w:r>
    </w:p>
    <w:p>
      <w:pPr>
        <w:jc w:val="center"/>
      </w:pPr>
      <w:r>
        <w:rPr>
          <w:color w:val="666666"/>
          <w:sz w:val="18"/>
        </w:rPr>
        <w:t>Version 1.0  ·  10 September 2026  ·  Prepared for internal / client review</w:t>
      </w:r>
    </w:p>
    <w:p/>
    <w:p>
      <w:pPr>
        <w:pStyle w:val="Heading1"/>
      </w:pPr>
      <w:r>
        <w:t>1. Two databases, one boundary</w:t>
      </w:r>
    </w:p>
    <w:p>
      <w:pPr>
        <w:spacing w:after="120"/>
      </w:pPr>
      <w:r>
        <w:rPr>
          <w:b w:val="0"/>
          <w:i w:val="0"/>
          <w:sz w:val="22"/>
        </w:rPr>
        <w:t>The system spans two completely separate PostgreSQL databases. Nothing is shared at the storage layer — the only connection between them is a background job we call the “CCMS worker”, plus one correlation column.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Role</w:t>
            </w:r>
          </w:p>
        </w:tc>
        <w:tc>
          <w:tcPr>
            <w:tcW w:type="dxa" w:w="2880"/>
          </w:tcPr>
          <w:p>
            <w:r>
              <w:rPr>
                <w:b/>
                <w:sz w:val="20"/>
              </w:rPr>
              <w:t>Name</w:t>
            </w:r>
          </w:p>
        </w:tc>
        <w:tc>
          <w:tcPr>
            <w:tcW w:type="dxa" w:w="2880"/>
          </w:tcPr>
          <w:p>
            <w:r>
              <w:rPr>
                <w:b/>
                <w:sz w:val="20"/>
              </w:rPr>
              <w:t>What it holds</w:t>
            </w:r>
          </w:p>
        </w:tc>
      </w:tr>
      <w:tr>
        <w:tc>
          <w:tcPr>
            <w:tcW w:type="dxa" w:w="2880"/>
          </w:tcPr>
          <w:p>
            <w:r>
              <w:rPr>
                <w:sz w:val="19"/>
              </w:rPr>
              <w:t>Our database</w:t>
            </w:r>
          </w:p>
        </w:tc>
        <w:tc>
          <w:tcPr>
            <w:tcW w:type="dxa" w:w="2880"/>
          </w:tcPr>
          <w:p>
            <w:r>
              <w:rPr>
                <w:sz w:val="19"/>
              </w:rPr>
              <w:t>childcare</w:t>
            </w:r>
          </w:p>
        </w:tc>
        <w:tc>
          <w:tcPr>
            <w:tcW w:type="dxa" w:w="2880"/>
          </w:tcPr>
          <w:p>
            <w:r>
              <w:rPr>
                <w:sz w:val="19"/>
              </w:rPr>
              <w:t>PostgreSQL 17 (local / our infra). Schema public. Owns users, applications (the whole wizard form as JSONB), and consent records.</w:t>
            </w:r>
          </w:p>
        </w:tc>
      </w:tr>
      <w:tr>
        <w:tc>
          <w:tcPr>
            <w:tcW w:type="dxa" w:w="2880"/>
          </w:tcPr>
          <w:p>
            <w:r>
              <w:rPr>
                <w:sz w:val="19"/>
              </w:rPr>
              <w:t>CCMS database</w:t>
            </w:r>
          </w:p>
        </w:tc>
        <w:tc>
          <w:tcPr>
            <w:tcW w:type="dxa" w:w="2880"/>
          </w:tcPr>
          <w:p>
            <w:r>
              <w:rPr>
                <w:sz w:val="19"/>
              </w:rPr>
              <w:t>ccms_dbs (schemas csa_portal, csa_common)</w:t>
            </w:r>
          </w:p>
        </w:tc>
        <w:tc>
          <w:tcPr>
            <w:tcW w:type="dxa" w:w="2880"/>
          </w:tcPr>
          <w:p>
            <w:r>
              <w:rPr>
                <w:sz w:val="19"/>
              </w:rPr>
              <w:t>The client's PostgreSQL. Normalised child-support model — aplctn, person, prsn_role_link, address, contact, employers, income, NCP sub-domains. csa_common holds the code lists.</w:t>
            </w:r>
          </w:p>
        </w:tc>
      </w:tr>
    </w:tbl>
    <w:p>
      <w:pPr>
        <w:spacing w:after="40"/>
      </w:pPr>
    </w:p>
    <w:p>
      <w:pPr>
        <w:spacing w:after="120"/>
      </w:pPr>
      <w:r>
        <w:rPr>
          <w:b w:val="0"/>
          <w:i/>
          <w:sz w:val="22"/>
        </w:rPr>
        <w:t>The worker only ever talks to the CCMS database through one connection string, CCMS_DATABASE_URL. Today that points at a local clone (ccms_local). It is pointed at the client's RDS only after the client confirms which tables their intake reads (live vs. *_wp staging) and how jurisdiction is assigned.</w:t>
      </w:r>
    </w:p>
    <w:p>
      <w:pPr>
        <w:pStyle w:val="Heading1"/>
      </w:pPr>
      <w:r>
        <w:t>2. Identity keys involved</w:t>
      </w:r>
    </w:p>
    <w:p>
      <w:pPr>
        <w:spacing w:after="120"/>
      </w:pPr>
      <w:r>
        <w:rPr>
          <w:b w:val="0"/>
          <w:i w:val="0"/>
          <w:sz w:val="22"/>
        </w:rPr>
        <w:t>Five identifiers matter. Understanding which one crosses the boundary is the core of this document.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Identifier</w:t>
            </w:r>
          </w:p>
        </w:tc>
        <w:tc>
          <w:tcPr>
            <w:tcW w:type="dxa" w:w="2880"/>
          </w:tcPr>
          <w:p>
            <w:r>
              <w:rPr>
                <w:b/>
                <w:sz w:val="20"/>
              </w:rPr>
              <w:t>Lives in</w:t>
            </w:r>
          </w:p>
        </w:tc>
        <w:tc>
          <w:tcPr>
            <w:tcW w:type="dxa" w:w="2880"/>
          </w:tcPr>
          <w:p>
            <w:r>
              <w:rPr>
                <w:b/>
                <w:sz w:val="20"/>
              </w:rPr>
              <w:t>Meaning</w:t>
            </w:r>
          </w:p>
        </w:tc>
      </w:tr>
      <w:tr>
        <w:tc>
          <w:tcPr>
            <w:tcW w:type="dxa" w:w="2880"/>
          </w:tcPr>
          <w:p>
            <w:r>
              <w:rPr>
                <w:sz w:val="19"/>
              </w:rPr>
              <w:t>Auth subject (sub)</w:t>
            </w:r>
          </w:p>
        </w:tc>
        <w:tc>
          <w:tcPr>
            <w:tcW w:type="dxa" w:w="2880"/>
          </w:tcPr>
          <w:p>
            <w:r>
              <w:rPr>
                <w:sz w:val="19"/>
              </w:rPr>
              <w:t>our DB (JWT)</w:t>
            </w:r>
          </w:p>
        </w:tc>
        <w:tc>
          <w:tcPr>
            <w:tcW w:type="dxa" w:w="2880"/>
          </w:tcPr>
          <w:p>
            <w:r>
              <w:rPr>
                <w:sz w:val="19"/>
              </w:rPr>
              <w:t>String in the login token. Local auth mode issues an HS256 JWT whose sub identifies the account; Cognito mode carries the Cognito sub.</w:t>
            </w:r>
          </w:p>
        </w:tc>
      </w:tr>
      <w:tr>
        <w:tc>
          <w:tcPr>
            <w:tcW w:type="dxa" w:w="2880"/>
          </w:tcPr>
          <w:p>
            <w:r>
              <w:rPr>
                <w:sz w:val="19"/>
              </w:rPr>
              <w:t>users.user_id</w:t>
            </w:r>
          </w:p>
        </w:tc>
        <w:tc>
          <w:tcPr>
            <w:tcW w:type="dxa" w:w="2880"/>
          </w:tcPr>
          <w:p>
            <w:r>
              <w:rPr>
                <w:sz w:val="19"/>
              </w:rPr>
              <w:t>childcare.users</w:t>
            </w:r>
          </w:p>
        </w:tc>
        <w:tc>
          <w:tcPr>
            <w:tcW w:type="dxa" w:w="2880"/>
          </w:tcPr>
          <w:p>
            <w:r>
              <w:rPr>
                <w:sz w:val="19"/>
              </w:rPr>
              <w:t>Stores that sub verbatim. First login provisions the row.</w:t>
            </w:r>
          </w:p>
        </w:tc>
      </w:tr>
      <w:tr>
        <w:tc>
          <w:tcPr>
            <w:tcW w:type="dxa" w:w="2880"/>
          </w:tcPr>
          <w:p>
            <w:r>
              <w:rPr>
                <w:sz w:val="19"/>
              </w:rPr>
              <w:t>users.id</w:t>
            </w:r>
          </w:p>
        </w:tc>
        <w:tc>
          <w:tcPr>
            <w:tcW w:type="dxa" w:w="2880"/>
          </w:tcPr>
          <w:p>
            <w:r>
              <w:rPr>
                <w:sz w:val="19"/>
              </w:rPr>
              <w:t>childcare.users</w:t>
            </w:r>
          </w:p>
        </w:tc>
        <w:tc>
          <w:tcPr>
            <w:tcW w:type="dxa" w:w="2880"/>
          </w:tcPr>
          <w:p>
            <w:r>
              <w:rPr>
                <w:sz w:val="19"/>
              </w:rPr>
              <w:t>Numeric primary key of the account in our DB.</w:t>
            </w:r>
          </w:p>
        </w:tc>
      </w:tr>
      <w:tr>
        <w:tc>
          <w:tcPr>
            <w:tcW w:type="dxa" w:w="2880"/>
          </w:tcPr>
          <w:p>
            <w:r>
              <w:rPr>
                <w:sz w:val="19"/>
              </w:rPr>
              <w:t>applications.applicant_user_id</w:t>
            </w:r>
          </w:p>
        </w:tc>
        <w:tc>
          <w:tcPr>
            <w:tcW w:type="dxa" w:w="2880"/>
          </w:tcPr>
          <w:p>
            <w:r>
              <w:rPr>
                <w:sz w:val="19"/>
              </w:rPr>
              <w:t>childcare.applications</w:t>
            </w:r>
          </w:p>
        </w:tc>
        <w:tc>
          <w:tcPr>
            <w:tcW w:type="dxa" w:w="2880"/>
          </w:tcPr>
          <w:p>
            <w:r>
              <w:rPr>
                <w:sz w:val="19"/>
              </w:rPr>
              <w:t>Foreign key → users.id. Ties an application to the account that created it.</w:t>
            </w:r>
          </w:p>
        </w:tc>
      </w:tr>
      <w:tr>
        <w:tc>
          <w:tcPr>
            <w:tcW w:type="dxa" w:w="2880"/>
          </w:tcPr>
          <w:p>
            <w:r>
              <w:rPr>
                <w:sz w:val="19"/>
              </w:rPr>
              <w:t>applications.id</w:t>
            </w:r>
          </w:p>
        </w:tc>
        <w:tc>
          <w:tcPr>
            <w:tcW w:type="dxa" w:w="2880"/>
          </w:tcPr>
          <w:p>
            <w:r>
              <w:rPr>
                <w:sz w:val="19"/>
              </w:rPr>
              <w:t>childcare.applications</w:t>
            </w:r>
          </w:p>
        </w:tc>
        <w:tc>
          <w:tcPr>
            <w:tcW w:type="dxa" w:w="2880"/>
          </w:tcPr>
          <w:p>
            <w:r>
              <w:rPr>
                <w:sz w:val="19"/>
              </w:rPr>
              <w:t>Numeric primary key of one application (one wizard submission).</w:t>
            </w:r>
          </w:p>
        </w:tc>
      </w:tr>
      <w:tr>
        <w:tc>
          <w:tcPr>
            <w:tcW w:type="dxa" w:w="2880"/>
          </w:tcPr>
          <w:p>
            <w:r>
              <w:rPr>
                <w:sz w:val="19"/>
              </w:rPr>
              <w:t>applications.ccms_aplctn_id</w:t>
            </w:r>
          </w:p>
        </w:tc>
        <w:tc>
          <w:tcPr>
            <w:tcW w:type="dxa" w:w="2880"/>
          </w:tcPr>
          <w:p>
            <w:r>
              <w:rPr>
                <w:sz w:val="19"/>
              </w:rPr>
              <w:t>childcare.applications</w:t>
            </w:r>
          </w:p>
        </w:tc>
        <w:tc>
          <w:tcPr>
            <w:tcW w:type="dxa" w:w="2880"/>
          </w:tcPr>
          <w:p>
            <w:r>
              <w:rPr>
                <w:sz w:val="19"/>
              </w:rPr>
              <w:t>THE BRIDGE. After a successful push it holds the CCMS csa_portal.aplctn.id. Empty until then.</w:t>
            </w:r>
          </w:p>
        </w:tc>
      </w:tr>
      <w:tr>
        <w:tc>
          <w:tcPr>
            <w:tcW w:type="dxa" w:w="2880"/>
          </w:tcPr>
          <w:p>
            <w:r>
              <w:rPr>
                <w:sz w:val="19"/>
              </w:rPr>
              <w:t>csa_portal.aplctn.id</w:t>
            </w:r>
          </w:p>
        </w:tc>
        <w:tc>
          <w:tcPr>
            <w:tcW w:type="dxa" w:w="2880"/>
          </w:tcPr>
          <w:p>
            <w:r>
              <w:rPr>
                <w:sz w:val="19"/>
              </w:rPr>
              <w:t>CCMS</w:t>
            </w:r>
          </w:p>
        </w:tc>
        <w:tc>
          <w:tcPr>
            <w:tcW w:type="dxa" w:w="2880"/>
          </w:tcPr>
          <w:p>
            <w:r>
              <w:rPr>
                <w:sz w:val="19"/>
              </w:rPr>
              <w:t>CCMS-generated primary key of the application on the client side.</w:t>
            </w:r>
          </w:p>
        </w:tc>
      </w:tr>
      <w:tr>
        <w:tc>
          <w:tcPr>
            <w:tcW w:type="dxa" w:w="2880"/>
          </w:tcPr>
          <w:p>
            <w:r>
              <w:rPr>
                <w:sz w:val="19"/>
              </w:rPr>
              <w:t>csa_portal.person.id + prsn_role_link</w:t>
            </w:r>
          </w:p>
        </w:tc>
        <w:tc>
          <w:tcPr>
            <w:tcW w:type="dxa" w:w="2880"/>
          </w:tcPr>
          <w:p>
            <w:r>
              <w:rPr>
                <w:sz w:val="19"/>
              </w:rPr>
              <w:t>CCMS</w:t>
            </w:r>
          </w:p>
        </w:tc>
        <w:tc>
          <w:tcPr>
            <w:tcW w:type="dxa" w:w="2880"/>
          </w:tcPr>
          <w:p>
            <w:r>
              <w:rPr>
                <w:sz w:val="19"/>
              </w:rPr>
              <w:t>CCMS-generated identities for each participant (applicant, each child, non-custodial parent).</w:t>
            </w:r>
          </w:p>
        </w:tc>
      </w:tr>
    </w:tbl>
    <w:p>
      <w:pPr>
        <w:spacing w:after="40"/>
      </w:pPr>
    </w:p>
    <w:p>
      <w:pPr>
        <w:spacing w:after="120"/>
      </w:pPr>
      <w:r>
        <w:rPr>
          <w:b/>
          <w:i w:val="0"/>
          <w:sz w:val="22"/>
        </w:rPr>
        <w:t>Key point: our user id is never written into the CCMS database.</w:t>
      </w:r>
    </w:p>
    <w:p>
      <w:pPr>
        <w:spacing w:after="120"/>
      </w:pPr>
      <w:r>
        <w:rPr>
          <w:b w:val="0"/>
          <w:i w:val="0"/>
          <w:sz w:val="22"/>
        </w:rPr>
        <w:t>The CCMS side does not get applicant_user_id, users.id, or the auth sub. The applicant becomes an ordinary person row whose primary key is generated by CCMS. People are matched to real individuals by their attributes (name, date of birth, SSN where a target is agreed) — not by any id from our system.</w:t>
      </w:r>
    </w:p>
    <w:p>
      <w:pPr>
        <w:spacing w:after="40"/>
      </w:pPr>
      <w:r>
        <w:rPr>
          <w:b w:val="0"/>
          <w:i w:val="0"/>
          <w:sz w:val="22"/>
        </w:rPr>
        <w:t>The single durable link between the two systems is:</w:t>
      </w:r>
    </w:p>
    <w:p>
      <w:pPr>
        <w:spacing w:before="80" w:after="160"/>
        <w:ind w:left="360"/>
      </w:pPr>
      <w:r>
        <w:rPr>
          <w:rFonts w:ascii="Consolas" w:hAnsi="Consolas"/>
          <w:sz w:val="19"/>
        </w:rPr>
        <w:t>childcare.applications.id  ⟷  csa_portal.aplctn.id</w:t>
        <w:br/>
        <w:t xml:space="preserve">         (stored in childcare.applications.ccms_aplctn_id)</w:t>
      </w:r>
    </w:p>
    <w:p>
      <w:pPr>
        <w:pStyle w:val="Heading1"/>
      </w:pPr>
      <w:r>
        <w:t>3. End-to-end flow</w:t>
      </w:r>
    </w:p>
    <w:p>
      <w:pPr>
        <w:pStyle w:val="Heading2"/>
      </w:pPr>
      <w:r>
        <w:t>3.1  Account → token</w:t>
      </w:r>
    </w:p>
    <w:p>
      <w:pPr>
        <w:pStyle w:val="ListNumber"/>
        <w:spacing w:after="60"/>
      </w:pPr>
      <w:r>
        <w:t>The applicant registers or logs in: POST /auth/register or POST /auth/login on the backend-auth service (local auth mode, bcrypt + HS256).</w:t>
      </w:r>
    </w:p>
    <w:p>
      <w:pPr>
        <w:pStyle w:val="ListNumber"/>
        <w:spacing w:after="60"/>
      </w:pPr>
      <w:r>
        <w:t>backend-auth provisions / finds the row in childcare.users (user_id = token sub) and returns a JWT. The browser stores it and sends it as Authorization: Bearer &lt;token&gt; on every subsequent call.</w:t>
      </w:r>
    </w:p>
    <w:p>
      <w:pPr>
        <w:pStyle w:val="Heading2"/>
      </w:pPr>
      <w:r>
        <w:t>3.2  Filling the wizard → a DRAFT row</w:t>
      </w:r>
    </w:p>
    <w:p>
      <w:pPr>
        <w:pStyle w:val="ListNumber"/>
        <w:spacing w:after="60"/>
      </w:pPr>
      <w:r>
        <w:t>POST /applications creates a row in childcare.applications with application_status = 'DRAFT', applicant_user_id resolved from the token, and application_details = the entire wizard state as one JSONB blob.</w:t>
      </w:r>
    </w:p>
    <w:p>
      <w:pPr>
        <w:pStyle w:val="ListNumber"/>
        <w:spacing w:after="60"/>
      </w:pPr>
      <w:r>
        <w:t>Every autosave is PUT /applications/{id} — it overwrites the JSONB blob. Ownership is enforced: the row must belong to the calling user.</w:t>
      </w:r>
    </w:p>
    <w:p>
      <w:pPr>
        <w:pStyle w:val="Heading2"/>
      </w:pPr>
      <w:r>
        <w:t>3.3  “I AGREE” → SUBMITTED → push</w:t>
      </w:r>
    </w:p>
    <w:p>
      <w:pPr>
        <w:spacing w:after="120"/>
      </w:pPr>
      <w:r>
        <w:rPr>
          <w:b w:val="0"/>
          <w:i w:val="0"/>
          <w:sz w:val="22"/>
        </w:rPr>
        <w:t>The applicant reaches the signature screen and clicks I AGREE. The wizard’s submit handler runs two calls in sequence:</w:t>
      </w:r>
    </w:p>
    <w:p>
      <w:pPr>
        <w:pStyle w:val="ListNumber"/>
        <w:spacing w:after="60"/>
      </w:pPr>
      <w:r>
        <w:t>POST /applications/{id}/submit — validates the certification, flips the row DRAFT → SUBMITTED, stamps submitted_at, and writes the consent snapshots into application_agreements.</w:t>
      </w:r>
    </w:p>
    <w:p>
      <w:pPr>
        <w:pStyle w:val="ListNumber"/>
        <w:spacing w:after="60"/>
      </w:pPr>
      <w:r>
        <w:t>POST /worker/applications/{id}/push?dryRun=false — the new integration. This is the ONLY place the worker is triggered from the UI. It is best-effort: if it fails the applicant still gets their confirmation and reference number, and the application stays SUBMITTED with ccms_aplctn_id still empty so it can be pushed again later.</w:t>
      </w:r>
    </w:p>
    <w:p>
      <w:pPr>
        <w:pStyle w:val="Heading2"/>
      </w:pPr>
      <w:r>
        <w:t>3.4  Inside the worker (POST /worker/applications/{id}/push)</w:t>
      </w:r>
    </w:p>
    <w:p>
      <w:pPr>
        <w:pStyle w:val="ListNumber"/>
        <w:spacing w:after="60"/>
      </w:pPr>
      <w:r>
        <w:t>Load — SELECT the application row from childcare.applications by id. (The endpoint requires a valid bearer token but does not filter by owner — it is an operational endpoint.)</w:t>
      </w:r>
    </w:p>
    <w:p>
      <w:pPr>
        <w:pStyle w:val="ListNumber"/>
        <w:spacing w:after="60"/>
      </w:pPr>
      <w:r>
        <w:t>Guard — status must be SUBMITTED, otherwise 409.</w:t>
      </w:r>
    </w:p>
    <w:p>
      <w:pPr>
        <w:pStyle w:val="ListNumber"/>
        <w:spacing w:after="60"/>
      </w:pPr>
      <w:r>
        <w:t>Idempotency — if ccms_aplctn_id is already set and this is a real commit, return 409 unless ?force=true is passed (force soft-deletes the previous CCMS graph first).</w:t>
      </w:r>
    </w:p>
    <w:p>
      <w:pPr>
        <w:pStyle w:val="ListNumber"/>
        <w:spacing w:after="60"/>
      </w:pPr>
      <w:r>
        <w:t>Canonicalise — _canonical(row): if application_details still has the raw wizard shape ({data, details, …}) it is run through normalize.to_canonical(); a submitted row is already canonical and passes straight through.</w:t>
      </w:r>
    </w:p>
    <w:p>
      <w:pPr>
        <w:pStyle w:val="ListNumber"/>
        <w:spacing w:after="60"/>
      </w:pPr>
      <w:r>
        <w:t>Build meta — sourceApplicationId = our applications.id, sourceReferenceCode = reference_code, createdBy = 'CSA_PORTAL' (the audit actor — a system account string, not the end user).</w:t>
      </w:r>
    </w:p>
    <w:p>
      <w:pPr>
        <w:pStyle w:val="ListNumber"/>
        <w:spacing w:after="60"/>
      </w:pPr>
      <w:r>
        <w:t>Map — ccms_mapper.build_payload(canonical, meta) produces a payload grouped by CCMS entity, using CCMS column names, with local ref handles ('applicant', 'child-1', 'ncp') so foreign keys can be wired before CCMS ids exist. Wizard vocabulary is translated to CCMS codes here (gender, state, race, relationship, military branch, phone normalisation, …).</w:t>
      </w:r>
    </w:p>
    <w:p>
      <w:pPr>
        <w:pStyle w:val="ListNumber"/>
        <w:spacing w:after="60"/>
      </w:pPr>
      <w:r>
        <w:t>Write — ccms_writer.push() opens a SECOND connection pool to CCMS_DATABASE_URL (search_path = csa_portal, csa_common, public) and runs one transaction (see §4).</w:t>
      </w:r>
    </w:p>
    <w:p>
      <w:pPr>
        <w:pStyle w:val="ListNumber"/>
        <w:spacing w:after="60"/>
      </w:pPr>
      <w:r>
        <w:t>Link back — on a successful commit: UPDATE childcare.applications SET ccms_aplctn_id = &lt;new aplctn.id&gt; WHERE id = &lt;app_id&gt;. This is the moment the two systems become correlated.</w:t>
      </w:r>
    </w:p>
    <w:p>
      <w:pPr>
        <w:pStyle w:val="ListNumber"/>
        <w:spacing w:after="60"/>
      </w:pPr>
      <w:r>
        <w:t>Respond — the endpoint returns { payload, outcome }. outcome.result.aplctn.id is the new CCMS id; outcome.clipped lists any string values the writer had to trim to fit a CCMS column length.</w:t>
      </w:r>
    </w:p>
    <w:p>
      <w:pPr>
        <w:pStyle w:val="Heading1"/>
      </w:pPr>
      <w:r>
        <w:t>4. How the data is extracted and written</w:t>
      </w:r>
    </w:p>
    <w:p>
      <w:pPr>
        <w:spacing w:after="120"/>
      </w:pPr>
      <w:r>
        <w:rPr>
          <w:b w:val="0"/>
          <w:i w:val="0"/>
          <w:sz w:val="22"/>
        </w:rPr>
        <w:t>The wizard form is stored as a single JSONB document. Three components turn it into CCMS rows: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Transforms</w:t>
            </w:r>
          </w:p>
        </w:tc>
        <w:tc>
          <w:tcPr>
            <w:tcW w:type="dxa" w:w="2880"/>
          </w:tcPr>
          <w:p>
            <w:r>
              <w:rPr>
                <w:b/>
                <w:sz w:val="20"/>
              </w:rPr>
              <w:t>Notes</w:t>
            </w:r>
          </w:p>
        </w:tc>
      </w:tr>
      <w:tr>
        <w:tc>
          <w:tcPr>
            <w:tcW w:type="dxa" w:w="2880"/>
          </w:tcPr>
          <w:p>
            <w:r>
              <w:rPr>
                <w:sz w:val="19"/>
              </w:rPr>
              <w:t>normalize.to_canonical</w:t>
            </w:r>
          </w:p>
        </w:tc>
        <w:tc>
          <w:tcPr>
            <w:tcW w:type="dxa" w:w="2880"/>
          </w:tcPr>
          <w:p>
            <w:r>
              <w:rPr>
                <w:sz w:val="19"/>
              </w:rPr>
              <w:t>raw wizard JSON → canonical document</w:t>
            </w:r>
          </w:p>
        </w:tc>
        <w:tc>
          <w:tcPr>
            <w:tcW w:type="dxa" w:w="2880"/>
          </w:tcPr>
          <w:p>
            <w:r>
              <w:rPr>
                <w:sz w:val="19"/>
              </w:rPr>
              <w:t>Flattens the wizard’s step/section structure into a stable canonical shape (applicant, children[], noncustodialParent, services, supportOrders, …).</w:t>
            </w:r>
          </w:p>
        </w:tc>
      </w:tr>
      <w:tr>
        <w:tc>
          <w:tcPr>
            <w:tcW w:type="dxa" w:w="2880"/>
          </w:tcPr>
          <w:p>
            <w:r>
              <w:rPr>
                <w:sz w:val="19"/>
              </w:rPr>
              <w:t>ccms_mapper.build_payload</w:t>
            </w:r>
          </w:p>
        </w:tc>
        <w:tc>
          <w:tcPr>
            <w:tcW w:type="dxa" w:w="2880"/>
          </w:tcPr>
          <w:p>
            <w:r>
              <w:rPr>
                <w:sz w:val="19"/>
              </w:rPr>
              <w:t>canonical → grouped payload</w:t>
            </w:r>
          </w:p>
        </w:tc>
        <w:tc>
          <w:tcPr>
            <w:tcW w:type="dxa" w:w="2880"/>
          </w:tcPr>
          <w:p>
            <w:r>
              <w:rPr>
                <w:sz w:val="19"/>
              </w:rPr>
              <w:t>One dict per CCMS entity with CCMS column names and code translation. Anything with no confirmed target (support orders, financial accounts, property, marital status, case/work_item) is carried under payload.unmapped and NOT written.</w:t>
            </w:r>
          </w:p>
        </w:tc>
      </w:tr>
      <w:tr>
        <w:tc>
          <w:tcPr>
            <w:tcW w:type="dxa" w:w="2880"/>
          </w:tcPr>
          <w:p>
            <w:r>
              <w:rPr>
                <w:sz w:val="19"/>
              </w:rPr>
              <w:t>ccms_writer.push</w:t>
            </w:r>
          </w:p>
        </w:tc>
        <w:tc>
          <w:tcPr>
            <w:tcW w:type="dxa" w:w="2880"/>
          </w:tcPr>
          <w:p>
            <w:r>
              <w:rPr>
                <w:sz w:val="19"/>
              </w:rPr>
              <w:t>payload → rows in csa_portal</w:t>
            </w:r>
          </w:p>
        </w:tc>
        <w:tc>
          <w:tcPr>
            <w:tcW w:type="dxa" w:w="2880"/>
          </w:tcPr>
          <w:p>
            <w:r>
              <w:rPr>
                <w:sz w:val="19"/>
              </w:rPr>
              <w:t>One transaction, inserts in foreign-key order, clips over-long strings, commits (or rolls back).</w:t>
            </w:r>
          </w:p>
        </w:tc>
      </w:tr>
    </w:tbl>
    <w:p>
      <w:pPr>
        <w:spacing w:after="40"/>
      </w:pPr>
    </w:p>
    <w:p>
      <w:pPr>
        <w:pStyle w:val="Heading2"/>
      </w:pPr>
      <w:r>
        <w:t>4.1  Insert order (one transaction per application)</w:t>
      </w:r>
    </w:p>
    <w:p>
      <w:pPr>
        <w:spacing w:before="80" w:after="160"/>
        <w:ind w:left="360"/>
      </w:pPr>
      <w:r>
        <w:rPr>
          <w:rFonts w:ascii="Consolas" w:hAnsi="Consolas"/>
          <w:sz w:val="19"/>
        </w:rPr>
        <w:t>aplctn</w:t>
        <w:br/>
        <w:t xml:space="preserve"> └─ for each person (applicant, each child, NCP):</w:t>
        <w:br/>
        <w:t xml:space="preserve">      person</w:t>
        <w:br/>
        <w:t xml:space="preserve">       └─ prsn_role_link  (prsn_id, aplctn_id, role_cd, mbr_type, relationship_to_child)</w:t>
        <w:br/>
        <w:t xml:space="preserve">            ├─ cp_prsn_detail | ncp_prsn_detail | child_prsn_detail</w:t>
        <w:br/>
        <w:t xml:space="preserve">            ├─ address → addr_addr_typ_lnk → prsn_addr_link</w:t>
        <w:br/>
        <w:t xml:space="preserve">            ├─ contact → prsn_contact_link</w:t>
        <w:br/>
        <w:t xml:space="preserve">            ├─ employers → prsn_emplr_link</w:t>
        <w:br/>
        <w:t xml:space="preserve">            ├─ cp_prsn_income | ncp_prsn_income</w:t>
        <w:br/>
        <w:t xml:space="preserve">            └─ (NCP only) nc_military_srvc, nc_jail_srvc</w:t>
      </w:r>
    </w:p>
    <w:p>
      <w:pPr>
        <w:spacing w:after="120"/>
      </w:pPr>
      <w:r>
        <w:rPr>
          <w:b w:val="0"/>
          <w:i w:val="0"/>
          <w:sz w:val="22"/>
        </w:rPr>
        <w:t>If any single insert fails, the whole transaction rolls back — there is never a half-written application on the CCMS side. Every row carries created_by = updated_by = 'CSA_PORTAL' and isdeleted = 'N'.</w:t>
      </w:r>
    </w:p>
    <w:p>
      <w:pPr>
        <w:pStyle w:val="Heading2"/>
      </w:pPr>
      <w:r>
        <w:t>4.2  What each person becomes</w:t>
      </w:r>
    </w:p>
    <w:p>
      <w:pPr>
        <w:pStyle w:val="ListBullet"/>
        <w:spacing w:after="60"/>
      </w:pPr>
      <w:r>
        <w:t>Applicant → person + prsn_role_link (role_cd CU_CP, mbr_type CP) + cp_prsn_detail; address(es), contacts (email as contact_type_key 'PER'), employer, income.</w:t>
      </w:r>
    </w:p>
    <w:p>
      <w:pPr>
        <w:pStyle w:val="ListBullet"/>
        <w:spacing w:after="60"/>
      </w:pPr>
      <w:r>
        <w:t>Each child → person + prsn_role_link (role_cd CHILD) + child_prsn_detail (paternity).</w:t>
      </w:r>
    </w:p>
    <w:p>
      <w:pPr>
        <w:pStyle w:val="ListBullet"/>
        <w:spacing w:after="60"/>
      </w:pPr>
      <w:r>
        <w:t>Non-custodial parent → person + prsn_role_link (role_cd NCP, mbr_type AP) + ncp_prsn_detail; physical description on person; military / incarceration sub-rows.</w:t>
      </w:r>
    </w:p>
    <w:p>
      <w:pPr>
        <w:pStyle w:val="Heading1"/>
      </w:pPr>
      <w:r>
        <w:t>5. Operating modes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Call</w:t>
            </w:r>
          </w:p>
        </w:tc>
        <w:tc>
          <w:tcPr>
            <w:tcW w:type="dxa" w:w="4320"/>
          </w:tcPr>
          <w:p>
            <w:r>
              <w:rPr>
                <w:b/>
                <w:sz w:val="20"/>
              </w:rPr>
              <w:t>Effect</w:t>
            </w:r>
          </w:p>
        </w:tc>
      </w:tr>
      <w:tr>
        <w:tc>
          <w:tcPr>
            <w:tcW w:type="dxa" w:w="4320"/>
          </w:tcPr>
          <w:p>
            <w:r>
              <w:rPr>
                <w:sz w:val="19"/>
              </w:rPr>
              <w:t>POST /worker/applications/{id}/payload</w:t>
            </w:r>
          </w:p>
        </w:tc>
        <w:tc>
          <w:tcPr>
            <w:tcW w:type="dxa" w:w="4320"/>
          </w:tcPr>
          <w:p>
            <w:r>
              <w:rPr>
                <w:sz w:val="19"/>
              </w:rPr>
              <w:t>Build the payload only. Touches no database. Used to review the mapping.</w:t>
            </w:r>
          </w:p>
        </w:tc>
      </w:tr>
      <w:tr>
        <w:tc>
          <w:tcPr>
            <w:tcW w:type="dxa" w:w="4320"/>
          </w:tcPr>
          <w:p>
            <w:r>
              <w:rPr>
                <w:sz w:val="19"/>
              </w:rPr>
              <w:t>…/push?dryRun=true</w:t>
            </w:r>
          </w:p>
        </w:tc>
        <w:tc>
          <w:tcPr>
            <w:tcW w:type="dxa" w:w="4320"/>
          </w:tcPr>
          <w:p>
            <w:r>
              <w:rPr>
                <w:sz w:val="19"/>
              </w:rPr>
              <w:t>Build the ordered insert plan and return it. Writes nothing.</w:t>
            </w:r>
          </w:p>
        </w:tc>
      </w:tr>
      <w:tr>
        <w:tc>
          <w:tcPr>
            <w:tcW w:type="dxa" w:w="4320"/>
          </w:tcPr>
          <w:p>
            <w:r>
              <w:rPr>
                <w:sz w:val="19"/>
              </w:rPr>
              <w:t>…/push?dryRun=false&amp;rollback=true</w:t>
            </w:r>
          </w:p>
        </w:tc>
        <w:tc>
          <w:tcPr>
            <w:tcW w:type="dxa" w:w="4320"/>
          </w:tcPr>
          <w:p>
            <w:r>
              <w:rPr>
                <w:sz w:val="19"/>
              </w:rPr>
              <w:t>Run every insert against CCMS, then ROLL BACK. Proves the SQL end-to-end without persisting (QA).</w:t>
            </w:r>
          </w:p>
        </w:tc>
      </w:tr>
      <w:tr>
        <w:tc>
          <w:tcPr>
            <w:tcW w:type="dxa" w:w="4320"/>
          </w:tcPr>
          <w:p>
            <w:r>
              <w:rPr>
                <w:sz w:val="19"/>
              </w:rPr>
              <w:t>…/push?dryRun=false</w:t>
            </w:r>
          </w:p>
        </w:tc>
        <w:tc>
          <w:tcPr>
            <w:tcW w:type="dxa" w:w="4320"/>
          </w:tcPr>
          <w:p>
            <w:r>
              <w:rPr>
                <w:sz w:val="19"/>
              </w:rPr>
              <w:t>Commit. Writes the graph and sets ccms_aplctn_id. 409 if the application was already pushed.</w:t>
            </w:r>
          </w:p>
        </w:tc>
      </w:tr>
      <w:tr>
        <w:tc>
          <w:tcPr>
            <w:tcW w:type="dxa" w:w="4320"/>
          </w:tcPr>
          <w:p>
            <w:r>
              <w:rPr>
                <w:sz w:val="19"/>
              </w:rPr>
              <w:t>…/push?dryRun=false&amp;force=true</w:t>
            </w:r>
          </w:p>
        </w:tc>
        <w:tc>
          <w:tcPr>
            <w:tcW w:type="dxa" w:w="4320"/>
          </w:tcPr>
          <w:p>
            <w:r>
              <w:rPr>
                <w:sz w:val="19"/>
              </w:rPr>
              <w:t>Soft-delete the previous CCMS graph (isdeleted='Y', only rows created_by='CSA_PORTAL'), then insert a fresh one.</w:t>
            </w:r>
          </w:p>
        </w:tc>
      </w:tr>
    </w:tbl>
    <w:p>
      <w:pPr>
        <w:spacing w:after="40"/>
      </w:pPr>
    </w:p>
    <w:p>
      <w:pPr>
        <w:pStyle w:val="Heading1"/>
      </w:pPr>
      <w:r>
        <w:t>6. Reconciliation — answering “which CCMS person is this portal user?”</w:t>
      </w:r>
    </w:p>
    <w:p>
      <w:pPr>
        <w:spacing w:after="120"/>
      </w:pPr>
      <w:r>
        <w:rPr>
          <w:b w:val="0"/>
          <w:i w:val="0"/>
          <w:sz w:val="22"/>
        </w:rPr>
        <w:t>Because the user id is not propagated, you traverse the bridge column:</w:t>
      </w:r>
    </w:p>
    <w:p>
      <w:pPr>
        <w:spacing w:before="80" w:after="160"/>
        <w:ind w:left="360"/>
      </w:pPr>
      <w:r>
        <w:rPr>
          <w:rFonts w:ascii="Consolas" w:hAnsi="Consolas"/>
          <w:sz w:val="19"/>
        </w:rPr>
        <w:t>-- our side: from a portal account to the CCMS application id</w:t>
        <w:br/>
        <w:t>SELECT a.id            AS our_application_id,</w:t>
        <w:br/>
        <w:t xml:space="preserve">       a.ccms_aplctn_id AS ccms_aplctn_id,</w:t>
        <w:br/>
        <w:t xml:space="preserve">       a.application_status</w:t>
        <w:br/>
        <w:t>FROM   childcare.applications a</w:t>
        <w:br/>
        <w:t>JOIN   childcare.users u ON u.id = a.applicant_user_id</w:t>
        <w:br/>
        <w:t>WHERE  u.user_id = :auth_sub;      -- or u.recovery_email = :email</w:t>
        <w:br/>
        <w:br/>
        <w:t>-- CCMS side: from that aplctn id to the applicant person</w:t>
        <w:br/>
        <w:t>SELECT p.id, p.first_name, p.last_name, p.dob, r.role_cd</w:t>
        <w:br/>
        <w:t>FROM   csa_portal.prsn_role_link r</w:t>
        <w:br/>
        <w:t>JOIN   csa_portal.person p ON p.id = r.prsn_id</w:t>
        <w:br/>
        <w:t>WHERE  r.aplctn_id = :ccms_aplctn_id</w:t>
        <w:br/>
        <w:t xml:space="preserve">  AND  r.role_cd = 'CU_CP';        -- CHILD / NCP for the others</w:t>
      </w:r>
    </w:p>
    <w:p>
      <w:pPr>
        <w:spacing w:after="120"/>
      </w:pPr>
      <w:r>
        <w:rPr>
          <w:b w:val="0"/>
          <w:i w:val="0"/>
          <w:sz w:val="22"/>
        </w:rPr>
        <w:t>If ccms_aplctn_id is NULL the application has not been pushed (or a push failed). There is no other way to correlate — by design.</w:t>
      </w:r>
    </w:p>
    <w:p>
      <w:pPr>
        <w:pStyle w:val="Heading1"/>
      </w:pPr>
      <w:r>
        <w:t>7. Failure handling &amp; safety</w:t>
      </w:r>
    </w:p>
    <w:p>
      <w:pPr>
        <w:pStyle w:val="ListBullet"/>
        <w:spacing w:after="60"/>
      </w:pPr>
      <w:r>
        <w:t>Transactional: a failed push leaves nothing on the CCMS side; our row stays SUBMITTED with ccms_aplctn_id empty and can be retried.</w:t>
      </w:r>
    </w:p>
    <w:p>
      <w:pPr>
        <w:pStyle w:val="ListBullet"/>
        <w:spacing w:after="60"/>
      </w:pPr>
      <w:r>
        <w:t>Best-effort from the wizard: a worker failure never blocks the applicant’s confirmation.</w:t>
      </w:r>
    </w:p>
    <w:p>
      <w:pPr>
        <w:pStyle w:val="ListBullet"/>
        <w:spacing w:after="60"/>
      </w:pPr>
      <w:r>
        <w:t>Idempotent: ccms_aplctn_id + the 409 guard stop the same application being pushed twice; ?force=true is the deliberate re-push.</w:t>
      </w:r>
    </w:p>
    <w:p>
      <w:pPr>
        <w:pStyle w:val="ListBullet"/>
        <w:spacing w:after="60"/>
      </w:pPr>
      <w:r>
        <w:t>Length-safe: the writer clips any string to its CCMS column limit and reports it in outcome.clipped, so one unmapped code cannot fail the whole transaction.</w:t>
      </w:r>
    </w:p>
    <w:p>
      <w:pPr>
        <w:pStyle w:val="ListBullet"/>
        <w:spacing w:after="60"/>
      </w:pPr>
      <w:r>
        <w:t>Target-safe: CCMS_DATABASE_URL stays on the local clone until the client confirms live vs. *_wp tables, jurisdiction assignment, and whether a cs_case / work_item must accompany each application.</w:t>
      </w:r>
    </w:p>
    <w:p>
      <w:pPr>
        <w:pStyle w:val="ListBullet"/>
        <w:spacing w:after="60"/>
      </w:pPr>
      <w:r>
        <w:t>PII: the payload contains real applicant data; database dumps and clones are gitignored and never committed.</w:t>
      </w:r>
    </w:p>
    <w:p>
      <w:pPr>
        <w:pStyle w:val="Heading1"/>
      </w:pPr>
      <w:r>
        <w:t>8. Open items that affect the flow</w:t>
      </w:r>
    </w:p>
    <w:p>
      <w:pPr>
        <w:pStyle w:val="ListBullet"/>
        <w:spacing w:after="60"/>
      </w:pPr>
      <w:r>
        <w:t>SSN target — the client’s person table has no ssn column; SSN is carried in the payload (persons[].ssn) but not written pending a target table.</w:t>
      </w:r>
    </w:p>
    <w:p>
      <w:pPr>
        <w:pStyle w:val="ListBullet"/>
        <w:spacing w:after="60"/>
      </w:pPr>
      <w:r>
        <w:t>Jurisdiction (jurisd_cd) — currently null; the client’s worker queues filter on it, so a pushed application may not appear in any queue until this is mapped.</w:t>
      </w:r>
    </w:p>
    <w:p>
      <w:pPr>
        <w:pStyle w:val="ListBullet"/>
        <w:spacing w:after="60"/>
      </w:pPr>
      <w:r>
        <w:t>cs_case / work_item — not created in the current scope (option A); most CCMS screens list cases, not bare applications.</w:t>
      </w:r>
    </w:p>
    <w:p>
      <w:pPr>
        <w:pStyle w:val="ListBullet"/>
        <w:spacing w:after="60"/>
      </w:pPr>
      <w:r>
        <w:t>Code lists — relationship_to_child, military_branch_cd, suffix, service/case-status codes are best-effort until the client confirms their reference_data values.</w:t>
      </w:r>
    </w:p>
    <w:p/>
    <w:p>
      <w:pPr>
        <w:jc w:val="center"/>
      </w:pPr>
      <w:r>
        <w:rPr>
          <w:i/>
          <w:color w:val="666666"/>
        </w:rPr>
        <w:t>— end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