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color w:val="202124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4"/>
          <w:szCs w:val="34"/>
          <w:shd w:fill="auto" w:val="clear"/>
          <w:vertAlign w:val="baseline"/>
          <w:rtl w:val="0"/>
        </w:rPr>
        <w:t xml:space="preserve">[UC0005] Cobrar consulta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Fluxo básico B0: O paciente paga a consulta em dinheiro.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1. A psicóloga acessa o sistema.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2. O sistema solicita os dados do plano do paciente.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3. O paciente informa que pagará em dinheiro.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4. A psicóloga realiza a cobrança.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5. O sistema calcula e apresenta o valor do troco. (abre a gaveta)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6. A psicóloga deposita o dinheiro e entrega o troco para o paciente, finaliza a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cobrança em dinheiro.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7. O sistema registra o pagamento em dinheiro, emite o recibo. [MSG0005]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8. O caso de uso se encerra.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Fluxo alternativo A1: O paciente paga a consulta no débito.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No passo 3 do fluxo B0, o paciente informa que pagará no débito.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sistema solicita o número do cartão e senha.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paciente fornece dados de sua conta de débito.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sistema envia as informações do cartão à operadora de cartão.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A operadora de cartão valida as informações.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sistema verifica o pagamento.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sistema registra o pagamento, e emite o recibo. [MSG0005]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Fluxo alternativo A2: Bloquear a cobrança com recusa do cartão de débito pela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operadora.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1. No passo 5 do fluxo B0, o paciente informa que pagará no débito.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2. A psicóloga realiza a cobrança.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3. O sistema solicita o número do cartão e senha.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4. O paciente fornece as informações da conta de débito.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5. O sistema envia as informações do cartão à operadora de cartão.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6. A operadora de cartão devolve o erro e recusa o cartão. [MSG0006]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7. O sistema retorna ao passo 6 do fluxo básico B0.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</w:rPr>
        <w:drawing>
          <wp:inline distB="114300" distT="114300" distL="114300" distR="114300">
            <wp:extent cx="5943600" cy="469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Diagrama de classes 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62625" cy="444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Edevilson Mendes da Silva RA:1903546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Fábio Monteiro Vieira RA: 1903966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Jessica Ribeiro Sousa RA: 1903394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Paulo Henrique Farinelli Leone RA: 1903421</w:t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vertAlign w:val="baseline"/>
          <w:rtl w:val="0"/>
        </w:rPr>
        <w:t xml:space="preserve">Victória Alcântara Mendes RA: 1902968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