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E3A8A"/>
          <w:sz w:val="26"/>
        </w:rPr>
        <w:t>ROYAUME DU MAROC</w:t>
        <w:br/>
      </w:r>
      <w:r>
        <w:rPr>
          <w:rFonts w:ascii="Georgia" w:hAnsi="Georgia"/>
          <w:i/>
          <w:color w:val="475569"/>
          <w:sz w:val="22"/>
        </w:rPr>
        <w:t>Institut Supérieur d'Ingénierie et des Affaires — Filière ISI</w:t>
      </w:r>
    </w:p>
    <w:p>
      <w:pPr>
        <w:spacing w:before="280" w:after="280"/>
        <w:jc w:val="center"/>
      </w:pPr>
      <w:r>
        <w:rPr>
          <w:b/>
          <w:color w:val="1E3A8A"/>
        </w:rPr>
        <w:t>―――――――――――――――――――――――――――――――――――――――――――――</w:t>
      </w:r>
    </w:p>
    <w:p>
      <w:pPr>
        <w:spacing w:before="200" w:after="200"/>
        <w:jc w:val="center"/>
      </w:pPr>
      <w:r>
        <w:rPr>
          <w:rFonts w:ascii="Arial" w:hAnsi="Arial"/>
          <w:b/>
          <w:color w:val="1E3A8A"/>
          <w:sz w:val="52"/>
        </w:rPr>
        <w:t>CAHIER DES CHARGES</w:t>
      </w:r>
    </w:p>
    <w:p>
      <w:pPr>
        <w:spacing w:before="100" w:after="400"/>
        <w:jc w:val="center"/>
      </w:pPr>
      <w:r>
        <w:rPr>
          <w:b/>
          <w:color w:val="1E3A8A"/>
        </w:rPr>
        <w:t>―――――――――――――――――――――――――――――――――――――――――――――</w:t>
      </w:r>
    </w:p>
    <w:p>
      <w:pPr>
        <w:spacing w:after="120"/>
        <w:jc w:val="center"/>
      </w:pPr>
      <w:r>
        <w:rPr>
          <w:rFonts w:ascii="Arial" w:hAnsi="Arial"/>
          <w:b/>
          <w:color w:val="1E3A8A"/>
          <w:sz w:val="32"/>
        </w:rPr>
        <w:t>Gestion du Planning des Cours du Temps Aménagé</w:t>
        <w:br/>
        <w:t>avec Gestion des Examens</w:t>
      </w:r>
    </w:p>
    <w:p>
      <w:pPr>
        <w:spacing w:after="280"/>
        <w:jc w:val="center"/>
      </w:pPr>
      <w:r>
        <w:rPr>
          <w:rFonts w:ascii="Arial" w:hAnsi="Arial"/>
          <w:b/>
          <w:color w:val="1B365D"/>
          <w:sz w:val="26"/>
        </w:rPr>
        <w:t>Projet « Synchro »</w:t>
      </w:r>
    </w:p>
    <w:p>
      <w:pPr>
        <w:spacing w:after="600"/>
        <w:jc w:val="center"/>
      </w:pPr>
      <w:r>
        <w:rPr>
          <w:rFonts w:ascii="Georgia" w:hAnsi="Georgia"/>
          <w:i/>
          <w:color w:val="475569"/>
          <w:sz w:val="21"/>
        </w:rPr>
        <w:t>Application web développée avec Laravel 13 (Action Pattern) — Dual Architecture : React SPA (Inertia.js) &amp; API RESTful (Mobile-Ready)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E3A8A"/>
          <w:bottom w:val="single" w:sz="8" w:space="0" w:color="1E3A8A"/>
          <w:insideH w:val="single" w:sz="8" w:space="0" w:color="1E3A8A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1E3A8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ÉQUIPE DU PROJET</w:t>
            </w:r>
          </w:p>
        </w:tc>
      </w:tr>
      <w:tr>
        <w:tc>
          <w:tcPr>
            <w:tcW w:type="dxa" w:w="9936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21"/>
              </w:rPr>
              <w:t>Marouane R'GUIBI</w:t>
            </w:r>
          </w:p>
        </w:tc>
      </w:tr>
      <w:tr>
        <w:tc>
          <w:tcPr>
            <w:tcW w:type="dxa" w:w="9936"/>
            <w:tcMar>
              <w:top w:w="100" w:type="dxa"/>
              <w:bottom w:w="100" w:type="dxa"/>
              <w:left w:w="200" w:type="dxa"/>
              <w:right w:w="20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21"/>
              </w:rPr>
              <w:t>Meriem BOUSSAID</w:t>
            </w:r>
          </w:p>
        </w:tc>
      </w:tr>
      <w:tr>
        <w:tc>
          <w:tcPr>
            <w:tcW w:type="dxa" w:w="9936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21"/>
              </w:rPr>
              <w:t>Zineb CHATOUI</w:t>
            </w:r>
          </w:p>
        </w:tc>
      </w:tr>
      <w:tr>
        <w:tc>
          <w:tcPr>
            <w:tcW w:type="dxa" w:w="9936"/>
            <w:tcMar>
              <w:top w:w="100" w:type="dxa"/>
              <w:bottom w:w="100" w:type="dxa"/>
              <w:left w:w="200" w:type="dxa"/>
              <w:right w:w="20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21"/>
              </w:rPr>
              <w:t>Abdelaziz EL MOUJAHID</w:t>
            </w:r>
          </w:p>
        </w:tc>
      </w:tr>
    </w:tbl>
    <w:p>
      <w:pPr>
        <w:spacing w:after="3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E3A8A"/>
          <w:bottom w:val="single" w:sz="8" w:space="0" w:color="1E3A8A"/>
          <w:insideH w:val="single" w:sz="8" w:space="0" w:color="1E3A8A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1E3A8A"/>
                <w:sz w:val="20"/>
              </w:rPr>
              <w:t>Encadré par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M. Ahmed OUTZOURHIT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1E3A8A"/>
                <w:sz w:val="20"/>
              </w:rPr>
              <w:t>Filière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20"/>
              </w:rPr>
              <w:t>1CI — ISI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1E3A8A"/>
                <w:sz w:val="20"/>
              </w:rPr>
              <w:t>Année universitaire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 w:val="0"/>
                <w:color w:val="0F172A"/>
                <w:sz w:val="20"/>
              </w:rPr>
              <w:t>2025 / 2026</w:t>
            </w:r>
          </w:p>
        </w:tc>
      </w:tr>
    </w:tbl>
    <w:p>
      <w:r>
        <w:br w:type="page"/>
      </w:r>
    </w:p>
    <w:p>
      <w:pPr>
        <w:spacing w:after="320"/>
        <w:jc w:val="center"/>
      </w:pPr>
      <w:r>
        <w:rPr>
          <w:rFonts w:ascii="Arial" w:hAnsi="Arial"/>
          <w:b/>
          <w:color w:val="1E3A8A"/>
          <w:sz w:val="36"/>
        </w:rPr>
        <w:t>SOMMAIRE / PLAN DU DOCUMENT</w:t>
      </w:r>
    </w:p>
    <w:p>
      <w:pPr>
        <w:spacing w:after="60"/>
      </w:pPr>
      <w:r>
        <w:rPr>
          <w:rFonts w:ascii="Arial" w:hAnsi="Arial"/>
          <w:b/>
          <w:color w:val="1E3A8A"/>
          <w:sz w:val="21"/>
        </w:rPr>
        <w:t>1. INTRODUCTION &amp; CONTEXTE DU PROJET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1.1. Contexte Général &amp; Spécificités du Temps Aménagé à l'ISGA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1.2. Analyse de l'Existant &amp; Problématique Rencontrée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1.3. Objectifs Généraux &amp; Valeur Ajoutée du Projet Synchro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1.4. Périmètre, Extensibilité Mobile &amp; Limites du Système</w:t>
      </w:r>
    </w:p>
    <w:p>
      <w:pPr>
        <w:spacing w:after="60"/>
      </w:pPr>
      <w:r>
        <w:rPr>
          <w:rFonts w:ascii="Arial" w:hAnsi="Arial"/>
          <w:b/>
          <w:color w:val="1E3A8A"/>
          <w:sz w:val="21"/>
        </w:rPr>
        <w:t>2. IDENTIFICATION DES ACTEURS &amp; MATRICE DES DROITS (RBAC)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2.1. Typologie des Utilisateurs (Administrateur, Enseignant, Étudiant)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2.2. Matrice des Droits et Privilèges d'Accès</w:t>
      </w:r>
    </w:p>
    <w:p>
      <w:pPr>
        <w:spacing w:after="60"/>
      </w:pPr>
      <w:r>
        <w:rPr>
          <w:rFonts w:ascii="Arial" w:hAnsi="Arial"/>
          <w:b/>
          <w:color w:val="1E3A8A"/>
          <w:sz w:val="21"/>
        </w:rPr>
        <w:t>3. SPÉCIFICATIONS FONCTIONNELLES DÉTAILLÉES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3.1. Module 1 : Référentiel &amp; Données de Base (Filières, Salles, Imports Excel)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3.2. Module 2 : Gestion des Contraintes &amp; Disponibilités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3.3. Module 3 : Planification Interactive des Cours (Drag &amp; Drop &amp; Anti-Conflit)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3.4. Module 4 : Organisation Complète des Examens &amp; Émargements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3.5. Module 5 : Saisie des Notes, PV &amp; Délibérations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3.6. Module 6 : Système de Communication &amp; Alertes Multi-Canaux</w:t>
      </w:r>
    </w:p>
    <w:p>
      <w:pPr>
        <w:spacing w:after="60"/>
      </w:pPr>
      <w:r>
        <w:rPr>
          <w:rFonts w:ascii="Arial" w:hAnsi="Arial"/>
          <w:b/>
          <w:color w:val="1E3A8A"/>
          <w:sz w:val="21"/>
        </w:rPr>
        <w:t>4. EXIGENCES NON-FONCTIONNELLES &amp; SÉCURITÉ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4.1. Sécurité des Données &amp; Protection contre les Failles (Laravel Sanctum, CSRF)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4.2. Performance &amp; Temps de Réponse (&lt; 200 ms)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4.3. Ergonomie &amp; Expérience Utilisateur (UI/UX)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4.4. Maintenabilité, Robustesse &amp; Tests</w:t>
      </w:r>
    </w:p>
    <w:p>
      <w:pPr>
        <w:spacing w:after="60"/>
      </w:pPr>
      <w:r>
        <w:rPr>
          <w:rFonts w:ascii="Arial" w:hAnsi="Arial"/>
          <w:b/>
          <w:color w:val="1E3A8A"/>
          <w:sz w:val="21"/>
        </w:rPr>
        <w:t>5. ARCHITECTURE TECHNIQUE &amp; CHOIX TECHNOLOGIQUES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5.1. Justification de la Stack (Laravel 13, Inertia.js v2, React, Tailwind)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5.2. Patron d'Architecture Logicielle : Single-Action Pattern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5.3. Architecture Dual-Engine (Inertia SPA + API REST Mobile-Ready) &amp; Diagramme</w:t>
      </w:r>
    </w:p>
    <w:p>
      <w:pPr>
        <w:spacing w:after="60"/>
      </w:pPr>
      <w:r>
        <w:rPr>
          <w:rFonts w:ascii="Arial" w:hAnsi="Arial"/>
          <w:b/>
          <w:color w:val="1E3A8A"/>
          <w:sz w:val="21"/>
        </w:rPr>
        <w:t>6. MODÉLISATION DU SYSTÈME &amp; DIAGRAMMES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6.1. Diagramme Global des Cas d'Utilisation (Use Case)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6.2. Diagrammes de Séquence Métier (Planification Cours &amp; Organisation Examens)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6.3. Modèle Conceptuel de Données (MCD / Entités-Relations &amp; RBAC)</w:t>
      </w:r>
    </w:p>
    <w:p>
      <w:pPr>
        <w:spacing w:after="60"/>
      </w:pPr>
      <w:r>
        <w:rPr>
          <w:rFonts w:ascii="Arial" w:hAnsi="Arial"/>
          <w:b/>
          <w:color w:val="1E3A8A"/>
          <w:sz w:val="21"/>
        </w:rPr>
        <w:t>7. DÉMARCHE MÉTHODOLOGIQUE, PLANNING &amp; LIVRABLES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7.1. Méthodologie de Développement (Scrum / Sprints)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7.2. Planning Prévisionnel par Phases</w:t>
      </w:r>
    </w:p>
    <w:p>
      <w:pPr>
        <w:spacing w:after="40"/>
      </w:pPr>
      <w:r>
        <w:rPr>
          <w:rFonts w:ascii="Arial" w:hAnsi="Arial"/>
          <w:b w:val="0"/>
          <w:color w:val="0F172A"/>
          <w:sz w:val="19"/>
        </w:rPr>
        <w:t xml:space="preserve">    7.3. Liste des Livrables Officiels du Projet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hAnsi="Arial"/>
          <w:b/>
          <w:color w:val="1E3A8A"/>
          <w:sz w:val="30"/>
        </w:rPr>
        <w:t>1. INTRODUCTION &amp; CONTEXTE DU PROJET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1.1. Contexte Général &amp; Spécificités du Temps Aménagé à l'ISGA</w:t>
      </w:r>
    </w:p>
    <w:p>
      <w:pPr>
        <w:spacing w:after="100" w:line="276" w:lineRule="auto"/>
      </w:pPr>
      <w:r>
        <w:rPr>
          <w:rFonts w:ascii="Arial" w:hAnsi="Arial"/>
          <w:color w:val="0F172A"/>
          <w:sz w:val="20"/>
        </w:rPr>
        <w:t>L'Institut Supérieur d'Ingénierie et des Affaires (ISGA) dispense, au sein de son offre académique, des formations en temps aménagé destinées à un public de professionnels en activité, de cadres d'entreprise et d'étudiants salariés. Ce modèle pédagogique se caractérise par des cours du soir (18h30 – 21h30), des samedis complets et des dimanches matin, avec une modularité forte dispensée par des experts intervenants externes.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1.2. Analyse de l'Existant &amp; Problématique Rencontrée</w:t>
      </w:r>
    </w:p>
    <w:p>
      <w:pPr>
        <w:spacing w:after="100" w:line="276" w:lineRule="auto"/>
      </w:pPr>
      <w:r>
        <w:rPr>
          <w:rFonts w:ascii="Arial" w:hAnsi="Arial"/>
          <w:color w:val="0F172A"/>
          <w:sz w:val="20"/>
        </w:rPr>
        <w:t>La gestion manuelle et fragmentée actuelle (tableurs Excel et emails) génère des dysfonctionnements critiques 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Conflits de ressources récurrents :</w:t>
      </w:r>
      <w:r>
        <w:rPr>
          <w:rFonts w:ascii="Arial" w:hAnsi="Arial"/>
          <w:color w:val="0F172A"/>
          <w:sz w:val="20"/>
        </w:rPr>
        <w:t xml:space="preserve"> Risques permanents de double réservation de salle ou de chevauchement d'horaires.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Gestion complexe de la capacité des salles :</w:t>
      </w:r>
      <w:r>
        <w:rPr>
          <w:rFonts w:ascii="Arial" w:hAnsi="Arial"/>
          <w:color w:val="0F172A"/>
          <w:sz w:val="20"/>
        </w:rPr>
        <w:t xml:space="preserve"> Non-respect des jauges réduites nécessaires à la distanciation en examen.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Affectation artisanale des surveillants :</w:t>
      </w:r>
      <w:r>
        <w:rPr>
          <w:rFonts w:ascii="Arial" w:hAnsi="Arial"/>
          <w:color w:val="0F172A"/>
          <w:sz w:val="20"/>
        </w:rPr>
        <w:t xml:space="preserve"> Collisions où un même enseignant est affecté sur plusieurs salles en même temps.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Lenteur administrative :</w:t>
      </w:r>
      <w:r>
        <w:rPr>
          <w:rFonts w:ascii="Arial" w:hAnsi="Arial"/>
          <w:color w:val="0F172A"/>
          <w:sz w:val="20"/>
        </w:rPr>
        <w:t xml:space="preserve"> Édition manuelle chronophage des convocations nominatives, feuilles d'émargement et PV.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Déficit de communication :</w:t>
      </w:r>
      <w:r>
        <w:rPr>
          <w:rFonts w:ascii="Arial" w:hAnsi="Arial"/>
          <w:color w:val="0F172A"/>
          <w:sz w:val="20"/>
        </w:rPr>
        <w:t xml:space="preserve"> Absence d'alertes instantanées lors des changements de dernière minute.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1.3. Objectifs Généraux &amp; Valeur Ajoutée du Projet Synchro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Zéro Conflit :</w:t>
      </w:r>
      <w:r>
        <w:rPr>
          <w:rFonts w:ascii="Arial" w:hAnsi="Arial"/>
          <w:color w:val="0F172A"/>
          <w:sz w:val="20"/>
        </w:rPr>
        <w:t xml:space="preserve"> Algorithme de vérification bloquant toute collision de ressources en temps réel.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Planification Intuitive :</w:t>
      </w:r>
      <w:r>
        <w:rPr>
          <w:rFonts w:ascii="Arial" w:hAnsi="Arial"/>
          <w:color w:val="0F172A"/>
          <w:sz w:val="20"/>
        </w:rPr>
        <w:t xml:space="preserve"> Calendrier interactif multi-vues par glisser-déposer (FullCalendar React).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Industrialisation des Examens :</w:t>
      </w:r>
      <w:r>
        <w:rPr>
          <w:rFonts w:ascii="Arial" w:hAnsi="Arial"/>
          <w:color w:val="0F172A"/>
          <w:sz w:val="20"/>
        </w:rPr>
        <w:t xml:space="preserve"> Découpage de groupes par salle selon les jauges d'examen, affectation des surveillants et génération de PDF avec QR Code.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Architecture Dual-Engine &amp; Mobile-Ready :</w:t>
      </w:r>
      <w:r>
        <w:rPr>
          <w:rFonts w:ascii="Arial" w:hAnsi="Arial"/>
          <w:color w:val="0F172A"/>
          <w:sz w:val="20"/>
        </w:rPr>
        <w:t xml:space="preserve"> Socle Laravel 13 pensé dès le départ avec des endpoints API REST (Sanctum) prêts pour une future application mobile (iOS / Android) sans refonte backend.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1.4. Périmètre, Extensibilité Mobile &amp; Limites du Système</w:t>
      </w:r>
    </w:p>
    <w:p>
      <w:pPr>
        <w:spacing w:after="100" w:line="276" w:lineRule="auto"/>
      </w:pPr>
      <w:r>
        <w:rPr>
          <w:rFonts w:ascii="Arial" w:hAnsi="Arial"/>
          <w:color w:val="0F172A"/>
          <w:sz w:val="20"/>
        </w:rPr>
        <w:t>Le périmètre englobe la plateforme Web (SPA Inertia React) et l'API REST complète (Mobile-Ready) pour la gestion des cursus, des salles, des disponibilités, la planification interactive, les examens, la saisie des notes et les notifications.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E3A8A"/>
          <w:sz w:val="30"/>
        </w:rPr>
        <w:t>2. IDENTIFICATION DES ACTEURS &amp; MATRICE DES DROITS (RBAC)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2.1. Typologie des Utilisateurs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Administrateur / Coordinateur Pédagogique :</w:t>
      </w:r>
      <w:r>
        <w:rPr>
          <w:rFonts w:ascii="Arial" w:hAnsi="Arial"/>
          <w:color w:val="0F172A"/>
          <w:sz w:val="20"/>
        </w:rPr>
        <w:t xml:space="preserve"> Accès total aux référentiels, planification visuelle globale, organisation des examens, affectation des surveillants et imports massifs.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Enseignant / Formateur :</w:t>
      </w:r>
      <w:r>
        <w:rPr>
          <w:rFonts w:ascii="Arial" w:hAnsi="Arial"/>
          <w:color w:val="0F172A"/>
          <w:sz w:val="20"/>
        </w:rPr>
        <w:t xml:space="preserve"> Consultation de son planning personnel, déclaration de ses disponibilités/indisponibilités, consultation de ses surveillances et saisie des notes de ses modules.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Étudiant / Auditeur :</w:t>
      </w:r>
      <w:r>
        <w:rPr>
          <w:rFonts w:ascii="Arial" w:hAnsi="Arial"/>
          <w:color w:val="0F172A"/>
          <w:sz w:val="20"/>
        </w:rPr>
        <w:t xml:space="preserve"> Consultation de l'emploi du temps de sa promotion, téléchargement PDF/iCal, consultation de ses dates d'examens et téléchargement de sa convocation nominative.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2.2. Matrice des Droits et Privilèges d'Accès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Fonctionnalité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Administrateur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Enseignant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Étudiant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Gestion Référentiels (Filières, Salles, Modules)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CRUD Total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Imports Massifs Excel / CSV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Oui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Non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Non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Planification Cours (Drag &amp; Drop)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Oui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Déclaration Disponibilités / Indisponibilités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Oui (Tous)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Oui (Son profil)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Non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Consultation Plannings (Web &amp; API Mobile)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Global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Ses cours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Son groupe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Organisation Examens &amp; Salles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Oui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Non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Non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Accès aux Endpoints API REST Sécurisés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Oui (Sanctum)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Oui (Sanctum)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Oui (Sanctum)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1E3A8A"/>
          <w:sz w:val="30"/>
        </w:rPr>
        <w:t>3. SPÉCIFICATIONS FONCTIONNELLES DÉTAILLÉES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3.1. Module 1 : Référentiel &amp; Données de Base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Filières &amp; Promotions :</w:t>
      </w:r>
      <w:r>
        <w:rPr>
          <w:rFonts w:ascii="Arial" w:hAnsi="Arial"/>
          <w:color w:val="0F172A"/>
          <w:sz w:val="20"/>
        </w:rPr>
        <w:t xml:space="preserve"> Gestion des filières (Temps Aménagé / Initial), départements et promotions avec calcul des effectifs.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Salles &amp; Espaces :</w:t>
      </w:r>
      <w:r>
        <w:rPr>
          <w:rFonts w:ascii="Arial" w:hAnsi="Arial"/>
          <w:color w:val="0F172A"/>
          <w:sz w:val="20"/>
        </w:rPr>
        <w:t xml:space="preserve"> Enregistrement des salles avec distinction Capacité Cours vs Capacité Examen (distanciation).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Modules :</w:t>
      </w:r>
      <w:r>
        <w:rPr>
          <w:rFonts w:ascii="Arial" w:hAnsi="Arial"/>
          <w:color w:val="0F172A"/>
          <w:sz w:val="20"/>
        </w:rPr>
        <w:t xml:space="preserve"> Gestion des modules, volumes horaires, intervenants et codes couleur.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Import/Export Massif :</w:t>
      </w:r>
      <w:r>
        <w:rPr>
          <w:rFonts w:ascii="Arial" w:hAnsi="Arial"/>
          <w:color w:val="0F172A"/>
          <w:sz w:val="20"/>
        </w:rPr>
        <w:t xml:space="preserve"> Chargement rapide des listes d'étudiants, professeurs et matières via fichiers Excel (.xlsx) et CSV.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3.2. Module 2 : Gestion des Contraintes &amp; Disponibilités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Plages Flexibles :</w:t>
      </w:r>
      <w:r>
        <w:rPr>
          <w:rFonts w:ascii="Arial" w:hAnsi="Arial"/>
          <w:color w:val="0F172A"/>
          <w:sz w:val="20"/>
        </w:rPr>
        <w:t xml:space="preserve"> Définition des grilles horaires autorisées (Soir 18h30-21h30, Samedi 08h30-18h30, Dimanche).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Indisponibilités :</w:t>
      </w:r>
      <w:r>
        <w:rPr>
          <w:rFonts w:ascii="Arial" w:hAnsi="Arial"/>
          <w:color w:val="0F172A"/>
          <w:sz w:val="20"/>
        </w:rPr>
        <w:t xml:space="preserve"> Espace dédié aux enseignants pour déclarer leurs indisponibilités justifiées.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Calendrier Institutionnel :</w:t>
      </w:r>
      <w:r>
        <w:rPr>
          <w:rFonts w:ascii="Arial" w:hAnsi="Arial"/>
          <w:color w:val="0F172A"/>
          <w:sz w:val="20"/>
        </w:rPr>
        <w:t xml:space="preserve"> Verrouillage automatique des dates fériées et congés académiques.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3.3. Module 3 : Planification Interactive des Cours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Interface Calendrier :</w:t>
      </w:r>
      <w:r>
        <w:rPr>
          <w:rFonts w:ascii="Arial" w:hAnsi="Arial"/>
          <w:color w:val="0F172A"/>
          <w:sz w:val="20"/>
        </w:rPr>
        <w:t xml:space="preserve"> Vues par Groupe, Enseignant, Salle ou Vue Globale avec déplacement par Glisser-Déposer (FullCalendar).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Moteur Anti-Conflit :</w:t>
      </w:r>
      <w:r>
        <w:rPr>
          <w:rFonts w:ascii="Arial" w:hAnsi="Arial"/>
          <w:color w:val="0F172A"/>
          <w:sz w:val="20"/>
        </w:rPr>
        <w:t xml:space="preserve"> Blocage automatique synchrone avant insertion en cas de collision (Enseignant, Salle, Groupe, Capacité).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Suivi du Volume Horaire :</w:t>
      </w:r>
      <w:r>
        <w:rPr>
          <w:rFonts w:ascii="Arial" w:hAnsi="Arial"/>
          <w:color w:val="0F172A"/>
          <w:sz w:val="20"/>
        </w:rPr>
        <w:t xml:space="preserve"> Jauge visuelle d'avancement des heures effectuées par rapport au syllabus.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3.4. Module 4 : Organisation Complète des Examens &amp; Émargements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Sessions d'Examens :</w:t>
      </w:r>
      <w:r>
        <w:rPr>
          <w:rFonts w:ascii="Arial" w:hAnsi="Arial"/>
          <w:color w:val="0F172A"/>
          <w:sz w:val="20"/>
        </w:rPr>
        <w:t xml:space="preserve"> Gestion des sessions Normales et de Rattrapage.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Contrôle de Jauge :</w:t>
      </w:r>
      <w:r>
        <w:rPr>
          <w:rFonts w:ascii="Arial" w:hAnsi="Arial"/>
          <w:color w:val="0F172A"/>
          <w:sz w:val="20"/>
        </w:rPr>
        <w:t xml:space="preserve"> Scission automatique d'un groupe sur plusieurs salles si l'effectif dépasse la jauge d'examen.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Surveillance :</w:t>
      </w:r>
      <w:r>
        <w:rPr>
          <w:rFonts w:ascii="Arial" w:hAnsi="Arial"/>
          <w:color w:val="0F172A"/>
          <w:sz w:val="20"/>
        </w:rPr>
        <w:t xml:space="preserve"> Affectation sans chevauchement des surveillants principaux et adjoints.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Documents PDF :</w:t>
      </w:r>
      <w:r>
        <w:rPr>
          <w:rFonts w:ascii="Arial" w:hAnsi="Arial"/>
          <w:color w:val="0F172A"/>
          <w:sz w:val="20"/>
        </w:rPr>
        <w:t xml:space="preserve"> Génération automatisée des convocations nominatives avec QR Code et des feuilles d'émargement prêtes à imprimer.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3.5. Module 5 : Saisie des Notes, PV &amp; Délibérations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Saisie des Notes :</w:t>
      </w:r>
      <w:r>
        <w:rPr>
          <w:rFonts w:ascii="Arial" w:hAnsi="Arial"/>
          <w:color w:val="0F172A"/>
          <w:sz w:val="20"/>
        </w:rPr>
        <w:t xml:space="preserve"> Grille de saisie en ligne des notes et de l'assiduité par l'enseignant responsable.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Procès-Verbal (PV) :</w:t>
      </w:r>
      <w:r>
        <w:rPr>
          <w:rFonts w:ascii="Arial" w:hAnsi="Arial"/>
          <w:color w:val="0F172A"/>
          <w:sz w:val="20"/>
        </w:rPr>
        <w:t xml:space="preserve"> Édition du Procès-Verbal officiel signé et archivé.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3.6. Module 6 : Système de Communication &amp; Alertes Multi-Canaux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Canaux Multiples :</w:t>
      </w:r>
      <w:r>
        <w:rPr>
          <w:rFonts w:ascii="Arial" w:hAnsi="Arial"/>
          <w:color w:val="0F172A"/>
          <w:sz w:val="20"/>
        </w:rPr>
        <w:t xml:space="preserve"> Notifications instantanées in-app (cloche avec badge), emails automatisés et passerelle SMS/WhatsApp pour les alertes d'urgence.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E3A8A"/>
          <w:sz w:val="30"/>
        </w:rPr>
        <w:t>4. EXIGENCES NON-FONCTIONNELLES &amp; SÉCURITÉ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Sécurité &amp; Authentification Mobile :</w:t>
      </w:r>
      <w:r>
        <w:rPr>
          <w:rFonts w:ascii="Arial" w:hAnsi="Arial"/>
          <w:color w:val="0F172A"/>
          <w:sz w:val="20"/>
        </w:rPr>
        <w:t xml:space="preserve"> Authentification double : sessions sécurisées pour le Web et tokens Laravel Sanctum pour l'API Mobile. Protection native CSRF, XSS et requêtes préparées PDO.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Performance :</w:t>
      </w:r>
      <w:r>
        <w:rPr>
          <w:rFonts w:ascii="Arial" w:hAnsi="Arial"/>
          <w:color w:val="0F172A"/>
          <w:sz w:val="20"/>
        </w:rPr>
        <w:t xml:space="preserve"> Temps de réponse de l'API &lt; 200 ms, moteur de détection de conflit répondant en &lt; 80 ms.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Ergonomie &amp; UX :</w:t>
      </w:r>
      <w:r>
        <w:rPr>
          <w:rFonts w:ascii="Arial" w:hAnsi="Arial"/>
          <w:color w:val="0F172A"/>
          <w:sz w:val="20"/>
        </w:rPr>
        <w:t xml:space="preserve"> Navigation instantanée sans rechargement de page via Inertia.js et React, responsive design complet (mobile/desktop).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Maintenabilité :</w:t>
      </w:r>
      <w:r>
        <w:rPr>
          <w:rFonts w:ascii="Arial" w:hAnsi="Arial"/>
          <w:color w:val="0F172A"/>
          <w:sz w:val="20"/>
        </w:rPr>
        <w:t xml:space="preserve"> Architecture modulaire Single-Action, transactions atomiques DB::transaction() et couverture de tests automatisés.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E3A8A"/>
          <w:sz w:val="30"/>
        </w:rPr>
        <w:t>5. ARCHITECTURE TECHNIQUE &amp; CHOIX TECHNOLOGIQUES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5.1. Justification de la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Justification &amp; Valeur Ajoutée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 Core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Laravel 13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Dernière version majeure offrant performances PHP accrues, ORM Eloquent et files d'attente.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Architecture Métier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Single-Action Pattern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Isole chaque règle métier dans une classe unique partagée entre Inertia et l'API REST.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Pont Web SPA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Inertia.js v2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Permet de concevoir une SPA React sans la complexité de gestion manuelle des tokens JWT côté navigateur.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API REST (Mobile-Ready)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Laravel Sanctum + Resources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API REST JSON native prête à être consommée par une future application mobile.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Frontend Web &amp; UI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React + Tailwind CSS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Composants hautement réactifs, intégration de FullCalendar et interface moderne.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5.2. Schéma de l'Architecture Globale Dual-Engine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: Architecture Dual-Engine (Laravel 13 + React Inertia SPA &amp; API REST Mobile-Ready)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E3A8A"/>
          <w:sz w:val="30"/>
        </w:rPr>
        <w:t>6. MODÉLISATION DU SYSTÈME &amp; DIAGRAMMES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6.1. Diagramme Global des Cas d'Utilisation (Use Case)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6468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68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: Diagramme des Cas d'Utilisation du Système Synchro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6.2. Diagramme de Séquence : Planification &amp; Détection de Conflits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225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plan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: Diagramme de Séquence — Détection et Résolution des Conflits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6.3. Modèle Conceptuel de Données (MCD / Entités-Relations &amp; RBAC)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04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4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: Modèle Conceptuel de Données (MCD) avec Système Rôles &amp; Permissions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E3A8A"/>
          <w:sz w:val="30"/>
        </w:rPr>
        <w:t>7. DÉMARCHE MÉTHODOLOGIQUE, PLANNING &amp; LIVRABLES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7.1. Méthodologie de Développement (Scrum)</w:t>
      </w:r>
    </w:p>
    <w:p>
      <w:pPr>
        <w:spacing w:after="100" w:line="276" w:lineRule="auto"/>
      </w:pPr>
      <w:r>
        <w:rPr>
          <w:rFonts w:ascii="Arial" w:hAnsi="Arial"/>
          <w:color w:val="0F172A"/>
          <w:sz w:val="20"/>
        </w:rPr>
        <w:t>Le projet est exécuté selon la méthode agile Scrum à travers 5 sprints de 2 semaines chacun en collaboration collective.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7.2. Planning Prévisionnel par Phases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7762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ing_ph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6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18"/>
        </w:rPr>
        <w:t>Figure : Planning Prévisionnel du Projet par Sprints et Jalons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B365D"/>
          <w:sz w:val="25"/>
        </w:rPr>
        <w:t>7.3. Liste des Livrables Officiels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Livrable 1 :</w:t>
      </w:r>
      <w:r>
        <w:rPr>
          <w:rFonts w:ascii="Arial" w:hAnsi="Arial"/>
          <w:color w:val="0F172A"/>
          <w:sz w:val="20"/>
        </w:rPr>
        <w:t xml:space="preserve"> Document officiel du Cahier des Charges &amp; Spécifications Techniques.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Livrable 2 :</w:t>
      </w:r>
      <w:r>
        <w:rPr>
          <w:rFonts w:ascii="Arial" w:hAnsi="Arial"/>
          <w:color w:val="0F172A"/>
          <w:sz w:val="20"/>
        </w:rPr>
        <w:t xml:space="preserve"> Dépôt Git documenté : Architecture Laravel 13 + React SPA + Endpoints API REST avec tests automatisés.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Livrable 3 :</w:t>
      </w:r>
      <w:r>
        <w:rPr>
          <w:rFonts w:ascii="Arial" w:hAnsi="Arial"/>
          <w:color w:val="0F172A"/>
          <w:sz w:val="20"/>
        </w:rPr>
        <w:t xml:space="preserve"> Documentation de l'API REST (Swagger / Postman) pour la future application mobile.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Livrable 4 :</w:t>
      </w:r>
      <w:r>
        <w:rPr>
          <w:rFonts w:ascii="Arial" w:hAnsi="Arial"/>
          <w:color w:val="0F172A"/>
          <w:sz w:val="20"/>
        </w:rPr>
        <w:t xml:space="preserve"> Manuel d'utilisation pour coordinateurs, enseignants et étudiants.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Livrable 5 :</w:t>
      </w:r>
      <w:r>
        <w:rPr>
          <w:rFonts w:ascii="Arial" w:hAnsi="Arial"/>
          <w:color w:val="0F172A"/>
          <w:sz w:val="20"/>
        </w:rPr>
        <w:t xml:space="preserve"> Mémoire final et support de présentation pour la soutenance.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