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4B65" w14:textId="495FBFA0" w:rsidR="00CB7A41" w:rsidRDefault="00CB7A41">
      <w:r>
        <w:t>Figure 1 Assets</w:t>
      </w:r>
    </w:p>
    <w:p w14:paraId="2D06A30F" w14:textId="77777777" w:rsidR="00CB7A41" w:rsidRDefault="00CB7A41"/>
    <w:p w14:paraId="529A21A0" w14:textId="2109AA32" w:rsidR="008145C1" w:rsidRDefault="00CB7A41">
      <w:r w:rsidRPr="00CB7A41">
        <w:t xml:space="preserve">This figure summarizes the treatment effects of various papers on assets outcomes. Here, treatment effects </w:t>
      </w:r>
      <w:r w:rsidR="0093598A">
        <w:t>of different</w:t>
      </w:r>
      <w:r w:rsidRPr="00CB7A41">
        <w:t xml:space="preserve"> variables are presented in percentage of the control group mean</w:t>
      </w:r>
      <w:r>
        <w:t>.</w:t>
      </w:r>
      <w:r w:rsidRPr="00CB7A41">
        <w:t xml:space="preserve"> Each line shows the OLS point estimate and 95% confidence interval for that outcome.</w:t>
      </w:r>
      <w:r w:rsidR="000340B2">
        <w:t xml:space="preserve"> All values </w:t>
      </w:r>
      <w:r w:rsidR="00C91D20">
        <w:t xml:space="preserve">are converted in 2016 USD PPP. </w:t>
      </w:r>
      <w:r w:rsidR="000340B2">
        <w:t xml:space="preserve"> In Bernard et al.</w:t>
      </w:r>
      <w:r w:rsidR="00C91D20">
        <w:t xml:space="preserve"> (</w:t>
      </w:r>
      <w:r w:rsidR="000340B2">
        <w:t xml:space="preserve"> 2023</w:t>
      </w:r>
      <w:r w:rsidR="00C91D20">
        <w:t>)</w:t>
      </w:r>
      <w:r w:rsidR="000340B2">
        <w:t>, total assets is defined as “</w:t>
      </w:r>
      <w:r w:rsidR="000340B2" w:rsidRPr="000340B2">
        <w:t>Value of non-land non-loan assets</w:t>
      </w:r>
      <w:r w:rsidR="000340B2">
        <w:t>”</w:t>
      </w:r>
      <w:r w:rsidR="00C91D20">
        <w:t xml:space="preserve">, whereas in the two other papers it is defined as “total assets value”. The productive assets are defined as “Value of tools” in Bermard et al.(2023), </w:t>
      </w:r>
      <w:r w:rsidR="00093FC4">
        <w:t>“S</w:t>
      </w:r>
      <w:r w:rsidR="00C91D20">
        <w:t>um of productive assets, livestock and agricultural tools</w:t>
      </w:r>
      <w:r w:rsidR="00093FC4">
        <w:t>”</w:t>
      </w:r>
      <w:r w:rsidR="00C91D20">
        <w:t xml:space="preserve"> </w:t>
      </w:r>
      <w:r w:rsidR="00313802">
        <w:t>i</w:t>
      </w:r>
      <w:r w:rsidR="00C91D20">
        <w:t>n</w:t>
      </w:r>
      <w:r w:rsidR="00313802">
        <w:t xml:space="preserve"> the aspirations arm of  Orkin et al. (2024)</w:t>
      </w:r>
      <w:r w:rsidR="00C91D20">
        <w:t xml:space="preserve"> , </w:t>
      </w:r>
      <w:r w:rsidR="00093FC4">
        <w:t>“P</w:t>
      </w:r>
      <w:r w:rsidR="00C91D20">
        <w:t>roductive assets value</w:t>
      </w:r>
      <w:r w:rsidR="00093FC4">
        <w:t>”</w:t>
      </w:r>
      <w:r w:rsidR="00C91D20">
        <w:t xml:space="preserve"> in</w:t>
      </w:r>
      <w:r w:rsidR="00313802">
        <w:t xml:space="preserve"> Banerjee et al. (2014)</w:t>
      </w:r>
      <w:r w:rsidR="00C91D20">
        <w:t xml:space="preserve">, </w:t>
      </w:r>
      <w:r w:rsidR="00093FC4">
        <w:t>“V</w:t>
      </w:r>
      <w:r w:rsidR="00C91D20">
        <w:t>alue of business assets</w:t>
      </w:r>
      <w:r w:rsidR="00093FC4">
        <w:t>”</w:t>
      </w:r>
      <w:r w:rsidR="00C91D20">
        <w:t xml:space="preserve"> in</w:t>
      </w:r>
      <w:r w:rsidR="00313802">
        <w:t xml:space="preserve"> Blattman et al. (2017)</w:t>
      </w:r>
      <w:r w:rsidR="00C91D20">
        <w:t xml:space="preserve"> for both treatment arms.</w:t>
      </w:r>
      <w:r w:rsidR="0099662E">
        <w:t xml:space="preserve"> Durable assets are defined as </w:t>
      </w:r>
      <w:r w:rsidR="00093FC4">
        <w:t>“D</w:t>
      </w:r>
      <w:r w:rsidR="0099662E">
        <w:t>urable assets excluding tools</w:t>
      </w:r>
      <w:r w:rsidR="00093FC4">
        <w:t>”</w:t>
      </w:r>
      <w:r w:rsidR="0099662E">
        <w:t xml:space="preserve"> in Bernard et al. (2023), </w:t>
      </w:r>
      <w:r w:rsidR="00093FC4">
        <w:t>“D</w:t>
      </w:r>
      <w:r w:rsidR="0099662E">
        <w:t>urable household assets</w:t>
      </w:r>
      <w:r w:rsidR="00093FC4">
        <w:t>”</w:t>
      </w:r>
      <w:r w:rsidR="0099662E">
        <w:t xml:space="preserve"> in the aspirations arm of Orkin et al. (2024),</w:t>
      </w:r>
      <w:r w:rsidR="00093FC4">
        <w:t>”</w:t>
      </w:r>
      <w:r w:rsidR="0099662E">
        <w:t xml:space="preserve"> Household assets value</w:t>
      </w:r>
      <w:r w:rsidR="00093FC4">
        <w:t>”</w:t>
      </w:r>
      <w:r w:rsidR="0099662E">
        <w:t xml:space="preserve"> in Banerjee et al. (2014),</w:t>
      </w:r>
      <w:r w:rsidR="00093FC4">
        <w:t xml:space="preserve"> “D</w:t>
      </w:r>
      <w:r w:rsidR="0099662E">
        <w:t>urable consumption</w:t>
      </w:r>
      <w:r w:rsidR="00093FC4">
        <w:t>”</w:t>
      </w:r>
      <w:r w:rsidR="0099662E">
        <w:t xml:space="preserve">  in both treatment arms Blattman et al. (2013). Regarding lifestock assets, they are defined as </w:t>
      </w:r>
      <w:r w:rsidR="00093FC4">
        <w:t>“V</w:t>
      </w:r>
      <w:r w:rsidR="0099662E">
        <w:t>alue of lifestock assets</w:t>
      </w:r>
      <w:r w:rsidR="00093FC4">
        <w:t>”</w:t>
      </w:r>
      <w:r w:rsidR="0099662E">
        <w:t xml:space="preserve"> in Bernard et al. (2023).</w:t>
      </w:r>
    </w:p>
    <w:p w14:paraId="6F0FB509" w14:textId="77777777" w:rsidR="0099662E" w:rsidRDefault="0099662E"/>
    <w:p w14:paraId="2BB3CFDB" w14:textId="325F1D65" w:rsidR="0099662E" w:rsidRDefault="0099662E">
      <w:r>
        <w:t>Figure 2 Minutes worked</w:t>
      </w:r>
    </w:p>
    <w:p w14:paraId="0388670E" w14:textId="77777777" w:rsidR="00093FC4" w:rsidRDefault="00093FC4"/>
    <w:p w14:paraId="40D9BA76" w14:textId="5F266F35" w:rsidR="0099662E" w:rsidRDefault="0099662E" w:rsidP="008825C5">
      <w:r w:rsidRPr="00CB7A41">
        <w:t xml:space="preserve">This figure summarizes the treatment effects of various papers on </w:t>
      </w:r>
      <w:r w:rsidR="0093598A">
        <w:t>work</w:t>
      </w:r>
      <w:r w:rsidRPr="00CB7A41">
        <w:t xml:space="preserve"> outcomes. Here, treatment effects </w:t>
      </w:r>
      <w:r w:rsidR="0093598A">
        <w:t>of different variables</w:t>
      </w:r>
      <w:r w:rsidRPr="00CB7A41">
        <w:t xml:space="preserve"> are presented in percentage of the control group mean</w:t>
      </w:r>
      <w:r>
        <w:t>.</w:t>
      </w:r>
      <w:r w:rsidRPr="00CB7A41">
        <w:t xml:space="preserve"> Each line shows the OLS point estimate and 95% confidence interval for that outcome</w:t>
      </w:r>
      <w:r>
        <w:t xml:space="preserve">.  </w:t>
      </w:r>
      <w:commentRangeStart w:id="0"/>
      <w:r w:rsidR="008825C5" w:rsidRPr="008825C5">
        <w:t>The values expressed for all household members, and for multiple days were converted accordingly.</w:t>
      </w:r>
      <w:commentRangeEnd w:id="0"/>
      <w:r w:rsidR="008825C5">
        <w:rPr>
          <w:rStyle w:val="CommentReference"/>
        </w:rPr>
        <w:commentReference w:id="0"/>
      </w:r>
      <w:r w:rsidR="008825C5">
        <w:t xml:space="preserve"> The variables were defined as </w:t>
      </w:r>
      <w:r w:rsidR="00093FC4">
        <w:t>“</w:t>
      </w:r>
      <w:r w:rsidR="008825C5">
        <w:t>Household daily minutes working</w:t>
      </w:r>
      <w:r w:rsidR="00093FC4">
        <w:t>”</w:t>
      </w:r>
      <w:r w:rsidR="008825C5">
        <w:t xml:space="preserve"> in Bernard et al. (2023),</w:t>
      </w:r>
      <w:r w:rsidR="00E72445">
        <w:t xml:space="preserve"> </w:t>
      </w:r>
      <w:r w:rsidR="00093FC4">
        <w:t>“T</w:t>
      </w:r>
      <w:r w:rsidR="00E72445">
        <w:t>otal minutes spent</w:t>
      </w:r>
      <w:r w:rsidR="00093FC4">
        <w:t xml:space="preserve"> doing</w:t>
      </w:r>
      <w:r w:rsidR="00E72445">
        <w:t xml:space="preserve"> productive activities in last day</w:t>
      </w:r>
      <w:r w:rsidR="00093FC4">
        <w:t>”</w:t>
      </w:r>
      <w:r w:rsidR="00E72445">
        <w:t xml:space="preserve"> in Banerjee et al. (2014), </w:t>
      </w:r>
      <w:r w:rsidR="00093FC4">
        <w:t>“H</w:t>
      </w:r>
      <w:r w:rsidR="00E72445">
        <w:t>ours per week of work in past month</w:t>
      </w:r>
      <w:r w:rsidR="00093FC4">
        <w:t>”</w:t>
      </w:r>
      <w:r w:rsidR="00E72445">
        <w:t xml:space="preserve"> for both treatment arms of Blattman et al. (2017),</w:t>
      </w:r>
      <w:r w:rsidR="00093FC4">
        <w:t xml:space="preserve"> “H</w:t>
      </w:r>
      <w:r w:rsidR="00E72445">
        <w:t>ours per week in past 7 days</w:t>
      </w:r>
      <w:r w:rsidR="00093FC4">
        <w:t>”</w:t>
      </w:r>
      <w:r w:rsidR="00E72445">
        <w:t xml:space="preserve"> for both treatment arms of Blattman et al. (2023), and </w:t>
      </w:r>
      <w:r w:rsidR="00093FC4">
        <w:t>“T</w:t>
      </w:r>
      <w:r w:rsidR="00E72445">
        <w:t xml:space="preserve">otal hours of work in </w:t>
      </w:r>
      <w:r w:rsidR="00441509">
        <w:t>7 day</w:t>
      </w:r>
      <w:r w:rsidR="00E72445">
        <w:t>s</w:t>
      </w:r>
      <w:r w:rsidR="00093FC4">
        <w:t>”</w:t>
      </w:r>
      <w:r w:rsidR="00E72445">
        <w:t xml:space="preserve"> in Orkin, Haushofer, and John (2019). </w:t>
      </w:r>
      <w:r w:rsidR="00441509">
        <w:t>In</w:t>
      </w:r>
      <w:r w:rsidR="008825C5">
        <w:t xml:space="preserve"> Orkin</w:t>
      </w:r>
      <w:r w:rsidR="00E72445">
        <w:t xml:space="preserve"> </w:t>
      </w:r>
      <w:r w:rsidR="008825C5">
        <w:t>et al. (2024)</w:t>
      </w:r>
      <w:r w:rsidR="00441509">
        <w:t>, the estimates w</w:t>
      </w:r>
      <w:r w:rsidR="00093FC4">
        <w:t>ere</w:t>
      </w:r>
      <w:r w:rsidR="00441509">
        <w:t xml:space="preserve"> created by converting an aggregate annualized figure for days of labour supplied across various activities.</w:t>
      </w:r>
    </w:p>
    <w:p w14:paraId="70CC3E70" w14:textId="77777777" w:rsidR="00093FC4" w:rsidRDefault="00093FC4" w:rsidP="008825C5"/>
    <w:p w14:paraId="7791E297" w14:textId="6D225723" w:rsidR="00093FC4" w:rsidRDefault="00093FC4" w:rsidP="008825C5">
      <w:r>
        <w:t>Figure 3 Aspirations</w:t>
      </w:r>
    </w:p>
    <w:p w14:paraId="6D9429FD" w14:textId="6F83FD82" w:rsidR="00093FC4" w:rsidRDefault="00093FC4" w:rsidP="008825C5">
      <w:r w:rsidRPr="00CB7A41">
        <w:t xml:space="preserve">This figure summarizes the treatment effects of various papers on </w:t>
      </w:r>
      <w:r w:rsidR="0093598A">
        <w:t>aspirations</w:t>
      </w:r>
      <w:r w:rsidRPr="00CB7A41">
        <w:t xml:space="preserve"> outcomes. Here, treatment effects </w:t>
      </w:r>
      <w:r w:rsidR="0093598A">
        <w:t>of different variables</w:t>
      </w:r>
      <w:r w:rsidRPr="00CB7A41">
        <w:t xml:space="preserve"> are presented in percentage of the control group mean</w:t>
      </w:r>
      <w:r>
        <w:t>.</w:t>
      </w:r>
      <w:r w:rsidRPr="00CB7A41">
        <w:t xml:space="preserve"> Each line shows the OLS point estimate and 95% confidence interval for that outcome</w:t>
      </w:r>
      <w:r>
        <w:t>.  The variables were defined as “Aspired years of education of oldest child” in Bernard et al. (2023), “Wishes child to graduate or get higher education” for girls and in the twice reserved treatment arm group in Beaman et al. 2012, and “Strong positive expectations about the future” in Macours &amp; Vakis (2009).</w:t>
      </w:r>
    </w:p>
    <w:p w14:paraId="08C32998" w14:textId="77777777" w:rsidR="00093FC4" w:rsidRDefault="00093FC4" w:rsidP="008825C5"/>
    <w:p w14:paraId="49B8150D" w14:textId="0AD9F843" w:rsidR="00093FC4" w:rsidRDefault="00093FC4" w:rsidP="008825C5">
      <w:r>
        <w:t xml:space="preserve">Figure 4 </w:t>
      </w:r>
      <w:r w:rsidR="0093598A">
        <w:t xml:space="preserve"> Education (Only educational attainment)</w:t>
      </w:r>
    </w:p>
    <w:p w14:paraId="65CB8165" w14:textId="77777777" w:rsidR="00664C89" w:rsidRDefault="00664C89" w:rsidP="008825C5"/>
    <w:p w14:paraId="070C38D2" w14:textId="750400CD" w:rsidR="00664C89" w:rsidRDefault="00664C89" w:rsidP="008825C5">
      <w:r w:rsidRPr="00CB7A41">
        <w:lastRenderedPageBreak/>
        <w:t xml:space="preserve">This figure summarizes the treatment effects of various papers on </w:t>
      </w:r>
      <w:r w:rsidR="0093598A">
        <w:t>education</w:t>
      </w:r>
      <w:r w:rsidRPr="00CB7A41">
        <w:t xml:space="preserve"> outcomes. Here, treatment effects </w:t>
      </w:r>
      <w:r w:rsidR="0093598A">
        <w:t>of different variables</w:t>
      </w:r>
      <w:r w:rsidRPr="00CB7A41">
        <w:t xml:space="preserve"> are presented in percentage of the control group mean</w:t>
      </w:r>
      <w:r>
        <w:t>.</w:t>
      </w:r>
      <w:r w:rsidRPr="00CB7A41">
        <w:t xml:space="preserve"> Each line shows the OLS point estimate and 95% confidence interval for that outcome</w:t>
      </w:r>
      <w:r>
        <w:t>.  The variables were defined as “</w:t>
      </w:r>
      <w:r w:rsidR="002C0E99" w:rsidRPr="002C0E99">
        <w:t>Children aged 16-20 that att</w:t>
      </w:r>
      <w:r w:rsidR="002C0E99">
        <w:t>a</w:t>
      </w:r>
      <w:r w:rsidR="002C0E99" w:rsidRPr="002C0E99">
        <w:t>ined 8th grade</w:t>
      </w:r>
      <w:r>
        <w:t>” in Bernard et al. (2023), “Stays in school until the end of S6” in Riley (2024)</w:t>
      </w:r>
      <w:r w:rsidR="001A3766">
        <w:t>, and “Grade completed” for girls and in the twice reserved treatment arm group in Beaman et al. (2012)</w:t>
      </w:r>
      <w:r>
        <w:t>.</w:t>
      </w:r>
    </w:p>
    <w:p w14:paraId="126B2746" w14:textId="77777777" w:rsidR="002C0E99" w:rsidRDefault="002C0E99" w:rsidP="008825C5"/>
    <w:p w14:paraId="12A7F6EB" w14:textId="4FBB4FD8" w:rsidR="002C0E99" w:rsidRDefault="002C0E99" w:rsidP="008825C5">
      <w:r>
        <w:t>Figure 4  Education (</w:t>
      </w:r>
      <w:r>
        <w:t>All variables</w:t>
      </w:r>
      <w:r>
        <w:t>)</w:t>
      </w:r>
    </w:p>
    <w:p w14:paraId="5B732E77" w14:textId="78094E85" w:rsidR="002C0E99" w:rsidRDefault="002C0E99" w:rsidP="002C0E99">
      <w:r w:rsidRPr="00CB7A41">
        <w:t xml:space="preserve">This figure summarizes the treatment effects of various papers on </w:t>
      </w:r>
      <w:r>
        <w:t>education</w:t>
      </w:r>
      <w:r w:rsidRPr="00CB7A41">
        <w:t xml:space="preserve"> outcomes. Here, treatment effects </w:t>
      </w:r>
      <w:r>
        <w:t>of different variables</w:t>
      </w:r>
      <w:r w:rsidRPr="00CB7A41">
        <w:t xml:space="preserve"> are presented in percentage of the control group mean</w:t>
      </w:r>
      <w:r>
        <w:t>.</w:t>
      </w:r>
      <w:r w:rsidRPr="00CB7A41">
        <w:t xml:space="preserve"> Each line shows the OLS point estimate and 95% confidence interval for that outcome</w:t>
      </w:r>
      <w:r>
        <w:t>.</w:t>
      </w:r>
      <w:r w:rsidR="00604AE3" w:rsidRPr="00604AE3">
        <w:t xml:space="preserve"> </w:t>
      </w:r>
      <w:r w:rsidR="00604AE3">
        <w:t>For educational attainment, t</w:t>
      </w:r>
      <w:r w:rsidR="00604AE3">
        <w:t>he variables were defined as “</w:t>
      </w:r>
      <w:r w:rsidR="00604AE3" w:rsidRPr="002C0E99">
        <w:t>Children aged 16-20 that att</w:t>
      </w:r>
      <w:r w:rsidR="00604AE3">
        <w:t>a</w:t>
      </w:r>
      <w:r w:rsidR="00604AE3" w:rsidRPr="002C0E99">
        <w:t>ined 8th grade</w:t>
      </w:r>
      <w:r w:rsidR="00604AE3">
        <w:t>” in Bernard et al. (2023), “Stays in school until the end of S6” in Riley (2024), and “Grade completed” for girls and in the twice reserved treatment arm group in Beaman et al. (2012).</w:t>
      </w:r>
      <w:r w:rsidR="00604AE3">
        <w:t xml:space="preserve"> </w:t>
      </w:r>
      <w:r>
        <w:t xml:space="preserve">The </w:t>
      </w:r>
      <w:r w:rsidR="00604AE3">
        <w:t xml:space="preserve">expected education </w:t>
      </w:r>
      <w:r>
        <w:t>variables were defined as “Expected years of education of oldest child” in Bernard et al. (2023),</w:t>
      </w:r>
      <w:r w:rsidR="00604AE3">
        <w:t xml:space="preserve"> and</w:t>
      </w:r>
      <w:r>
        <w:t xml:space="preserve"> “Expected grade attainment” (without controls) in Baranov et al. (2020</w:t>
      </w:r>
      <w:r w:rsidR="00604AE3">
        <w:t>). The variables of educational expenditures were converted to 2016 USD PPP and defined as “</w:t>
      </w:r>
      <w:r w:rsidR="00604AE3" w:rsidRPr="00604AE3">
        <w:t>School expenditure</w:t>
      </w:r>
      <w:r w:rsidR="00604AE3">
        <w:t xml:space="preserve"> (</w:t>
      </w:r>
      <w:r w:rsidR="00604AE3" w:rsidRPr="00604AE3">
        <w:t xml:space="preserve">include the amount spent on uniforms, stationery and books, </w:t>
      </w:r>
      <w:r w:rsidR="00604AE3">
        <w:t>t</w:t>
      </w:r>
      <w:r w:rsidR="00604AE3" w:rsidRPr="00604AE3">
        <w:t xml:space="preserve">extbooks, and donations to </w:t>
      </w:r>
      <w:r w:rsidR="00604AE3">
        <w:t xml:space="preserve"> </w:t>
      </w:r>
      <w:r w:rsidR="00604AE3" w:rsidRPr="00604AE3">
        <w:t>the school.</w:t>
      </w:r>
      <w:r w:rsidR="00604AE3">
        <w:t xml:space="preserve">)” in Bernard et al. 2023, “ </w:t>
      </w:r>
      <w:r w:rsidR="00604AE3" w:rsidRPr="00604AE3">
        <w:t>Index of investment in children's education</w:t>
      </w:r>
      <w:r w:rsidR="00604AE3">
        <w:t>” as a z-score, in  Orkin, Haushofer and John (2019), and “Monthly expenditure on education” in Baranov et al. (2020).</w:t>
      </w:r>
    </w:p>
    <w:p w14:paraId="4759CF51" w14:textId="77777777" w:rsidR="002C0E99" w:rsidRDefault="002C0E99" w:rsidP="008825C5"/>
    <w:sectPr w:rsidR="002C0E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ylan Reich" w:date="2024-09-24T16:15:00Z" w:initials="DR">
    <w:p w14:paraId="1AF86642" w14:textId="77777777" w:rsidR="008825C5" w:rsidRDefault="008825C5" w:rsidP="008825C5">
      <w:pPr>
        <w:pStyle w:val="CommentText"/>
      </w:pPr>
      <w:r>
        <w:rPr>
          <w:rStyle w:val="CommentReference"/>
        </w:rPr>
        <w:annotationRef/>
      </w:r>
      <w:r>
        <w:t>I don’t think this was necessary to do in the first place due to the fact that the effects  are expressed in terms of percentage of the control mean. I can remove this part as it does not seem relevant. Unless we decide to also report the value of the treatment and control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F866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3F028D" w16cex:dateUtc="2024-09-24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F86642" w16cid:durableId="583F0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ylan Reich">
    <w15:presenceInfo w15:providerId="Windows Live" w15:userId="04cbc9c02e1c5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41"/>
    <w:rsid w:val="000340B2"/>
    <w:rsid w:val="00093FC4"/>
    <w:rsid w:val="00102AFD"/>
    <w:rsid w:val="00112C14"/>
    <w:rsid w:val="001A3766"/>
    <w:rsid w:val="002C0E99"/>
    <w:rsid w:val="00313802"/>
    <w:rsid w:val="00441509"/>
    <w:rsid w:val="00604AE3"/>
    <w:rsid w:val="00664C89"/>
    <w:rsid w:val="008145C1"/>
    <w:rsid w:val="0082622E"/>
    <w:rsid w:val="008825C5"/>
    <w:rsid w:val="0093598A"/>
    <w:rsid w:val="0099662E"/>
    <w:rsid w:val="009D753A"/>
    <w:rsid w:val="00C91D20"/>
    <w:rsid w:val="00CB7A41"/>
    <w:rsid w:val="00E72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B424"/>
  <w15:chartTrackingRefBased/>
  <w15:docId w15:val="{F26AFD6E-BBA4-4568-9EDF-9623B8D5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A41"/>
    <w:rPr>
      <w:rFonts w:eastAsiaTheme="majorEastAsia" w:cstheme="majorBidi"/>
      <w:color w:val="272727" w:themeColor="text1" w:themeTint="D8"/>
    </w:rPr>
  </w:style>
  <w:style w:type="paragraph" w:styleId="Title">
    <w:name w:val="Title"/>
    <w:basedOn w:val="Normal"/>
    <w:next w:val="Normal"/>
    <w:link w:val="TitleChar"/>
    <w:uiPriority w:val="10"/>
    <w:qFormat/>
    <w:rsid w:val="00CB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A41"/>
    <w:pPr>
      <w:spacing w:before="160"/>
      <w:jc w:val="center"/>
    </w:pPr>
    <w:rPr>
      <w:i/>
      <w:iCs/>
      <w:color w:val="404040" w:themeColor="text1" w:themeTint="BF"/>
    </w:rPr>
  </w:style>
  <w:style w:type="character" w:customStyle="1" w:styleId="QuoteChar">
    <w:name w:val="Quote Char"/>
    <w:basedOn w:val="DefaultParagraphFont"/>
    <w:link w:val="Quote"/>
    <w:uiPriority w:val="29"/>
    <w:rsid w:val="00CB7A41"/>
    <w:rPr>
      <w:i/>
      <w:iCs/>
      <w:color w:val="404040" w:themeColor="text1" w:themeTint="BF"/>
    </w:rPr>
  </w:style>
  <w:style w:type="paragraph" w:styleId="ListParagraph">
    <w:name w:val="List Paragraph"/>
    <w:basedOn w:val="Normal"/>
    <w:uiPriority w:val="34"/>
    <w:qFormat/>
    <w:rsid w:val="00CB7A41"/>
    <w:pPr>
      <w:ind w:left="720"/>
      <w:contextualSpacing/>
    </w:pPr>
  </w:style>
  <w:style w:type="character" w:styleId="IntenseEmphasis">
    <w:name w:val="Intense Emphasis"/>
    <w:basedOn w:val="DefaultParagraphFont"/>
    <w:uiPriority w:val="21"/>
    <w:qFormat/>
    <w:rsid w:val="00CB7A41"/>
    <w:rPr>
      <w:i/>
      <w:iCs/>
      <w:color w:val="0F4761" w:themeColor="accent1" w:themeShade="BF"/>
    </w:rPr>
  </w:style>
  <w:style w:type="paragraph" w:styleId="IntenseQuote">
    <w:name w:val="Intense Quote"/>
    <w:basedOn w:val="Normal"/>
    <w:next w:val="Normal"/>
    <w:link w:val="IntenseQuoteChar"/>
    <w:uiPriority w:val="30"/>
    <w:qFormat/>
    <w:rsid w:val="00CB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A41"/>
    <w:rPr>
      <w:i/>
      <w:iCs/>
      <w:color w:val="0F4761" w:themeColor="accent1" w:themeShade="BF"/>
    </w:rPr>
  </w:style>
  <w:style w:type="character" w:styleId="IntenseReference">
    <w:name w:val="Intense Reference"/>
    <w:basedOn w:val="DefaultParagraphFont"/>
    <w:uiPriority w:val="32"/>
    <w:qFormat/>
    <w:rsid w:val="00CB7A41"/>
    <w:rPr>
      <w:b/>
      <w:bCs/>
      <w:smallCaps/>
      <w:color w:val="0F4761" w:themeColor="accent1" w:themeShade="BF"/>
      <w:spacing w:val="5"/>
    </w:rPr>
  </w:style>
  <w:style w:type="character" w:styleId="CommentReference">
    <w:name w:val="annotation reference"/>
    <w:basedOn w:val="DefaultParagraphFont"/>
    <w:uiPriority w:val="99"/>
    <w:semiHidden/>
    <w:unhideWhenUsed/>
    <w:rsid w:val="008825C5"/>
    <w:rPr>
      <w:sz w:val="16"/>
      <w:szCs w:val="16"/>
    </w:rPr>
  </w:style>
  <w:style w:type="paragraph" w:styleId="CommentText">
    <w:name w:val="annotation text"/>
    <w:basedOn w:val="Normal"/>
    <w:link w:val="CommentTextChar"/>
    <w:uiPriority w:val="99"/>
    <w:unhideWhenUsed/>
    <w:rsid w:val="008825C5"/>
    <w:pPr>
      <w:spacing w:line="240" w:lineRule="auto"/>
    </w:pPr>
    <w:rPr>
      <w:sz w:val="20"/>
      <w:szCs w:val="20"/>
    </w:rPr>
  </w:style>
  <w:style w:type="character" w:customStyle="1" w:styleId="CommentTextChar">
    <w:name w:val="Comment Text Char"/>
    <w:basedOn w:val="DefaultParagraphFont"/>
    <w:link w:val="CommentText"/>
    <w:uiPriority w:val="99"/>
    <w:rsid w:val="008825C5"/>
    <w:rPr>
      <w:sz w:val="20"/>
      <w:szCs w:val="20"/>
    </w:rPr>
  </w:style>
  <w:style w:type="paragraph" w:styleId="CommentSubject">
    <w:name w:val="annotation subject"/>
    <w:basedOn w:val="CommentText"/>
    <w:next w:val="CommentText"/>
    <w:link w:val="CommentSubjectChar"/>
    <w:uiPriority w:val="99"/>
    <w:semiHidden/>
    <w:unhideWhenUsed/>
    <w:rsid w:val="008825C5"/>
    <w:rPr>
      <w:b/>
      <w:bCs/>
    </w:rPr>
  </w:style>
  <w:style w:type="character" w:customStyle="1" w:styleId="CommentSubjectChar">
    <w:name w:val="Comment Subject Char"/>
    <w:basedOn w:val="CommentTextChar"/>
    <w:link w:val="CommentSubject"/>
    <w:uiPriority w:val="99"/>
    <w:semiHidden/>
    <w:rsid w:val="008825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Reich</dc:creator>
  <cp:keywords/>
  <dc:description/>
  <cp:lastModifiedBy>Dylan Reich</cp:lastModifiedBy>
  <cp:revision>4</cp:revision>
  <dcterms:created xsi:type="dcterms:W3CDTF">2024-09-24T08:36:00Z</dcterms:created>
  <dcterms:modified xsi:type="dcterms:W3CDTF">2024-09-27T09:25:00Z</dcterms:modified>
</cp:coreProperties>
</file>