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STRUCTURAL VETTING — METHODOLOGY &amp; FINDINGS</w:t>
      </w:r>
    </w:p>
    <w:p>
      <w:pPr>
        <w:spacing w:after="60"/>
        <w:jc w:val="center"/>
      </w:pPr>
      <w:r>
        <w:rPr>
          <w:rFonts w:ascii="Arial" w:cs="Arial" w:eastAsia="Arial" w:hAnsi="Arial"/>
          <w:b/>
          <w:bCs/>
          <w:sz w:val="26"/>
          <w:szCs w:val="26"/>
        </w:rPr>
        <w:t xml:space="preserve">Park Town, Ghaziabad (UP) — Towers A &amp; B</w:t>
      </w:r>
    </w:p>
    <w:p>
      <w:pPr>
        <w:spacing w:after="240"/>
        <w:jc w:val="center"/>
      </w:pPr>
      <w:r>
        <w:rPr>
          <w:rFonts w:ascii="Arial" w:cs="Arial" w:eastAsia="Arial" w:hAnsi="Arial"/>
          <w:i/>
          <w:iCs/>
          <w:sz w:val="18"/>
          <w:szCs w:val="18"/>
        </w:rPr>
        <w:t xml:space="preserve">DBR PI-5753-DBR-101 (R0, 12-12-2025)  |  ETABS models: A ULS .$et, B ULS.$et (v21.1.0)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Item</w:t>
            </w:r>
          </w:p>
        </w:tc>
        <w:tc>
          <w:tcPr>
            <w:tcW w:type="dxa" w:w="70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Detail</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Document purpose</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Independent vetting of the DBR and ETABS models against the relevant Indian Standards, issued for engineer review of (a) the checking methodology and (b) the findings.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For reviewer action</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Confirm each check step and clause is correct; add further checks as required; resolve the two open questions (Section 7).</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Scope of this pass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DBR vs IS codes; model vs IS codes; DBR↔model reconciliation. Member-design and results-based checks are listed separately (Section 6) as they require a licensed ETABS run.</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Towers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 and B are structurally identical in setup; all findings apply to both unless stated.</w:t>
            </w:r>
          </w:p>
        </w:tc>
      </w:tr>
    </w:tbl>
    <w:p>
      <w:pPr>
        <w:spacing w:after="60"/>
      </w:pPr>
    </w:p>
    <w:p>
      <w:pPr>
        <w:spacing w:after="120"/>
      </w:pPr>
      <w:r>
        <w:rPr>
          <w:rFonts w:ascii="Arial" w:cs="Arial" w:eastAsia="Arial" w:hAnsi="Arial"/>
          <w:b w:val="false"/>
          <w:bCs w:val="false"/>
          <w:i/>
          <w:iCs/>
          <w:sz w:val="18"/>
          <w:szCs w:val="18"/>
        </w:rPr>
        <w:t xml:space="preserve">Legend — Status: PASS (compliant) · FLAW (does not meet code / DBR) · REVIEW (needs engineer judgement / clarification) · MISSING (not stated/modelled).</w:t>
      </w:r>
    </w:p>
    <w:p>
      <w:pPr>
        <w:spacing w:after="200"/>
      </w:pPr>
      <w:r>
        <w:rPr>
          <w:rFonts w:ascii="Arial" w:cs="Arial" w:eastAsia="Arial" w:hAnsi="Arial"/>
          <w:b w:val="false"/>
          <w:bCs w:val="false"/>
          <w:i/>
          <w:iCs/>
          <w:sz w:val="18"/>
          <w:szCs w:val="18"/>
        </w:rPr>
        <w:t xml:space="preserve">Note on clause numbers: clauses cited below are the working references used for the check. Where an IS 1893:2016 parameter is tied to a table, the table number quoted in DBR §11.1 has been retained; reviewers should confirm exact table numbers against the published code as the seismic-code corpus is still being digitised.</w:t>
      </w:r>
    </w:p>
    <w:p>
      <w:r>
        <w:br w:type="page"/>
      </w:r>
    </w:p>
    <w:p>
      <w:pPr>
        <w:pStyle w:val="Heading1"/>
      </w:pPr>
      <w:r>
        <w:rPr>
          <w:rFonts w:ascii="Arial" w:cs="Arial" w:eastAsia="Arial" w:hAnsi="Arial"/>
        </w:rPr>
        <w:t xml:space="preserve">PART 1 — Design Basis Report (DBR) Review</w:t>
      </w:r>
    </w:p>
    <w:p>
      <w:pPr>
        <w:pStyle w:val="Heading2"/>
      </w:pPr>
      <w:r>
        <w:rPr>
          <w:rFonts w:ascii="Arial" w:cs="Arial" w:eastAsia="Arial" w:hAnsi="Arial"/>
        </w:rPr>
        <w:t xml:space="preserve">1.1  Checks applied to the DBR (methodology)</w:t>
      </w:r>
    </w:p>
    <w:p>
      <w:pPr>
        <w:spacing w:after="120"/>
      </w:pPr>
      <w:r>
        <w:rPr>
          <w:rFonts w:ascii="Arial" w:cs="Arial" w:eastAsia="Arial" w:hAnsi="Arial"/>
          <w:b w:val="false"/>
          <w:bCs w:val="false"/>
          <w:i/>
          <w:iCs/>
          <w:sz w:val="18"/>
          <w:szCs w:val="18"/>
        </w:rPr>
        <w:t xml:space="preserve">Each row is a discrete check performed on the DBR, with the governing code/clause and the method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00"/>
        <w:gridCol w:w="30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26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Check applied</w:t>
            </w:r>
          </w:p>
        </w:tc>
        <w:tc>
          <w:tcPr>
            <w:tcW w:type="dxa" w:w="32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Governing code &amp; clause</w:t>
            </w:r>
          </w:p>
        </w:tc>
        <w:tc>
          <w:tcPr>
            <w:tcW w:type="dxa" w:w="30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Method</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Project identity, title block, revision, prepared/checked-by consistency</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QA / document control (no IS clause)</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title block &amp; headers; check for stale/copied content.</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Code list currency — are cited IS codes the latest editions?</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269:2015, IS 875-3:2015, IS 1893:2016, IS 16700:2023, IS 13920:2016, NBC 2016</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Compare §4 code table against current BIS editions.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D3</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Exposure condition &amp; nominal cover</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Cl 8.2.2.1 &amp; Table 3 (exposure); Table 16 (durability cover); Table 16A (fire cover)</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declared exposure vs site; check cover schedule consistency.</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D4</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Concrete grades (min &amp; by element)</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Table 5 (min grade for durability); IS 16700 (tall-building grades)</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min M-grade and element-wise grades.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D5</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Reinforcement grade &amp; ductility</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1786:2008; IS 13920:2016 Cl 5.5 (grade ≤ Fe550D, elongation)</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bar grade &amp; stated elongation.</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D6</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Cement specification</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269:2015 (OPC); IS 1489 Part 1 (PPC)</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cement codes cited.</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D7</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Seismic parameters Z, I, R, soil, eccentricity, damping</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 Z, I, R tables; Cl 7.8.2 (ecc); Cl 7.2.4 (damping)</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Verify each value vs zone/occupancy/system.</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D8</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Fundamental period formula &amp; limit</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(Ta for &gt;50 m; Cl 5.5 Tmax=8 s); cf. IS 1893:2016 Cl 7.6.2</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Recompute Ta from H; check coefficient &amp; cap.</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D9</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Stiffness modifiers (ULS &amp; SLS)</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Cl 7.2</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modifier values for wall/beam/slab/column.</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D10</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Seismic weight — imposed-load %</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7.3.1 &amp; Table 10; Cl 7.3.2 (roof live excluded)</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 of LL for ≤3 and &gt;3 kN/m².</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D11</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Drift &amp; deflection limits</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7.11.1 (0.004h); IS 456 Cl 23.2; IS 16700 (wind H/500)</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stated limits.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D12</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Diaphragm assumption</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7.6.4</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rigid/semi-rigid declaration.</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D13</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Wind parameters</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875-3:2015 — Vb (Annex A), terrain Cl 6.3.2.1, K1 Table 1, K2 Cl 6.3.2.1, K3 Cl 6.3.3, K4 Cl 6.3.4, Cf Cl 7.4</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Vb, terrain, K-factors, force coefficients, return period.</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D14</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Load combinations</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Cl 36.4 &amp; Table 18; IS 1893:2016 Cl 6.3; IS 875-5 (combination)</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combination families &amp; partial safety factors.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D15</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Foundation system &amp; geotech interpretation</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1904; IS 2950 (raft); IS 2911 (pile)</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founding type/depth, SBC, GWT.</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D16</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P-Δ / second-order stability</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(P-Δ combination &amp; stability coefficient θ — 2023 revision)</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whether addressed.</w:t>
            </w:r>
          </w:p>
        </w:tc>
      </w:tr>
    </w:tbl>
    <w:p>
      <w:pPr>
        <w:spacing w:after="60"/>
      </w:pPr>
    </w:p>
    <w:p>
      <w:pPr>
        <w:pStyle w:val="Heading2"/>
      </w:pPr>
      <w:r>
        <w:rPr>
          <w:rFonts w:ascii="Arial" w:cs="Arial" w:eastAsia="Arial" w:hAnsi="Arial"/>
        </w:rPr>
        <w:t xml:space="preserve">1.2  Correct findings in the DBR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3200"/>
        <w:gridCol w:w="27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29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Item (compliant)</w:t>
            </w:r>
          </w:p>
        </w:tc>
        <w:tc>
          <w:tcPr>
            <w:tcW w:type="dxa" w:w="32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Code &amp; clause</w:t>
            </w:r>
          </w:p>
        </w:tc>
        <w:tc>
          <w:tcPr>
            <w:tcW w:type="dxa" w:w="27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Reason it is correct</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C-D1</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Seismic Z=0.24 (Zone IV), I=1.2, R=4.0, Soil Medium (II), ecc 5%, damping 5%</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 Z/I/R tables; Cl 7.8.2; Cl 7.2.4</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Zone IV → Z=0.24; &gt;200-occupancy residential → I=1.2; ductile RC structural-wall (no SMRF) system → R=4.0; values mutually consistent.</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C-D2</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Period formula Ta = 0.0672·H^0.75 (H=115.2 m → 2.36 s)</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(new Ta for &gt;50 m); Cl 5.5 (≤8 s)</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Legitimate new IS 16700:2023 expression for tall buildings; 2.36 s &lt; 8 s cap.</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C-D3</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Stiffness modifiers ULS: SW 0.70, Beam 0.35, Slab 0.25, Col 0.70; SLS 0.90/0.70/0.35/0.90</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Cl 7.2</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Matches the code's cracked-section ULS/SLS sets.</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C-D4</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Imposed-load % in seismic weight: ≤3 kN/m² → 25%, &gt;3 → 50%, roof excluded</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Table 10 &amp; Cl 7.3.2</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Matches code.</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C-D5</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Drift limit 0.004h; serviceability H/250 (seismic), H/500 (wind)</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7.11.1; IS 16700 serviceability</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Within code limits.</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C-D6</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Concrete grades: min M30; Col/SW M60/M50/M40; Beam/Slab M30; Found M40/M30</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 Table 5; IS 16700</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Appropriate for Zone IV tall residential tower.</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C-D7</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Fire: Type-1, Col/SW 4 h, Beam 3 h, Slab 2 h with min dimensions</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Fig 1 / Table 16A; NBC 2016 Part 4</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Min dimensions satisfied by proposed sections.</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C-D8</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Diaphragm = semi-rigid</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7.6.4</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Acceptable and more accurate than rigid for this layout.</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C-D9</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Response-spectrum method, SRSS modal combination, 90% mass target, Cl 7.7.3 scaling stated</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7.7.3 / 7.7.5.2</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Correct methodology declared (note model implementation issue, Part 2).</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C-D10</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No internal copy-paste contradictions (location/zone/I/R consistent throughout)</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QA</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Unlike prior DBRs reviewed, parameters are internally consistent.</w:t>
            </w:r>
          </w:p>
        </w:tc>
      </w:tr>
    </w:tbl>
    <w:p>
      <w:pPr>
        <w:spacing w:after="60"/>
      </w:pPr>
    </w:p>
    <w:p>
      <w:pPr>
        <w:pStyle w:val="Heading2"/>
      </w:pPr>
      <w:r>
        <w:rPr>
          <w:rFonts w:ascii="Arial" w:cs="Arial" w:eastAsia="Arial" w:hAnsi="Arial"/>
        </w:rPr>
        <w:t xml:space="preserve">1.3  Flaws in the DBR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500"/>
        <w:gridCol w:w="2600"/>
        <w:gridCol w:w="37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25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Flaw</w:t>
            </w:r>
          </w:p>
        </w:tc>
        <w:tc>
          <w:tcPr>
            <w:tcW w:type="dxa" w:w="26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Correct code &amp; clause</w:t>
            </w:r>
          </w:p>
        </w:tc>
        <w:tc>
          <w:tcPr>
            <w:tcW w:type="dxa" w:w="37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Reason / correction</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F-D1</w:t>
            </w:r>
          </w:p>
        </w:tc>
        <w:tc>
          <w:tcPr>
            <w:tcW w:type="dxa" w:w="25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Outdated cement-code citations: §6.1 cites IS 8112 &amp; IS 12269 for OPC 43/53; §4 cites “IS 269:2013 – 33 Grade”</w:t>
            </w:r>
          </w:p>
        </w:tc>
        <w:tc>
          <w:tcPr>
            <w:tcW w:type="dxa" w:w="26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269:2015</w:t>
            </w:r>
          </w:p>
        </w:tc>
        <w:tc>
          <w:tcPr>
            <w:tcW w:type="dxa" w:w="37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BIS unified OPC 33/43/53 into IS 269:2015 in the 2015 revision; IS 8112 and IS 12269 are superseded/merged. The §4 reference is also the wrong year (2013) and wrong scope (33 grade only). Correct to “OPC conforming to IS 269:2015”.</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F-D2</w:t>
            </w:r>
          </w:p>
        </w:tc>
        <w:tc>
          <w:tcPr>
            <w:tcW w:type="dxa" w:w="25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Exposure declared “Mild” with 20 mm cover (§5)</w:t>
            </w:r>
          </w:p>
        </w:tc>
        <w:tc>
          <w:tcPr>
            <w:tcW w:type="dxa" w:w="26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Table 3 (Cl 8.2.2.1) &amp; Table 16</w:t>
            </w:r>
          </w:p>
        </w:tc>
        <w:tc>
          <w:tcPr>
            <w:tcW w:type="dxa" w:w="37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For an inland NCR urban site, external faces normally warrant at least “Moderate” (30 mm). §5 also contradicts the DBR's own cover schedule (§8), which already gives 30–75 mm for soil/liquid faces. Re-state exposure per element/face.</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F-D3</w:t>
            </w:r>
          </w:p>
        </w:tc>
        <w:tc>
          <w:tcPr>
            <w:tcW w:type="dxa" w:w="25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Wind force coefficients Cf,x and Cf,y left blank (“--”) in §12 table; topography K3=1 asserted without site basis</w:t>
            </w:r>
          </w:p>
        </w:tc>
        <w:tc>
          <w:tcPr>
            <w:tcW w:type="dxa" w:w="26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875-3:2015 Cl 7.4 (Cf); Cl 6.3.3 (K3)</w:t>
            </w:r>
          </w:p>
        </w:tc>
        <w:tc>
          <w:tcPr>
            <w:tcW w:type="dxa" w:w="37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Force coefficients are required to evaluate wind pressure on the built form; leaving them blank means the wind basis is incomplete in the DBR.</w:t>
            </w:r>
          </w:p>
        </w:tc>
      </w:tr>
    </w:tbl>
    <w:p>
      <w:pPr>
        <w:spacing w:after="60"/>
      </w:pPr>
    </w:p>
    <w:p>
      <w:pPr>
        <w:pStyle w:val="Heading2"/>
      </w:pPr>
      <w:r>
        <w:rPr>
          <w:rFonts w:ascii="Arial" w:cs="Arial" w:eastAsia="Arial" w:hAnsi="Arial"/>
        </w:rPr>
        <w:t xml:space="preserve">1.4  Missing / not stated in the DBR (recommended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2600"/>
        <w:gridCol w:w="26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36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Missing item</w:t>
            </w:r>
          </w:p>
        </w:tc>
        <w:tc>
          <w:tcPr>
            <w:tcW w:type="dxa" w:w="26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Code &amp; clause</w:t>
            </w:r>
          </w:p>
        </w:tc>
        <w:tc>
          <w:tcPr>
            <w:tcW w:type="dxa" w:w="26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Why it is needed</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M-D1</w:t>
            </w:r>
          </w:p>
        </w:tc>
        <w:tc>
          <w:tcPr>
            <w:tcW w:type="dxa" w:w="3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P-Δ load combination and inter-storey drift stability coefficient θ</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(2023 revision items f &amp; g)</w:t>
            </w:r>
          </w:p>
        </w:tc>
        <w:tc>
          <w:tcPr>
            <w:tcW w:type="dxa" w:w="26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Newly mandatory for tall buildings; not addressed in DBR.</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M-D2</w:t>
            </w:r>
          </w:p>
        </w:tc>
        <w:tc>
          <w:tcPr>
            <w:tcW w:type="dxa" w:w="3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Dynamic / along-wind (gust) response treatment for a slender 115 m tower</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875-3:2015 Cl 10 (dynamic effects)</w:t>
            </w:r>
          </w:p>
        </w:tc>
        <w:tc>
          <w:tcPr>
            <w:tcW w:type="dxa" w:w="26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For H&gt;50 m and slender towers the gust/dynamic method should be declared.</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M-D3</w:t>
            </w:r>
          </w:p>
        </w:tc>
        <w:tc>
          <w:tcPr>
            <w:tcW w:type="dxa" w:w="3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Coupling/link-beam design approach for shear walls with openings</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13920:2016 Cl 10</w:t>
            </w:r>
          </w:p>
        </w:tc>
        <w:tc>
          <w:tcPr>
            <w:tcW w:type="dxa" w:w="26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Coupled-wall link beams need a stated design basis (conventional vs diagonal).</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M-D4</w:t>
            </w:r>
          </w:p>
        </w:tc>
        <w:tc>
          <w:tcPr>
            <w:tcW w:type="dxa" w:w="3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Plan &amp; vertical irregularity assessment (incl. soft/weak storey at tall STILT/GF)</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7.1, Table 5 &amp; 6</w:t>
            </w:r>
          </w:p>
        </w:tc>
        <w:tc>
          <w:tcPr>
            <w:tcW w:type="dxa" w:w="26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Irregularity checks and any consequent design measures should be declared.</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M-D5</w:t>
            </w:r>
          </w:p>
        </w:tc>
        <w:tc>
          <w:tcPr>
            <w:tcW w:type="dxa" w:w="3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Safe bearing capacity / sub-grade modulus values in the DBR body</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1904 / geotechnical report</w:t>
            </w:r>
          </w:p>
        </w:tc>
        <w:tc>
          <w:tcPr>
            <w:tcW w:type="dxa" w:w="26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Only “as per geotech” stated; key design inputs (SBC, ks, founding strata) should be tabulated.</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M-D6</w:t>
            </w:r>
          </w:p>
        </w:tc>
        <w:tc>
          <w:tcPr>
            <w:tcW w:type="dxa" w:w="3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Construction-stage / notional loads and structural robustness (disproportionate collapse)</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IS 875</w:t>
            </w:r>
          </w:p>
        </w:tc>
        <w:tc>
          <w:tcPr>
            <w:tcW w:type="dxa" w:w="26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Not mentioned; recommended for a tall residential tower.</w:t>
            </w:r>
          </w:p>
        </w:tc>
      </w:tr>
    </w:tbl>
    <w:p>
      <w:pPr>
        <w:spacing w:after="60"/>
      </w:pPr>
    </w:p>
    <w:p>
      <w:pPr>
        <w:pStyle w:val="Heading2"/>
      </w:pPr>
      <w:r>
        <w:rPr>
          <w:rFonts w:ascii="Arial" w:cs="Arial" w:eastAsia="Arial" w:hAnsi="Arial"/>
        </w:rPr>
        <w:t xml:space="preserve">1.5  Additional DBR checks (Round 2 — engineer-requested)</w:t>
      </w:r>
    </w:p>
    <w:p>
      <w:pPr>
        <w:spacing w:after="120"/>
      </w:pPr>
      <w:r>
        <w:rPr>
          <w:rFonts w:ascii="Arial" w:cs="Arial" w:eastAsia="Arial" w:hAnsi="Arial"/>
          <w:b w:val="false"/>
          <w:bCs w:val="false"/>
          <w:i/>
          <w:iCs/>
          <w:sz w:val="18"/>
          <w:szCs w:val="18"/>
        </w:rPr>
        <w:t xml:space="preserve">Checks added after the first review pass. Each is listed with its governing clause and the verdict against PI-5753.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550"/>
        <w:gridCol w:w="3250"/>
        <w:gridCol w:w="30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25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Check applied</w:t>
            </w:r>
          </w:p>
        </w:tc>
        <w:tc>
          <w:tcPr>
            <w:tcW w:type="dxa" w:w="32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Governing code &amp; clause</w:t>
            </w:r>
          </w:p>
        </w:tc>
        <w:tc>
          <w:tcPr>
            <w:tcW w:type="dxa" w:w="30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Method</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D17</w:t>
            </w:r>
          </w:p>
        </w:tc>
        <w:tc>
          <w:tcPr>
            <w:tcW w:type="dxa" w:w="2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Structural-system description &amp; classification</w:t>
            </w:r>
          </w:p>
        </w:tc>
        <w:tc>
          <w:tcPr>
            <w:tcW w:type="dxa" w:w="3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7.2 / Table 9 (LLRS→R); IS 16700:2023 (system classification &amp; height applicability)</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system is named, classified to the IS 16700 category, permitted at the height, and R justified.</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D18</w:t>
            </w:r>
          </w:p>
        </w:tc>
        <w:tc>
          <w:tcPr>
            <w:tcW w:type="dxa" w:w="2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Irregularity assessment — mass &amp; vertical-geometric</w:t>
            </w:r>
          </w:p>
        </w:tc>
        <w:tc>
          <w:tcPr>
            <w:tcW w:type="dxa" w:w="3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7.1, Table 6 items (b) mass &amp; (c) vertical-geometric; IS 16700:2023 (tall-building irregularity limits)</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whether storey-mass (≤150% adjacent) and LLRS-dimension (≤125% adjacent) irregularities are assessed.</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D19</w:t>
            </w:r>
          </w:p>
        </w:tc>
        <w:tc>
          <w:tcPr>
            <w:tcW w:type="dxa" w:w="2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Geometric coordinates of the project</w:t>
            </w:r>
          </w:p>
        </w:tc>
        <w:tc>
          <w:tcPr>
            <w:tcW w:type="dxa" w:w="3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Annex E (zone from location); IS 875-3:2015 Annex A (Vb from location); IS 16700:2023 (slenderness)</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site lat/long and building plan dimensions/aspect ratio are stated.</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D20</w:t>
            </w:r>
          </w:p>
        </w:tc>
        <w:tc>
          <w:tcPr>
            <w:tcW w:type="dxa" w:w="2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Temperature &amp; shrinkage effects</w:t>
            </w:r>
          </w:p>
        </w:tc>
        <w:tc>
          <w:tcPr>
            <w:tcW w:type="dxa" w:w="3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Cl 27 (expansion joints, &gt;45 m); IS 875 Part 5 (temperature load)</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ΔT basis, shrinkage strategy, and expansion-joint provision.</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D21</w:t>
            </w:r>
          </w:p>
        </w:tc>
        <w:tc>
          <w:tcPr>
            <w:tcW w:type="dxa" w:w="2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Wind-tunnel study — required or justified omission</w:t>
            </w:r>
          </w:p>
        </w:tc>
        <w:tc>
          <w:tcPr>
            <w:tcW w:type="dxa" w:w="3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875-3:2015 Cl 10 (dynamic/gust-factor); IS 16700:2023 (wind-tunnel thresholds)</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tunnel decision + justification, and whether dynamic (gust) wind is used for the flexible tower.</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D22</w:t>
            </w:r>
          </w:p>
        </w:tc>
        <w:tc>
          <w:tcPr>
            <w:tcW w:type="dxa" w:w="2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Software &amp; design-tools section (name, version, methodology, validation)</w:t>
            </w:r>
          </w:p>
        </w:tc>
        <w:tc>
          <w:tcPr>
            <w:tcW w:type="dxa" w:w="3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(analysis &amp; software validation); QA good practice</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each tool's purpose, analysis type and validation are stated, and versions are consistent with the models.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D23</w:t>
            </w:r>
          </w:p>
        </w:tc>
        <w:tc>
          <w:tcPr>
            <w:tcW w:type="dxa" w:w="2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Fire-resistance design — fully designed or criteria-only</w:t>
            </w:r>
          </w:p>
        </w:tc>
        <w:tc>
          <w:tcPr>
            <w:tcW w:type="dxa" w:w="3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Cl 21, Fig 1, Table 16A, Cl 26.4; NBC 2016 Part 4</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ratings, min dimensions, AND nominal-cover-per-rating verification + anti-spalling provisions.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D24</w:t>
            </w:r>
          </w:p>
        </w:tc>
        <w:tc>
          <w:tcPr>
            <w:tcW w:type="dxa" w:w="2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Clear-cover design philosophy</w:t>
            </w:r>
          </w:p>
        </w:tc>
        <w:tc>
          <w:tcPr>
            <w:tcW w:type="dxa" w:w="3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Cl 26.4, Table 16 (durability), Table 16A (fire), Cl 26.4.2.1 (cover ≥ bar dia)</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nominal/clear cover defined, basis = max(durability, fire), schedule consistent.</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D25</w:t>
            </w:r>
          </w:p>
        </w:tc>
        <w:tc>
          <w:tcPr>
            <w:tcW w:type="dxa" w:w="25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NBC building construction classification (Type 1/2)</w:t>
            </w:r>
          </w:p>
        </w:tc>
        <w:tc>
          <w:tcPr>
            <w:tcW w:type="dxa" w:w="3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NBC 2016 Part 4, Table 2 (construction type vs occupancy/height &amp; fire rating)</w:t>
            </w:r>
          </w:p>
        </w:tc>
        <w:tc>
          <w:tcPr>
            <w:tcW w:type="dxa" w:w="3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the construction type is stated and correctly justified.</w:t>
            </w:r>
          </w:p>
        </w:tc>
      </w:tr>
    </w:tbl>
    <w:p>
      <w:pPr>
        <w:spacing w:after="60"/>
      </w:pPr>
    </w:p>
    <w:p>
      <w:pPr>
        <w:spacing w:after="120"/>
      </w:pPr>
      <w:r>
        <w:rPr>
          <w:rFonts w:ascii="Arial" w:cs="Arial" w:eastAsia="Arial" w:hAnsi="Arial"/>
          <w:b/>
          <w:bCs/>
          <w:i w:val="false"/>
          <w:iCs w:val="false"/>
          <w:sz w:val="20"/>
          <w:szCs w:val="20"/>
        </w:rPr>
        <w:t xml:space="preserve">Round-2 findings (status-coloured):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1700"/>
        <w:gridCol w:w="2050"/>
        <w:gridCol w:w="2150"/>
        <w:gridCol w:w="3000"/>
      </w:tblGrid>
      <w:tr>
        <w:trPr>
          <w:tblHeader/>
        </w:trPr>
        <w:tc>
          <w:tcPr>
            <w:tcW w:type="dxa" w:w="46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17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Item</w:t>
            </w:r>
          </w:p>
        </w:tc>
        <w:tc>
          <w:tcPr>
            <w:tcW w:type="dxa" w:w="20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Status</w:t>
            </w:r>
          </w:p>
        </w:tc>
        <w:tc>
          <w:tcPr>
            <w:tcW w:type="dxa" w:w="2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Code &amp; clause</w:t>
            </w:r>
          </w:p>
        </w:tc>
        <w:tc>
          <w:tcPr>
            <w:tcW w:type="dxa" w:w="30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Reasoning / action</w:t>
            </w:r>
          </w:p>
        </w:tc>
      </w:tr>
      <w:tr>
        <w:tc>
          <w:tcPr>
            <w:tcW w:type="dxa" w:w="46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D17</w:t>
            </w:r>
          </w:p>
        </w:tc>
        <w:tc>
          <w:tcPr>
            <w:tcW w:type="dxa" w:w="17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System description</w:t>
            </w:r>
          </w:p>
        </w:tc>
        <w:tc>
          <w:tcPr>
            <w:tcW w:type="dxa" w:w="20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PARTIAL</w:t>
            </w:r>
          </w:p>
        </w:tc>
        <w:tc>
          <w:tcPr>
            <w:tcW w:type="dxa" w:w="21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 Cl 7.2/Tbl 9; IS 16700:2023</w:t>
            </w:r>
          </w:p>
        </w:tc>
        <w:tc>
          <w:tcPr>
            <w:tcW w:type="dxa" w:w="3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§11.1 names ductile RC shear-wall (R=4) and §2.2 describes wall+peripheral-beam, but the IS 16700 system category, its permissibility at 115 m, and the R=4 (wall) vs R=5 (dual) justification are not stated.</w:t>
            </w:r>
          </w:p>
        </w:tc>
      </w:tr>
      <w:tr>
        <w:tc>
          <w:tcPr>
            <w:tcW w:type="dxa" w:w="46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D18</w:t>
            </w:r>
          </w:p>
        </w:tc>
        <w:tc>
          <w:tcPr>
            <w:tcW w:type="dxa" w:w="17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Irregularity (mass / vert-geom)</w:t>
            </w:r>
          </w:p>
        </w:tc>
        <w:tc>
          <w:tcPr>
            <w:tcW w:type="dxa" w:w="20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MISSING</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 Cl 7.1, Table 6 (b),(c); IS 16700:2023</w:t>
            </w:r>
          </w:p>
        </w:tc>
        <w:tc>
          <w:tcPr>
            <w:tcW w:type="dxa" w:w="30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No irregularity assessment in the DBR. Mass irregularity (terrace coba/OHWT, podium transfer) and vertical-geometric (setbacks/terrace), plus soft-storey at tall STILT (5.5 m)/GF (6.0 m), must be assessed; quantification needs storey masses (model results).</w:t>
            </w:r>
          </w:p>
        </w:tc>
      </w:tr>
      <w:tr>
        <w:tc>
          <w:tcPr>
            <w:tcW w:type="dxa" w:w="46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D19</w:t>
            </w:r>
          </w:p>
        </w:tc>
        <w:tc>
          <w:tcPr>
            <w:tcW w:type="dxa" w:w="17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Geometric coordinates</w:t>
            </w:r>
          </w:p>
        </w:tc>
        <w:tc>
          <w:tcPr>
            <w:tcW w:type="dxa" w:w="20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MISSING</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 Annex E; IS 875-3 Annex A; IS 16700:2023</w:t>
            </w:r>
          </w:p>
        </w:tc>
        <w:tc>
          <w:tcPr>
            <w:tcW w:type="dxa" w:w="30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Only “Ghaziabad” + site plan; no site lat/long (which substantiates Zone IV &amp; Vb=50) and no building plan dimensions/aspect ratio (needed for wind frontal area, slenderness and torsion).</w:t>
            </w:r>
          </w:p>
        </w:tc>
      </w:tr>
      <w:tr>
        <w:tc>
          <w:tcPr>
            <w:tcW w:type="dxa" w:w="46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D20</w:t>
            </w:r>
          </w:p>
        </w:tc>
        <w:tc>
          <w:tcPr>
            <w:tcW w:type="dxa" w:w="17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Temperature &amp; shrinkage</w:t>
            </w:r>
          </w:p>
        </w:tc>
        <w:tc>
          <w:tcPr>
            <w:tcW w:type="dxa" w:w="205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COMPLIANT (1 gap)</w:t>
            </w:r>
          </w:p>
        </w:tc>
        <w:tc>
          <w:tcPr>
            <w:tcW w:type="dxa" w:w="215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 Cl 27; IS 875 Pt 5</w:t>
            </w:r>
          </w:p>
        </w:tc>
        <w:tc>
          <w:tcPr>
            <w:tcW w:type="dxa" w:w="30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§14 is adequate: ΔT 41°C seasonal applied as 20°C (E/2 for creep), 2 m shrinkage strips at 12-week gap. Gap: no expansion-joint criterion for podium length &gt;45 m (IS 456 Cl 27).</w:t>
            </w:r>
          </w:p>
        </w:tc>
      </w:tr>
      <w:tr>
        <w:tc>
          <w:tcPr>
            <w:tcW w:type="dxa" w:w="46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D21</w:t>
            </w:r>
          </w:p>
        </w:tc>
        <w:tc>
          <w:tcPr>
            <w:tcW w:type="dxa" w:w="17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Wind tunnel / dynamic wind</w:t>
            </w:r>
          </w:p>
        </w:tc>
        <w:tc>
          <w:tcPr>
            <w:tcW w:type="dxa" w:w="20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MISSING</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875-3 Cl 10; IS 16700:2023</w:t>
            </w:r>
          </w:p>
        </w:tc>
        <w:tc>
          <w:tcPr>
            <w:tcW w:type="dxa" w:w="30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§12 uses static IS 875-3 only. T=2.36 s (f≈0.42 Hz &lt; 1 Hz) makes the tower wind-sensitive: state the wind-tunnel decision + justification (115 m&lt;150 m, regular plan) and adopt the dynamic gust-factor method.</w:t>
            </w:r>
          </w:p>
        </w:tc>
      </w:tr>
      <w:tr>
        <w:tc>
          <w:tcPr>
            <w:tcW w:type="dxa" w:w="46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D22</w:t>
            </w:r>
          </w:p>
        </w:tc>
        <w:tc>
          <w:tcPr>
            <w:tcW w:type="dxa" w:w="17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Software &amp; tools section</w:t>
            </w:r>
          </w:p>
        </w:tc>
        <w:tc>
          <w:tcPr>
            <w:tcW w:type="dxa" w:w="20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PARTIAL</w:t>
            </w:r>
          </w:p>
        </w:tc>
        <w:tc>
          <w:tcPr>
            <w:tcW w:type="dxa" w:w="21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QA</w:t>
            </w:r>
          </w:p>
        </w:tc>
        <w:tc>
          <w:tcPr>
            <w:tcW w:type="dxa" w:w="3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§3 lists tools + versions (ETABS/SAFE v23.1, STAAD V8i) but not each tool's purpose/analysis type or a validation statement; and §3 version (v23.1) differs from the models (v21.1.0).</w:t>
            </w:r>
          </w:p>
        </w:tc>
      </w:tr>
      <w:tr>
        <w:tc>
          <w:tcPr>
            <w:tcW w:type="dxa" w:w="46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D23</w:t>
            </w:r>
          </w:p>
        </w:tc>
        <w:tc>
          <w:tcPr>
            <w:tcW w:type="dxa" w:w="17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Fire design closure</w:t>
            </w:r>
          </w:p>
        </w:tc>
        <w:tc>
          <w:tcPr>
            <w:tcW w:type="dxa" w:w="20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PARTIAL</w:t>
            </w:r>
          </w:p>
        </w:tc>
        <w:tc>
          <w:tcPr>
            <w:tcW w:type="dxa" w:w="21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 Cl 21, Fig 1, Tbl 16A, Cl 26.4; NBC Pt 4</w:t>
            </w:r>
          </w:p>
        </w:tc>
        <w:tc>
          <w:tcPr>
            <w:tcW w:type="dxa" w:w="3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§7 sets ratings (4/3/2 h) and min dimensions (met) but does not verify nominal cover per fire rating against Table 16A (40 mm schedule vs 4 h) nor address anti-spalling mesh for large cover — fire design not fully closed.</w:t>
            </w:r>
          </w:p>
        </w:tc>
      </w:tr>
      <w:tr>
        <w:tc>
          <w:tcPr>
            <w:tcW w:type="dxa" w:w="46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D24</w:t>
            </w:r>
          </w:p>
        </w:tc>
        <w:tc>
          <w:tcPr>
            <w:tcW w:type="dxa" w:w="17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Clear-cover philosophy</w:t>
            </w:r>
          </w:p>
        </w:tc>
        <w:tc>
          <w:tcPr>
            <w:tcW w:type="dxa" w:w="205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COMPLIANT (notes)</w:t>
            </w:r>
          </w:p>
        </w:tc>
        <w:tc>
          <w:tcPr>
            <w:tcW w:type="dxa" w:w="215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 Cl 26.4, Tbl 16/16A, Cl 26.4.2.1</w:t>
            </w:r>
          </w:p>
        </w:tc>
        <w:tc>
          <w:tcPr>
            <w:tcW w:type="dxa" w:w="30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§8 sound: nominal vs clear cover defined, basis = max(durability, fire), full schedule. Notes: “slab from face of ties” wording (slabs have no ties); confirm cover ≥ bar dia; reconcile with understated “Mild” exposure (F-D2).</w:t>
            </w:r>
          </w:p>
        </w:tc>
      </w:tr>
      <w:tr>
        <w:tc>
          <w:tcPr>
            <w:tcW w:type="dxa" w:w="46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D25</w:t>
            </w:r>
          </w:p>
        </w:tc>
        <w:tc>
          <w:tcPr>
            <w:tcW w:type="dxa" w:w="17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NBC Type 1/2</w:t>
            </w:r>
          </w:p>
        </w:tc>
        <w:tc>
          <w:tcPr>
            <w:tcW w:type="dxa" w:w="205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CONCLUSION OK</w:t>
            </w:r>
          </w:p>
        </w:tc>
        <w:tc>
          <w:tcPr>
            <w:tcW w:type="dxa" w:w="215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NBC 2016 Part 4, Table 2</w:t>
            </w:r>
          </w:p>
        </w:tc>
        <w:tc>
          <w:tcPr>
            <w:tcW w:type="dxa" w:w="30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§7.3 states Type 1 — correct for a 115 m high-rise residential. But the stated basis (FAR&gt;2.0) is not the primary NBC driver; height/occupancy &amp; required fire ratings govern. Restate the rationale.</w:t>
            </w:r>
          </w:p>
        </w:tc>
      </w:tr>
    </w:tbl>
    <w:p>
      <w:pPr>
        <w:spacing w:after="60"/>
      </w:pPr>
    </w:p>
    <w:p>
      <w:pPr>
        <w:spacing w:after="120"/>
      </w:pPr>
      <w:r>
        <w:rPr>
          <w:rFonts w:ascii="Arial" w:cs="Arial" w:eastAsia="Arial" w:hAnsi="Arial"/>
          <w:b w:val="false"/>
          <w:bCs w:val="false"/>
          <w:i/>
          <w:iCs/>
          <w:sz w:val="18"/>
          <w:szCs w:val="18"/>
        </w:rPr>
        <w:t xml:space="preserve">Cross-references: D18 supersedes the earlier general note M-D4; D21 supersedes/expands M-D2 (dynamic wind). D22 links to mismatch X8 (version). D24 links to flaw F-D2 (exposure). D23 links to D3/Part-1 cover items.</w:t>
      </w:r>
    </w:p>
    <w:p>
      <w:r>
        <w:br w:type="page"/>
      </w:r>
    </w:p>
    <w:p>
      <w:pPr>
        <w:pStyle w:val="Heading1"/>
      </w:pPr>
      <w:r>
        <w:rPr>
          <w:rFonts w:ascii="Arial" w:cs="Arial" w:eastAsia="Arial" w:hAnsi="Arial"/>
        </w:rPr>
        <w:t xml:space="preserve">PART 2 — ETABS Model Review (Towers A &amp; B)</w:t>
      </w:r>
    </w:p>
    <w:p>
      <w:pPr>
        <w:pStyle w:val="Heading2"/>
      </w:pPr>
      <w:r>
        <w:rPr>
          <w:rFonts w:ascii="Arial" w:cs="Arial" w:eastAsia="Arial" w:hAnsi="Arial"/>
        </w:rPr>
        <w:t xml:space="preserve">2.1  Checks applied to the model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3200"/>
        <w:gridCol w:w="29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27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Check applied</w:t>
            </w:r>
          </w:p>
        </w:tc>
        <w:tc>
          <w:tcPr>
            <w:tcW w:type="dxa" w:w="32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Governing code &amp; clause</w:t>
            </w:r>
          </w:p>
        </w:tc>
        <w:tc>
          <w:tcPr>
            <w:tcW w:type="dxa" w:w="29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Method</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E1</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Program/version, units, title hygiene</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QA / document control</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PROGRAM INFO, CONTROLS.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E2</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Story scheme, heights, total height</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Cl 5.5 (period basis)</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Sum story heights; compare to DBR 115.2 m.</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E3</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Material library: fck, Ec, rebar fy</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Cl 6.2.3.1 (Ec=5000√fck)</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Check Ec for each grade; check rebar fy.</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E4</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Section library &amp; which sections are actually assigned</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DBR §2.2 / §6.4</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Cross-tab section definitions vs LINE/AREA assigns.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E5</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Stiffness modifiers per element type</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Cl 7.2</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PROPMODI22/I33/T (frame), PROPMODF/M (area).</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E6</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Auto-seismic definitions (Z/I/R/soil/ecc/period/top-bottom story)</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(Z/I/R), Cl 7.8.2, Cl 7.6</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SEISMIC load patterns.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E7</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Response-spectrum functions &amp; load cases (scaled vs unscaled)</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7.7.3</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FUNCTION &amp; RS LOAD CASE scale factors.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E8</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Mass source composition</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Table 10 / Cl 7.3.2</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MASS SOURCE load multipliers.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E9</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Wind definition method &amp; force distribution</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875-3:2015</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WIND load patterns (auto vs user).</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E10</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Base restraints / fixity &amp; seismic base level</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7.6</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POINT restraints; SEISMIC BOTTOMSTORY.</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E11</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Diaphragm type</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7.6.4</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DIAPHRAGM definition.</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E12</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Modal case (type &amp; number of modes)</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7.7.5.2</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Modal load case.</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E13</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P-Δ load definition</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(P-Δ)</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ANALYSIS OPTIONS PDELTA.</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E14</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All 263 load combinations: family coverage, factor audit, SPEC-case wiring, dangling refs</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 Table 18; IS 1893 Cl 6.3</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Parse every COMBO; resolve each term.</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E15</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Reinforcement grade per concrete section</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1786 / IS 13920 Cl 5.5</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CONCRETE SECTION bar materials.</w:t>
            </w:r>
          </w:p>
        </w:tc>
      </w:tr>
      <w:tr>
        <w:tc>
          <w:tcPr>
            <w:tcW w:type="dxa" w:w="5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E16</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Pier/spandrel labelling for wall design</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13920:2016 Cl 10</w:t>
            </w:r>
          </w:p>
        </w:tc>
        <w:tc>
          <w:tcPr>
            <w:tcW w:type="dxa" w:w="2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Read PIER/SPANDREL names &amp; assigns.</w:t>
            </w:r>
          </w:p>
        </w:tc>
      </w:tr>
    </w:tbl>
    <w:p>
      <w:pPr>
        <w:spacing w:after="60"/>
      </w:pPr>
    </w:p>
    <w:p>
      <w:pPr>
        <w:pStyle w:val="Heading2"/>
      </w:pPr>
      <w:r>
        <w:rPr>
          <w:rFonts w:ascii="Arial" w:cs="Arial" w:eastAsia="Arial" w:hAnsi="Arial"/>
        </w:rPr>
        <w:t xml:space="preserve">2.2  Correct findings in the model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3200"/>
        <w:gridCol w:w="27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29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Item (compliant)</w:t>
            </w:r>
          </w:p>
        </w:tc>
        <w:tc>
          <w:tcPr>
            <w:tcW w:type="dxa" w:w="32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Code &amp; clause</w:t>
            </w:r>
          </w:p>
        </w:tc>
        <w:tc>
          <w:tcPr>
            <w:tcW w:type="dxa" w:w="27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Reason it is correct</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C-E1</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Total height GF→Terrace = 115.2 m; 37 stories</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Cl 5.5</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Matches DBR exactly.</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C-E2</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Auto-seismic Z=0.24, I=1.2, R=4, Soil II, ecc=0.05 (EQX/EQY/EQXD/EQYD)</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(Z/I/R), Cl 7.8.2</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Matches DBR &amp; code for Zone IV.</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C-E3</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User period USERT=2.36 s = 0.0672·115.2^0.75</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(Ta); Cl 5.5</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Period input equals DBR formula; EQXD/EQYD set to program-calculated for base-shear comparison.</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C-E4</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Mass source: DL/SDL ×1, LL3 ×0.25, LL5 ×0.5, LLROOF &amp; FTL excluded, SELFW ×1</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Table 10 / Cl 7.3.2</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Fully compliant; roof live correctly excluded from seismic weight.</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C-E5</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Stiffness modifiers: Walls 0.70, Beams 0.35, Slabs 0.25</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Cl 7.2</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Match the DBR/IS ULS set exactly.</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C-E6</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Ec = 5000·√fck for every concrete grade</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456:2000 Cl 6.2.3.1</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Correct modulus for all grades.</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C-E7</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Diaphragm D1 = semi-rigid</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7.6.4</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Matches DBR.</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C-E8</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All 263 combinations resolve — no term references a non-existent case</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Model integrity</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Combination set is internally complete; all DBR families present.</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C-E9</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Min wall thickness 250 mm; walls M40/M50/M60; slabs M30</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13920:2016 Cl 10.1.2; DBR §6.4</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Above 150 mm ductile minimum; grades within DBR range.</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C-E10</w:t>
            </w:r>
          </w:p>
        </w:tc>
        <w:tc>
          <w:tcPr>
            <w:tcW w:type="dxa" w:w="29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5% accidental eccentricity on static &amp; RS cases</w:t>
            </w:r>
          </w:p>
        </w:tc>
        <w:tc>
          <w:tcPr>
            <w:tcW w:type="dxa" w:w="320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7.8.2</w:t>
            </w:r>
          </w:p>
        </w:tc>
        <w:tc>
          <w:tcPr>
            <w:tcW w:type="dxa" w:w="2740"/>
            <w:tcBorders>
              <w:top w:val="single" w:color="BBBBBB" w:sz="1"/>
              <w:left w:val="single" w:color="BBBBBB" w:sz="1"/>
              <w:bottom w:val="single" w:color="BBBBBB" w:sz="1"/>
              <w:right w:val="single" w:color="BBBBBB" w:sz="1"/>
            </w:tcBorders>
            <w:shd w:fill="E2EFDA"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Applied via ECC 0.05 / ECCENRATIO 0.05.</w:t>
            </w:r>
          </w:p>
        </w:tc>
      </w:tr>
    </w:tbl>
    <w:p>
      <w:pPr>
        <w:spacing w:after="60"/>
      </w:pPr>
    </w:p>
    <w:p>
      <w:pPr>
        <w:pStyle w:val="Heading2"/>
      </w:pPr>
      <w:r>
        <w:rPr>
          <w:rFonts w:ascii="Arial" w:cs="Arial" w:eastAsia="Arial" w:hAnsi="Arial"/>
        </w:rPr>
        <w:t xml:space="preserve">2.3  Flaws / discrepancies in the model vs IS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2300"/>
        <w:gridCol w:w="39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26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Flaw / discrepancy</w:t>
            </w:r>
          </w:p>
        </w:tc>
        <w:tc>
          <w:tcPr>
            <w:tcW w:type="dxa" w:w="23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Code &amp; clause</w:t>
            </w:r>
          </w:p>
        </w:tc>
        <w:tc>
          <w:tcPr>
            <w:tcW w:type="dxa" w:w="39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Reason / correction</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F-E1</w:t>
            </w:r>
          </w:p>
        </w:tc>
        <w:tc>
          <w:tcPr>
            <w:tcW w:type="dxa" w:w="26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X-direction design uses the UNSCALED response spectrum (SPECX (UNSCALED), SF=g); the scaled SPECX case (≈1.96·g) is defined but used by zero combinations, while Y uses the scaled SPECY</w:t>
            </w:r>
          </w:p>
        </w:tc>
        <w:tc>
          <w:tcPr>
            <w:tcW w:type="dxa" w:w="23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7.7.3</w:t>
            </w:r>
          </w:p>
        </w:tc>
        <w:tc>
          <w:tcPr>
            <w:tcW w:type="dxa" w:w="39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Dynamic base shear must be scaled up to the static value. X is not scaled while Y is — asymmetric and non-conservative for X. The existence of an unused scaled SPECX is strong evidence of a combo-wiring error. Magnitude to be confirmed against the base-shear table (licence).</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F-E2</w:t>
            </w:r>
          </w:p>
        </w:tc>
        <w:tc>
          <w:tcPr>
            <w:tcW w:type="dxa" w:w="26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Iterative P-Δ load case includes lateral cases (EQX/EQY/WX/WY ×1.5) and references non-existent load patterns EQX(1/3)…EQY(3/3); EARTH FILL &amp; EQUIP omitted from gravity preload</w:t>
            </w:r>
          </w:p>
        </w:tc>
        <w:tc>
          <w:tcPr>
            <w:tcW w:type="dxa" w:w="23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(P-Δ); ETABS practice</w:t>
            </w:r>
          </w:p>
        </w:tc>
        <w:tc>
          <w:tcPr>
            <w:tcW w:type="dxa" w:w="39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P-Δ geometric stiffness must derive from gravity only. Including all lateral cases simultaneously and dangling pattern names indicates a malformed P-Δ definition; rebuild as gravity preload (e.g. 1.2DL + full SIDL + 0.5LL incl. EQUIP &amp; EARTH FILL).</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F-E3</w:t>
            </w:r>
          </w:p>
        </w:tc>
        <w:tc>
          <w:tcPr>
            <w:tcW w:type="dxa" w:w="26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Coupling/link beams over wall openings modelled as ordinary 250×600 frame beams (only one spandrel defined/assigned per tower)</w:t>
            </w:r>
          </w:p>
        </w:tc>
        <w:tc>
          <w:tcPr>
            <w:tcW w:type="dxa" w:w="23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13920:2016 Cl 10</w:t>
            </w:r>
          </w:p>
        </w:tc>
        <w:tc>
          <w:tcPr>
            <w:tcW w:type="dxa" w:w="39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Coupled-wall link beams have specific (often diagonal) detailing rules; confirm they are designed accordingly rather than as ordinary beams.</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F-E4</w:t>
            </w:r>
          </w:p>
        </w:tc>
        <w:tc>
          <w:tcPr>
            <w:tcW w:type="dxa" w:w="26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Undocumented combination family 213–266 applies a uniform 2.5× multiplier to spectrum cases (1.5→3.75, 3.0→7.5…), still on the unscaled X spectrum</w:t>
            </w:r>
          </w:p>
        </w:tc>
        <w:tc>
          <w:tcPr>
            <w:tcW w:type="dxa" w:w="23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6.3 / Cl 7.7.3; DBR §13.3</w:t>
            </w:r>
          </w:p>
        </w:tc>
        <w:tc>
          <w:tcPr>
            <w:tcW w:type="dxa" w:w="39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Not part of the DBR combination scheme; the 2.5× factor does not match the computed scale factors (1.955/1.829). Appears to be a parallel manual-scaling attempt; clarify intent, remove or document.</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F-E5</w:t>
            </w:r>
          </w:p>
        </w:tc>
        <w:tc>
          <w:tcPr>
            <w:tcW w:type="dxa" w:w="26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Seismic base taken at STILT while structure is fixed at B1 base (86 fixed points)</w:t>
            </w:r>
          </w:p>
        </w:tc>
        <w:tc>
          <w:tcPr>
            <w:tcW w:type="dxa" w:w="23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7.6</w:t>
            </w:r>
          </w:p>
        </w:tc>
        <w:tc>
          <w:tcPr>
            <w:tcW w:type="dxa" w:w="39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For a single-basement tower, verify the seismic base / lateral-restraint assumption; affects base-shear height and drift accumulation.</w:t>
            </w:r>
          </w:p>
        </w:tc>
      </w:tr>
    </w:tbl>
    <w:p>
      <w:pPr>
        <w:spacing w:after="60"/>
      </w:pPr>
    </w:p>
    <w:p>
      <w:pPr>
        <w:pStyle w:val="Heading2"/>
      </w:pPr>
      <w:r>
        <w:rPr>
          <w:rFonts w:ascii="Arial" w:cs="Arial" w:eastAsia="Arial" w:hAnsi="Arial"/>
        </w:rPr>
        <w:t xml:space="preserve">2.4  Missing / not present in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300"/>
        <w:gridCol w:w="2600"/>
        <w:gridCol w:w="29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33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Missing item</w:t>
            </w:r>
          </w:p>
        </w:tc>
        <w:tc>
          <w:tcPr>
            <w:tcW w:type="dxa" w:w="26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Code &amp; clause</w:t>
            </w:r>
          </w:p>
        </w:tc>
        <w:tc>
          <w:tcPr>
            <w:tcW w:type="dxa" w:w="29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Note</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M-E1</w:t>
            </w:r>
          </w:p>
        </w:tc>
        <w:tc>
          <w:tcPr>
            <w:tcW w:type="dxa" w:w="33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Second basement (B2) — models contain only B1</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DBR §2; IS 1893 Cl 7.6</w:t>
            </w:r>
          </w:p>
        </w:tc>
        <w:tc>
          <w:tcPr>
            <w:tcW w:type="dxa" w:w="29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DBR specifies 2 basements; only B1 is modelled. Confirm whether B2 is intentionally outside the tower model (handled in podium/raft model) or missing.</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M-E2</w:t>
            </w:r>
          </w:p>
        </w:tc>
        <w:tc>
          <w:tcPr>
            <w:tcW w:type="dxa" w:w="33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Serviceability (SLS) model with SLS stiffness modifiers (0.90/0.70/0.35/0.90)</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 Cl 7.2; IS 1893 Cl 7.11.1</w:t>
            </w:r>
          </w:p>
        </w:tc>
        <w:tc>
          <w:tcPr>
            <w:tcW w:type="dxa" w:w="29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Only ULS models provided; SLS model needed to verify wind (H/500) and seismic (H/250) drift/displacement.</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M-E3</w:t>
            </w:r>
          </w:p>
        </w:tc>
        <w:tc>
          <w:tcPr>
            <w:tcW w:type="dxa" w:w="33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Auto IS 875-3 wind parameters (Vb, terrain, K1–K4, Cf)</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875-3:2015</w:t>
            </w:r>
          </w:p>
        </w:tc>
        <w:tc>
          <w:tcPr>
            <w:tcW w:type="dxa" w:w="29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Wind applied as user story forces, so code parameters are not present in the model; the external wind calculation must accompany it.</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M-E4</w:t>
            </w:r>
          </w:p>
        </w:tc>
        <w:tc>
          <w:tcPr>
            <w:tcW w:type="dxa" w:w="33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Foundation model (raft/footing — SAFE)</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1904 / IS 2950 / IS 2911</w:t>
            </w:r>
          </w:p>
        </w:tc>
        <w:tc>
          <w:tcPr>
            <w:tcW w:type="dxa" w:w="29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Not provided; foundation grade/bearing/settlement/punching are checked there, not in this superstructure model.</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M-E5</w:t>
            </w:r>
          </w:p>
        </w:tc>
        <w:tc>
          <w:tcPr>
            <w:tcW w:type="dxa" w:w="33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Vertical spectrum (SPECZ) derivation basis</w:t>
            </w:r>
          </w:p>
        </w:tc>
        <w:tc>
          <w:tcPr>
            <w:tcW w:type="dxa" w:w="26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6.4.6</w:t>
            </w:r>
          </w:p>
        </w:tc>
        <w:tc>
          <w:tcPr>
            <w:tcW w:type="dxa" w:w="29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SPECZ is a USER constant; the 2/3·(Z/2)·(I/R)·Sa/g basis should be confirmed.</w:t>
            </w:r>
          </w:p>
        </w:tc>
      </w:tr>
    </w:tbl>
    <w:p>
      <w:r>
        <w:br w:type="page"/>
      </w:r>
    </w:p>
    <w:p>
      <w:pPr>
        <w:pStyle w:val="Heading1"/>
      </w:pPr>
      <w:r>
        <w:rPr>
          <w:rFonts w:ascii="Arial" w:cs="Arial" w:eastAsia="Arial" w:hAnsi="Arial"/>
        </w:rPr>
        <w:t xml:space="preserve">PART 3 — DBR ↔ Model Reconciliation (mismatches)</w:t>
      </w:r>
    </w:p>
    <w:p>
      <w:pPr>
        <w:spacing w:after="120"/>
      </w:pPr>
      <w:r>
        <w:rPr>
          <w:rFonts w:ascii="Arial" w:cs="Arial" w:eastAsia="Arial" w:hAnsi="Arial"/>
          <w:b w:val="false"/>
          <w:bCs w:val="false"/>
          <w:i/>
          <w:iCs/>
          <w:sz w:val="18"/>
          <w:szCs w:val="18"/>
        </w:rPr>
        <w:t xml:space="preserve">Items where the DBR and the ETABS model disagree. Severity: H = high, M = medium, L = low/documentation.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00"/>
        <w:gridCol w:w="2150"/>
        <w:gridCol w:w="2150"/>
        <w:gridCol w:w="22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23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Item</w:t>
            </w:r>
          </w:p>
        </w:tc>
        <w:tc>
          <w:tcPr>
            <w:tcW w:type="dxa" w:w="2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DBR says</w:t>
            </w:r>
          </w:p>
        </w:tc>
        <w:tc>
          <w:tcPr>
            <w:tcW w:type="dxa" w:w="215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Model has</w:t>
            </w:r>
          </w:p>
        </w:tc>
        <w:tc>
          <w:tcPr>
            <w:tcW w:type="dxa" w:w="22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Severity / clause</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X1</w:t>
            </w:r>
          </w:p>
        </w:tc>
        <w:tc>
          <w:tcPr>
            <w:tcW w:type="dxa" w:w="23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Basements</w:t>
            </w:r>
          </w:p>
        </w:tc>
        <w:tc>
          <w:tcPr>
            <w:tcW w:type="dxa" w:w="215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2B + STILT + 33 + Terrace</w:t>
            </w:r>
          </w:p>
        </w:tc>
        <w:tc>
          <w:tcPr>
            <w:tcW w:type="dxa" w:w="215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Only B1 (no B2)</w:t>
            </w:r>
          </w:p>
        </w:tc>
        <w:tc>
          <w:tcPr>
            <w:tcW w:type="dxa" w:w="22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H — reconcile model scope (DBR §2)</w:t>
            </w:r>
          </w:p>
        </w:tc>
      </w:tr>
      <w:tr>
        <w:tc>
          <w:tcPr>
            <w:tcW w:type="dxa" w:w="52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X2</w:t>
            </w:r>
          </w:p>
        </w:tc>
        <w:tc>
          <w:tcPr>
            <w:tcW w:type="dxa" w:w="23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RS base-shear scaling</w:t>
            </w:r>
          </w:p>
        </w:tc>
        <w:tc>
          <w:tcPr>
            <w:tcW w:type="dxa" w:w="215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“responses enhanced per Cl 7.7.3”</w:t>
            </w:r>
          </w:p>
        </w:tc>
        <w:tc>
          <w:tcPr>
            <w:tcW w:type="dxa" w:w="215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 combos use the UNSCALED spectrum</w:t>
            </w:r>
          </w:p>
        </w:tc>
        <w:tc>
          <w:tcPr>
            <w:tcW w:type="dxa" w:w="224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H — IS 1893:2016 Cl 7.7.3</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X3</w:t>
            </w:r>
          </w:p>
        </w:tc>
        <w:tc>
          <w:tcPr>
            <w:tcW w:type="dxa" w:w="23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Beam main reinforcement</w:t>
            </w:r>
          </w:p>
        </w:tc>
        <w:tc>
          <w:tcPr>
            <w:tcW w:type="dxa" w:w="21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Fe 550-D</w:t>
            </w:r>
          </w:p>
        </w:tc>
        <w:tc>
          <w:tcPr>
            <w:tcW w:type="dxa" w:w="21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HYSD500 (Fe500) main, Fe415 ties (only unused column = Fe550)</w:t>
            </w:r>
          </w:p>
        </w:tc>
        <w:tc>
          <w:tcPr>
            <w:tcW w:type="dxa" w:w="22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 — IS 1786 / IS 13920 Cl 5.5</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X4</w:t>
            </w:r>
          </w:p>
        </w:tc>
        <w:tc>
          <w:tcPr>
            <w:tcW w:type="dxa" w:w="23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Load combinations</w:t>
            </w:r>
          </w:p>
        </w:tc>
        <w:tc>
          <w:tcPr>
            <w:tcW w:type="dxa" w:w="21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Enumerated families 201–212 + A/B/C</w:t>
            </w:r>
          </w:p>
        </w:tc>
        <w:tc>
          <w:tcPr>
            <w:tcW w:type="dxa" w:w="21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Extra 213–266 with 2.5× spectrum multiplier</w:t>
            </w:r>
          </w:p>
        </w:tc>
        <w:tc>
          <w:tcPr>
            <w:tcW w:type="dxa" w:w="22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 — DBR §13.3</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X5</w:t>
            </w:r>
          </w:p>
        </w:tc>
        <w:tc>
          <w:tcPr>
            <w:tcW w:type="dxa" w:w="23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Wind method</w:t>
            </w:r>
          </w:p>
        </w:tc>
        <w:tc>
          <w:tcPr>
            <w:tcW w:type="dxa" w:w="21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ETABS IS 875-3 auto-module</w:t>
            </w:r>
          </w:p>
        </w:tc>
        <w:tc>
          <w:tcPr>
            <w:tcW w:type="dxa" w:w="215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User-defined story forces</w:t>
            </w:r>
          </w:p>
        </w:tc>
        <w:tc>
          <w:tcPr>
            <w:tcW w:type="dxa" w:w="22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 — IS 875-3:2015</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X6</w:t>
            </w:r>
          </w:p>
        </w:tc>
        <w:tc>
          <w:tcPr>
            <w:tcW w:type="dxa" w:w="23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Peripheral beam size</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250 × 750</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All beams 250 × 600 (A); +few 300×600 (B)</w:t>
            </w:r>
          </w:p>
        </w:tc>
        <w:tc>
          <w:tcPr>
            <w:tcW w:type="dxa" w:w="22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L — DBR §2.2 (“may alter per span”)</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X7</w:t>
            </w:r>
          </w:p>
        </w:tc>
        <w:tc>
          <w:tcPr>
            <w:tcW w:type="dxa" w:w="23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Beam clear cover</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40 mm clear</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ETABS 50 mm to bar centroid → ≈32 mm clear</w:t>
            </w:r>
          </w:p>
        </w:tc>
        <w:tc>
          <w:tcPr>
            <w:tcW w:type="dxa" w:w="22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L — IS 456 Table 16 (verify convention)</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X8</w:t>
            </w:r>
          </w:p>
        </w:tc>
        <w:tc>
          <w:tcPr>
            <w:tcW w:type="dxa" w:w="23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Analysis software</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ETABS v23.1</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ETABS v21.1.0</w:t>
            </w:r>
          </w:p>
        </w:tc>
        <w:tc>
          <w:tcPr>
            <w:tcW w:type="dxa" w:w="22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L — DBR §3 (version control)</w:t>
            </w:r>
          </w:p>
        </w:tc>
      </w:tr>
      <w:tr>
        <w:tc>
          <w:tcPr>
            <w:tcW w:type="dxa" w:w="52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X9</w:t>
            </w:r>
          </w:p>
        </w:tc>
        <w:tc>
          <w:tcPr>
            <w:tcW w:type="dxa" w:w="230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Building use (model title)</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Residential</w:t>
            </w:r>
          </w:p>
        </w:tc>
        <w:tc>
          <w:tcPr>
            <w:tcW w:type="dxa" w:w="215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TITLE2 = “RETAIL BUILDING”</w:t>
            </w:r>
          </w:p>
        </w:tc>
        <w:tc>
          <w:tcPr>
            <w:tcW w:type="dxa" w:w="2240"/>
            <w:tcBorders>
              <w:top w:val="single" w:color="BBBBBB" w:sz="1"/>
              <w:left w:val="single" w:color="BBBBBB" w:sz="1"/>
              <w:bottom w:val="single" w:color="BBBBBB" w:sz="1"/>
              <w:right w:val="single" w:color="BBBBBB" w:sz="1"/>
            </w:tcBorders>
            <w:shd w:fill="EDEDED"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L — template leftover</w:t>
            </w:r>
          </w:p>
        </w:tc>
      </w:tr>
    </w:tbl>
    <w:p>
      <w:pPr>
        <w:spacing w:after="60"/>
      </w:pPr>
    </w:p>
    <w:p>
      <w:pPr>
        <w:spacing w:after="120"/>
      </w:pPr>
      <w:r>
        <w:rPr>
          <w:rFonts w:ascii="Arial" w:cs="Arial" w:eastAsia="Arial" w:hAnsi="Arial"/>
          <w:b w:val="false"/>
          <w:bCs w:val="false"/>
          <w:i/>
          <w:iCs/>
          <w:sz w:val="18"/>
          <w:szCs w:val="18"/>
        </w:rPr>
        <w:t xml:space="preserve">Confirmed matching (DBR ↔ model): height 115.2 m, Z/I/R/soil/ecc, user period = DBR formula, ULS stiffness modifiers, imposed-load mass %, semi-rigid diaphragm, wall minimum thickness, wall/slab concrete grades, and structural system (wall + beam, no columns).</w:t>
      </w:r>
    </w:p>
    <w:p>
      <w:r>
        <w:br w:type="page"/>
      </w:r>
    </w:p>
    <w:p>
      <w:pPr>
        <w:pStyle w:val="Heading1"/>
      </w:pPr>
      <w:r>
        <w:rPr>
          <w:rFonts w:ascii="Arial" w:cs="Arial" w:eastAsia="Arial" w:hAnsi="Arial"/>
        </w:rPr>
        <w:t xml:space="preserve">PART 4 — Not verifiable without a licensed ETABS run</w:t>
      </w:r>
    </w:p>
    <w:p>
      <w:pPr>
        <w:spacing w:after="120"/>
      </w:pPr>
      <w:r>
        <w:rPr>
          <w:rFonts w:ascii="Arial" w:cs="Arial" w:eastAsia="Arial" w:hAnsi="Arial"/>
          <w:b w:val="false"/>
          <w:bCs w:val="false"/>
          <w:i/>
          <w:iCs/>
          <w:sz w:val="18"/>
          <w:szCs w:val="18"/>
        </w:rPr>
        <w:t xml:space="preserve">These checks are results-dependent or input-dependent and cannot be concluded from the model text alone. They require a licensed ETABS analysis (and, where noted, the SLS model / external calc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00"/>
        <w:gridCol w:w="2400"/>
        <w:gridCol w:w="244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Not yet verifiable</w:t>
            </w:r>
          </w:p>
        </w:tc>
        <w:tc>
          <w:tcPr>
            <w:tcW w:type="dxa" w:w="240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Code &amp; clause</w:t>
            </w:r>
          </w:p>
        </w:tc>
        <w:tc>
          <w:tcPr>
            <w:tcW w:type="dxa" w:w="2440"/>
            <w:tcBorders>
              <w:top w:val="single" w:color="BBBBBB" w:sz="1"/>
              <w:left w:val="single" w:color="BBBBBB" w:sz="1"/>
              <w:bottom w:val="single" w:color="BBBBBB" w:sz="1"/>
              <w:right w:val="single" w:color="BBBBBB" w:sz="1"/>
            </w:tcBorders>
            <w:shd w:fill="1F4E79" w:val="clear"/>
            <w:tcMar>
              <w:top w:type="dxa" w:w="60"/>
              <w:left w:type="dxa" w:w="90"/>
              <w:bottom w:type="dxa" w:w="60"/>
              <w:right w:type="dxa" w:w="90"/>
            </w:tcMar>
            <w:vAlign w:val="center"/>
          </w:tcPr>
          <w:p>
            <w:pPr>
              <w:jc w:val="left"/>
            </w:pPr>
            <w:r>
              <w:rPr>
                <w:rFonts w:ascii="Arial" w:cs="Arial" w:eastAsia="Arial" w:hAnsi="Arial"/>
                <w:b/>
                <w:bCs/>
                <w:i w:val="false"/>
                <w:iCs w:val="false"/>
                <w:color w:val="FFFFFF"/>
                <w:sz w:val="18"/>
                <w:szCs w:val="18"/>
              </w:rPr>
              <w:t xml:space="preserve">Why</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V1</w:t>
            </w:r>
          </w:p>
        </w:tc>
        <w:tc>
          <w:tcPr>
            <w:tcW w:type="dxa" w:w="4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Modal mass participation ≥ 90% in X, Y (and vertical)</w:t>
            </w:r>
          </w:p>
        </w:tc>
        <w:tc>
          <w:tcPr>
            <w:tcW w:type="dxa" w:w="24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7.7.5.2</w:t>
            </w:r>
          </w:p>
        </w:tc>
        <w:tc>
          <w:tcPr>
            <w:tcW w:type="dxa" w:w="24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25 Ritz modes — may be marginal for 37 storeys.</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V2</w:t>
            </w:r>
          </w:p>
        </w:tc>
        <w:tc>
          <w:tcPr>
            <w:tcW w:type="dxa" w:w="4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Actual dynamic-vs-static base-shear ratio (to quantify the X under-scaling in F-E1)</w:t>
            </w:r>
          </w:p>
        </w:tc>
        <w:tc>
          <w:tcPr>
            <w:tcW w:type="dxa" w:w="24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7.7.3</w:t>
            </w:r>
          </w:p>
        </w:tc>
        <w:tc>
          <w:tcPr>
            <w:tcW w:type="dxa" w:w="24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Needs reported base shears.</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V3</w:t>
            </w:r>
          </w:p>
        </w:tc>
        <w:tc>
          <w:tcPr>
            <w:tcW w:type="dxa" w:w="4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Storey drift ≤ 0.004h; wind drift ≤ H/500; seismic disp ≤ H/250</w:t>
            </w:r>
          </w:p>
        </w:tc>
        <w:tc>
          <w:tcPr>
            <w:tcW w:type="dxa" w:w="24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7.11.1; IS 16700</w:t>
            </w:r>
          </w:p>
        </w:tc>
        <w:tc>
          <w:tcPr>
            <w:tcW w:type="dxa" w:w="24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Needs results + the SLS model (M-E2).</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V4</w:t>
            </w:r>
          </w:p>
        </w:tc>
        <w:tc>
          <w:tcPr>
            <w:tcW w:type="dxa" w:w="4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Torsional / stiffness / mass / soft-storey irregularity confirmation</w:t>
            </w:r>
          </w:p>
        </w:tc>
        <w:tc>
          <w:tcPr>
            <w:tcW w:type="dxa" w:w="24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1893:2016 Cl 7.1, Table 6</w:t>
            </w:r>
          </w:p>
        </w:tc>
        <w:tc>
          <w:tcPr>
            <w:tcW w:type="dxa" w:w="24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Flagged geometrically (tall STILT/GF); needs results.</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V5</w:t>
            </w:r>
          </w:p>
        </w:tc>
        <w:tc>
          <w:tcPr>
            <w:tcW w:type="dxa" w:w="4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P-Δ stability coefficient θ</w:t>
            </w:r>
          </w:p>
        </w:tc>
        <w:tc>
          <w:tcPr>
            <w:tcW w:type="dxa" w:w="24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16700:2023</w:t>
            </w:r>
          </w:p>
        </w:tc>
        <w:tc>
          <w:tcPr>
            <w:tcW w:type="dxa" w:w="24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Needs results; also depends on fixing the P-Δ case (F-E2).</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V6</w:t>
            </w:r>
          </w:p>
        </w:tc>
        <w:tc>
          <w:tcPr>
            <w:tcW w:type="dxa" w:w="4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Member design: PMM ratios, wall/column D-C, beam-column joint checks, IS 13920 ductile detailing</w:t>
            </w:r>
          </w:p>
        </w:tc>
        <w:tc>
          <w:tcPr>
            <w:tcW w:type="dxa" w:w="24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456; IS 13920:2016</w:t>
            </w:r>
          </w:p>
        </w:tc>
        <w:tc>
          <w:tcPr>
            <w:tcW w:type="dxa" w:w="24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Needs a design run with a licence.</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V7</w:t>
            </w:r>
          </w:p>
        </w:tc>
        <w:tc>
          <w:tcPr>
            <w:tcW w:type="dxa" w:w="4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Wind force magnitude verification (Vb, K1–K4, Cf, gust)</w:t>
            </w:r>
          </w:p>
        </w:tc>
        <w:tc>
          <w:tcPr>
            <w:tcW w:type="dxa" w:w="24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875-3:2015</w:t>
            </w:r>
          </w:p>
        </w:tc>
        <w:tc>
          <w:tcPr>
            <w:tcW w:type="dxa" w:w="24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Model uses user forces; needs the external wind calc.</w:t>
            </w:r>
          </w:p>
        </w:tc>
      </w:tr>
      <w:tr>
        <w:tc>
          <w:tcPr>
            <w:tcW w:type="dxa" w:w="52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V8</w:t>
            </w:r>
          </w:p>
        </w:tc>
        <w:tc>
          <w:tcPr>
            <w:tcW w:type="dxa" w:w="40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Foundation: grades, bearing pressure, settlement, punching</w:t>
            </w:r>
          </w:p>
        </w:tc>
        <w:tc>
          <w:tcPr>
            <w:tcW w:type="dxa" w:w="24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IS 1904 / IS 2950 / IS 2911</w:t>
            </w:r>
          </w:p>
        </w:tc>
        <w:tc>
          <w:tcPr>
            <w:tcW w:type="dxa" w:w="244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left"/>
            </w:pPr>
            <w:r>
              <w:rPr>
                <w:rFonts w:ascii="Arial" w:cs="Arial" w:eastAsia="Arial" w:hAnsi="Arial"/>
                <w:b w:val="false"/>
                <w:bCs w:val="false"/>
                <w:i w:val="false"/>
                <w:iCs w:val="false"/>
                <w:sz w:val="18"/>
                <w:szCs w:val="18"/>
              </w:rPr>
              <w:t xml:space="preserve">Handled in the SAFE/raft model (not provided).</w:t>
            </w:r>
          </w:p>
        </w:tc>
      </w:tr>
    </w:tbl>
    <w:p>
      <w:r>
        <w:br w:type="page"/>
      </w:r>
    </w:p>
    <w:p>
      <w:pPr>
        <w:pStyle w:val="Heading1"/>
      </w:pPr>
      <w:r>
        <w:rPr>
          <w:rFonts w:ascii="Arial" w:cs="Arial" w:eastAsia="Arial" w:hAnsi="Arial"/>
        </w:rPr>
        <w:t xml:space="preserve">Section 7 — Open questions for the design team</w:t>
      </w:r>
    </w:p>
    <w:p>
      <w:pPr>
        <w:pStyle w:val="ListParagraph"/>
        <w:numPr>
          <w:ilvl w:val="0"/>
          <w:numId w:val="2"/>
        </w:numPr>
      </w:pPr>
      <w:r>
        <w:rPr>
          <w:rFonts w:ascii="Arial" w:cs="Arial" w:eastAsia="Arial" w:hAnsi="Arial"/>
          <w:sz w:val="20"/>
          <w:szCs w:val="20"/>
        </w:rPr>
        <w:t xml:space="preserve">Is the second basement (B2) deliberately outside the tower ULS model (handled in a separate podium/raft model), or is it missing? (Drives X1 / M-E1.)</w:t>
      </w:r>
    </w:p>
    <w:p>
      <w:pPr>
        <w:pStyle w:val="ListParagraph"/>
        <w:numPr>
          <w:ilvl w:val="0"/>
          <w:numId w:val="2"/>
        </w:numPr>
      </w:pPr>
      <w:r>
        <w:rPr>
          <w:rFonts w:ascii="Arial" w:cs="Arial" w:eastAsia="Arial" w:hAnsi="Arial"/>
          <w:sz w:val="20"/>
          <w:szCs w:val="20"/>
        </w:rPr>
        <w:t xml:space="preserve">What is the canonical main-reinforcement grade — Fe 550-D (DBR) or Fe 500 (model beams)? (Drives X3 / F-D? and the beam design basis.)</w:t>
      </w:r>
    </w:p>
    <w:p>
      <w:pPr>
        <w:pStyle w:val="ListParagraph"/>
        <w:numPr>
          <w:ilvl w:val="0"/>
          <w:numId w:val="2"/>
        </w:numPr>
      </w:pPr>
      <w:r>
        <w:rPr>
          <w:rFonts w:ascii="Arial" w:cs="Arial" w:eastAsia="Arial" w:hAnsi="Arial"/>
          <w:sz w:val="20"/>
          <w:szCs w:val="20"/>
        </w:rPr>
        <w:t xml:space="preserve">Confirm intent of the 213–266 combination family (2.5× spectrum) and whether the X-direction combos should reference the scaled SPECX. (Drives X2 / F-E1 / F-E4.)</w:t>
      </w:r>
    </w:p>
    <w:p>
      <w:pPr>
        <w:pStyle w:val="ListParagraph"/>
        <w:numPr>
          <w:ilvl w:val="0"/>
          <w:numId w:val="2"/>
        </w:numPr>
      </w:pPr>
      <w:r>
        <w:rPr>
          <w:rFonts w:ascii="Arial" w:cs="Arial" w:eastAsia="Arial" w:hAnsi="Arial"/>
          <w:sz w:val="20"/>
          <w:szCs w:val="20"/>
        </w:rPr>
        <w:t xml:space="preserve">Confirm the intended seismic base level (STILT vs top of B1) for a single-basement tower. (Drives F-E5.)</w:t>
      </w:r>
    </w:p>
    <w:p>
      <w:pPr>
        <w:spacing w:after="60"/>
      </w:pPr>
    </w:p>
    <w:p>
      <w:pPr>
        <w:spacing w:after="120"/>
      </w:pPr>
      <w:r>
        <w:rPr>
          <w:rFonts w:ascii="Arial" w:cs="Arial" w:eastAsia="Arial" w:hAnsi="Arial"/>
          <w:b w:val="false"/>
          <w:bCs w:val="false"/>
          <w:i/>
          <w:iCs/>
          <w:sz w:val="18"/>
          <w:szCs w:val="18"/>
        </w:rPr>
        <w:t xml:space="preserve">Reviewers: please mark each check step as confirmed / amend, and add any further checks (e.g., specific IS 13920 detailing rules, IS 875-3 dynamic wind, IS 16700 robustness) to the relevant Part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2026-06-03T12:23:38.612Z</dcterms:created>
  <dcterms:modified xsi:type="dcterms:W3CDTF">2026-06-03T12:23:38.625Z</dcterms:modified>
</cp:coreProperties>
</file>

<file path=docProps/custom.xml><?xml version="1.0" encoding="utf-8"?>
<Properties xmlns="http://schemas.openxmlformats.org/officeDocument/2006/custom-properties" xmlns:vt="http://schemas.openxmlformats.org/officeDocument/2006/docPropsVTypes"/>
</file>