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8622" w14:textId="77777777" w:rsidR="0031004A" w:rsidRPr="0031004A" w:rsidRDefault="0031004A" w:rsidP="0031004A">
      <w:pPr>
        <w:rPr>
          <w:lang w:val="en-US"/>
        </w:rPr>
      </w:pPr>
      <w:r w:rsidRPr="0031004A">
        <w:rPr>
          <w:lang w:val="en-US"/>
        </w:rPr>
        <w:t>Energy Use, Costs, and Carbon Footprint of the Town Hall</w:t>
      </w:r>
    </w:p>
    <w:p w14:paraId="08FC8A9D" w14:textId="6387CFA3" w:rsidR="0031004A" w:rsidRPr="0031004A" w:rsidRDefault="0031004A" w:rsidP="0031004A">
      <w:pPr>
        <w:rPr>
          <w:lang w:val="en-US"/>
        </w:rPr>
      </w:pPr>
      <w:r w:rsidRPr="0031004A">
        <w:rPr>
          <w:lang w:val="en-US"/>
        </w:rPr>
        <w:t>This section examines the town hall’s energy consumption, as well as the resulting costs and CO₂ emissions. The analysis is based on electricity and heat consumption data from 2025, which was provided by the municipal administration</w:t>
      </w:r>
      <w:r w:rsidR="00FE5413">
        <w:rPr>
          <w:lang w:val="en-US"/>
        </w:rPr>
        <w:t xml:space="preserve"> (</w:t>
      </w:r>
      <w:r w:rsidR="00FE5413" w:rsidRPr="00FE5413">
        <w:rPr>
          <w:lang w:val="en-US"/>
        </w:rPr>
        <w:t>Klauz, 2026</w:t>
      </w:r>
      <w:r w:rsidR="00FE5413">
        <w:rPr>
          <w:lang w:val="en-US"/>
        </w:rPr>
        <w:t>)</w:t>
      </w:r>
      <w:r w:rsidRPr="0031004A">
        <w:rPr>
          <w:lang w:val="en-US"/>
        </w:rPr>
        <w:t xml:space="preserve">. Since the economic and emissions analysis covers a 25-year period, it is assumed that the town hall’s energy consumption will remain consistent with the levels measured in 2025. The 2025 consumption data is therefore used as the baseline for 2026 and subsequent calculations. To determine energy costs and CO₂ emissions, the energy prices applicable for the year 2026 are used. On this basis, future energy costs and CO₂ emissions are calculated in the </w:t>
      </w:r>
      <w:r w:rsidR="00FE5413">
        <w:rPr>
          <w:lang w:val="en-US"/>
        </w:rPr>
        <w:t>baseline</w:t>
      </w:r>
      <w:r w:rsidRPr="0031004A">
        <w:rPr>
          <w:lang w:val="en-US"/>
        </w:rPr>
        <w:t xml:space="preserve"> scenario and compared with the scenarios involving the use of photovoltaic </w:t>
      </w:r>
      <w:r w:rsidR="00FE5413">
        <w:rPr>
          <w:lang w:val="en-US"/>
        </w:rPr>
        <w:t xml:space="preserve">(PV) </w:t>
      </w:r>
      <w:r w:rsidRPr="0031004A">
        <w:rPr>
          <w:lang w:val="en-US"/>
        </w:rPr>
        <w:t xml:space="preserve">and solar thermal </w:t>
      </w:r>
      <w:r w:rsidR="00FE5413">
        <w:rPr>
          <w:lang w:val="en-US"/>
        </w:rPr>
        <w:t xml:space="preserve">(ST) </w:t>
      </w:r>
      <w:r w:rsidRPr="0031004A">
        <w:rPr>
          <w:lang w:val="en-US"/>
        </w:rPr>
        <w:t>systems.</w:t>
      </w:r>
    </w:p>
    <w:p w14:paraId="13875614" w14:textId="37EB0115" w:rsidR="00340B5B" w:rsidRDefault="00340B5B" w:rsidP="00340B5B">
      <w:pPr>
        <w:rPr>
          <w:lang w:val="en-US"/>
        </w:rPr>
      </w:pPr>
      <w:r w:rsidRPr="00340B5B">
        <w:rPr>
          <w:lang w:val="en-US"/>
        </w:rPr>
        <w:t>Electricity Usage of the Town</w:t>
      </w:r>
      <w:r w:rsidR="00FE5413">
        <w:rPr>
          <w:lang w:val="en-US"/>
        </w:rPr>
        <w:t xml:space="preserve"> </w:t>
      </w:r>
      <w:r w:rsidRPr="00340B5B">
        <w:rPr>
          <w:lang w:val="en-US"/>
        </w:rPr>
        <w:t>hall</w:t>
      </w:r>
    </w:p>
    <w:p w14:paraId="092DB814" w14:textId="39FB9156" w:rsidR="00340B5B" w:rsidRPr="00340B5B" w:rsidRDefault="00340B5B" w:rsidP="00340B5B">
      <w:pPr>
        <w:rPr>
          <w:lang w:val="en-US"/>
        </w:rPr>
      </w:pPr>
      <w:r w:rsidRPr="007133F0">
        <w:rPr>
          <w:noProof/>
        </w:rPr>
        <w:drawing>
          <wp:inline distT="0" distB="0" distL="0" distR="0" wp14:anchorId="03036152" wp14:editId="367B6C18">
            <wp:extent cx="5760720" cy="847090"/>
            <wp:effectExtent l="0" t="0" r="0" b="0"/>
            <wp:docPr id="3324349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34995" name=""/>
                    <pic:cNvPicPr/>
                  </pic:nvPicPr>
                  <pic:blipFill>
                    <a:blip r:embed="rId4"/>
                    <a:stretch>
                      <a:fillRect/>
                    </a:stretch>
                  </pic:blipFill>
                  <pic:spPr>
                    <a:xfrm>
                      <a:off x="0" y="0"/>
                      <a:ext cx="5760720" cy="847090"/>
                    </a:xfrm>
                    <a:prstGeom prst="rect">
                      <a:avLst/>
                    </a:prstGeom>
                  </pic:spPr>
                </pic:pic>
              </a:graphicData>
            </a:graphic>
          </wp:inline>
        </w:drawing>
      </w:r>
    </w:p>
    <w:p w14:paraId="5D21647B" w14:textId="1F0B40F5" w:rsidR="00340B5B" w:rsidRPr="0031004A" w:rsidRDefault="0031004A" w:rsidP="0031004A">
      <w:pPr>
        <w:rPr>
          <w:lang w:val="en-US"/>
        </w:rPr>
      </w:pPr>
      <w:r w:rsidRPr="008D63E6">
        <w:rPr>
          <w:lang w:val="en-US"/>
        </w:rPr>
        <w:t xml:space="preserve">The table shows the town hall’s electricity consumption for the year 2025. Total consumption is broken down into the town hall’s administrative and </w:t>
      </w:r>
      <w:r w:rsidR="00FE5413">
        <w:rPr>
          <w:lang w:val="en-US"/>
        </w:rPr>
        <w:t xml:space="preserve">residential (apartment) </w:t>
      </w:r>
      <w:r w:rsidRPr="008D63E6">
        <w:rPr>
          <w:lang w:val="en-US"/>
        </w:rPr>
        <w:t xml:space="preserve">consumption </w:t>
      </w:r>
      <w:r w:rsidR="00FE5413">
        <w:rPr>
          <w:lang w:val="en-US"/>
        </w:rPr>
        <w:t>as they are both location in the same building</w:t>
      </w:r>
      <w:r w:rsidRPr="008D63E6">
        <w:rPr>
          <w:lang w:val="en-US"/>
        </w:rPr>
        <w:t xml:space="preserve">. In 2025, billing was still based on WWZ’s high and low rates, which is why electricity consumption is shown separately. As can be seen, the administrative sector accounts for the largest share of electricity consumption (approximately 96%). Starting in 2026, WWZ’s high and </w:t>
      </w:r>
      <w:proofErr w:type="gramStart"/>
      <w:r w:rsidRPr="008D63E6">
        <w:rPr>
          <w:lang w:val="en-US"/>
        </w:rPr>
        <w:t>low rate</w:t>
      </w:r>
      <w:proofErr w:type="gramEnd"/>
      <w:r w:rsidRPr="008D63E6">
        <w:rPr>
          <w:lang w:val="en-US"/>
        </w:rPr>
        <w:t xml:space="preserve"> system was abolished (WWZ AG, 2026). For the subsequent calculations, therefore, no distinction is made between high and low rates. The consumption data from 2025 serves as a</w:t>
      </w:r>
      <w:r w:rsidR="00FE5413">
        <w:rPr>
          <w:lang w:val="en-US"/>
        </w:rPr>
        <w:t xml:space="preserve">n assumption </w:t>
      </w:r>
      <w:r w:rsidRPr="008D63E6">
        <w:rPr>
          <w:lang w:val="en-US"/>
        </w:rPr>
        <w:t>for future electricity consumption, while the following cost calculations are based on the electricity prices applicable for 2026.</w:t>
      </w:r>
    </w:p>
    <w:p w14:paraId="12C44AD7" w14:textId="2E2F9F3E" w:rsidR="00340B5B" w:rsidRDefault="00340B5B" w:rsidP="00340B5B">
      <w:pPr>
        <w:rPr>
          <w:lang w:val="en-US"/>
        </w:rPr>
      </w:pPr>
      <w:r w:rsidRPr="00340B5B">
        <w:rPr>
          <w:lang w:val="en-US"/>
        </w:rPr>
        <w:t>Heating Usage of</w:t>
      </w:r>
      <w:r w:rsidR="0031004A">
        <w:rPr>
          <w:lang w:val="en-US"/>
        </w:rPr>
        <w:t xml:space="preserve"> t</w:t>
      </w:r>
      <w:r w:rsidRPr="00340B5B">
        <w:rPr>
          <w:lang w:val="en-US"/>
        </w:rPr>
        <w:t>he Town</w:t>
      </w:r>
      <w:r w:rsidR="00FE5413">
        <w:rPr>
          <w:lang w:val="en-US"/>
        </w:rPr>
        <w:t xml:space="preserve"> </w:t>
      </w:r>
      <w:r w:rsidRPr="00340B5B">
        <w:rPr>
          <w:lang w:val="en-US"/>
        </w:rPr>
        <w:t>hall</w:t>
      </w:r>
    </w:p>
    <w:p w14:paraId="230270D3" w14:textId="41B06B05" w:rsidR="00340B5B" w:rsidRPr="00340B5B" w:rsidRDefault="0031004A" w:rsidP="00340B5B">
      <w:pPr>
        <w:rPr>
          <w:lang w:val="en-US"/>
        </w:rPr>
      </w:pPr>
      <w:r w:rsidRPr="009C4050">
        <w:rPr>
          <w:noProof/>
        </w:rPr>
        <w:drawing>
          <wp:inline distT="0" distB="0" distL="0" distR="0" wp14:anchorId="14073341" wp14:editId="7345F3AA">
            <wp:extent cx="2930293" cy="703691"/>
            <wp:effectExtent l="0" t="0" r="3810" b="1270"/>
            <wp:docPr id="18211273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27360" name=""/>
                    <pic:cNvPicPr/>
                  </pic:nvPicPr>
                  <pic:blipFill>
                    <a:blip r:embed="rId5"/>
                    <a:stretch>
                      <a:fillRect/>
                    </a:stretch>
                  </pic:blipFill>
                  <pic:spPr>
                    <a:xfrm>
                      <a:off x="0" y="0"/>
                      <a:ext cx="2946611" cy="707610"/>
                    </a:xfrm>
                    <a:prstGeom prst="rect">
                      <a:avLst/>
                    </a:prstGeom>
                  </pic:spPr>
                </pic:pic>
              </a:graphicData>
            </a:graphic>
          </wp:inline>
        </w:drawing>
      </w:r>
    </w:p>
    <w:p w14:paraId="5CE537F0" w14:textId="77777777" w:rsidR="0031004A" w:rsidRDefault="0031004A" w:rsidP="00340B5B">
      <w:pPr>
        <w:rPr>
          <w:lang w:val="en-US"/>
        </w:rPr>
      </w:pPr>
      <w:r w:rsidRPr="0031004A">
        <w:rPr>
          <w:lang w:val="en-US"/>
        </w:rPr>
        <w:t>The table shows the town hall's heat consumption in 2025. Heat is supplied via a wood chip district heating system. In that year, total heat consumption amounted to 189,000 kWh.</w:t>
      </w:r>
    </w:p>
    <w:p w14:paraId="2018C600" w14:textId="4D956130" w:rsidR="00340B5B" w:rsidRPr="00C07E27" w:rsidRDefault="00340B5B" w:rsidP="00340B5B">
      <w:pPr>
        <w:rPr>
          <w:b/>
          <w:bCs/>
          <w:lang w:val="en-US"/>
        </w:rPr>
      </w:pPr>
      <w:r w:rsidRPr="00C07E27">
        <w:rPr>
          <w:b/>
          <w:bCs/>
          <w:lang w:val="en-US"/>
        </w:rPr>
        <w:t>Calculation of CO2 Emissions</w:t>
      </w:r>
      <w:r>
        <w:rPr>
          <w:b/>
          <w:bCs/>
          <w:lang w:val="en-US"/>
        </w:rPr>
        <w:t>,</w:t>
      </w:r>
      <w:r w:rsidRPr="00C07E27">
        <w:rPr>
          <w:b/>
          <w:bCs/>
          <w:lang w:val="en-US"/>
        </w:rPr>
        <w:t xml:space="preserve"> Electricity and Heating Costs of the Town</w:t>
      </w:r>
      <w:r w:rsidR="00FE5413">
        <w:rPr>
          <w:b/>
          <w:bCs/>
          <w:lang w:val="en-US"/>
        </w:rPr>
        <w:t xml:space="preserve"> </w:t>
      </w:r>
      <w:r w:rsidRPr="00C07E27">
        <w:rPr>
          <w:b/>
          <w:bCs/>
          <w:lang w:val="en-US"/>
        </w:rPr>
        <w:t>hall for 2025</w:t>
      </w:r>
    </w:p>
    <w:p w14:paraId="37EB773D" w14:textId="5E9DEFD3" w:rsidR="00340B5B" w:rsidRDefault="0031004A" w:rsidP="00340B5B">
      <w:pPr>
        <w:rPr>
          <w:lang w:val="en-US"/>
        </w:rPr>
      </w:pPr>
      <w:r w:rsidRPr="0031004A">
        <w:rPr>
          <w:lang w:val="en-US"/>
        </w:rPr>
        <w:t>Since there is no separate consumption data for heat usage in the administrative area and the apartments, the following calculations treat both electricity and heat consumption exclusively as the building’s total consumption. This is to ensure a consistent basis for calculating CO</w:t>
      </w:r>
      <w:r w:rsidR="00FE5413">
        <w:rPr>
          <w:vertAlign w:val="subscript"/>
          <w:lang w:val="en-US"/>
        </w:rPr>
        <w:t>2</w:t>
      </w:r>
      <w:r w:rsidRPr="0031004A">
        <w:rPr>
          <w:lang w:val="en-US"/>
        </w:rPr>
        <w:t xml:space="preserve"> emissions and energy costs.</w:t>
      </w:r>
    </w:p>
    <w:p w14:paraId="3D120B54" w14:textId="77777777" w:rsidR="00340B5B" w:rsidRDefault="00340B5B" w:rsidP="00340B5B">
      <w:pPr>
        <w:rPr>
          <w:lang w:val="en-US"/>
        </w:rPr>
      </w:pPr>
    </w:p>
    <w:p w14:paraId="336D114D" w14:textId="77777777" w:rsidR="00340B5B" w:rsidRDefault="00340B5B" w:rsidP="00340B5B">
      <w:pPr>
        <w:rPr>
          <w:lang w:val="en-US"/>
        </w:rPr>
      </w:pPr>
    </w:p>
    <w:p w14:paraId="7E57F9D6" w14:textId="77777777" w:rsidR="0031004A" w:rsidRDefault="0031004A" w:rsidP="00340B5B">
      <w:pPr>
        <w:rPr>
          <w:lang w:val="en-US"/>
        </w:rPr>
      </w:pPr>
    </w:p>
    <w:p w14:paraId="18AA3BE7" w14:textId="77777777" w:rsidR="0031004A" w:rsidRDefault="0031004A" w:rsidP="00340B5B">
      <w:pPr>
        <w:rPr>
          <w:lang w:val="en-US"/>
        </w:rPr>
      </w:pPr>
    </w:p>
    <w:p w14:paraId="15B42463" w14:textId="77777777" w:rsidR="0031004A" w:rsidRDefault="0031004A" w:rsidP="00340B5B">
      <w:pPr>
        <w:rPr>
          <w:lang w:val="en-US"/>
        </w:rPr>
      </w:pPr>
    </w:p>
    <w:p w14:paraId="046F48EB" w14:textId="2BBFED6E" w:rsidR="00340B5B" w:rsidRDefault="00340B5B" w:rsidP="0031004A">
      <w:pPr>
        <w:rPr>
          <w:lang w:val="en-US"/>
        </w:rPr>
      </w:pPr>
      <w:r w:rsidRPr="00C07E27">
        <w:rPr>
          <w:lang w:val="en-US"/>
        </w:rPr>
        <w:t>CO</w:t>
      </w:r>
      <w:r w:rsidR="00FE5413">
        <w:rPr>
          <w:vertAlign w:val="subscript"/>
          <w:lang w:val="en-US"/>
        </w:rPr>
        <w:t>2</w:t>
      </w:r>
      <w:r w:rsidRPr="00C07E27">
        <w:rPr>
          <w:lang w:val="en-US"/>
        </w:rPr>
        <w:t>-Emissions of the Town</w:t>
      </w:r>
      <w:r w:rsidR="00FE5413">
        <w:rPr>
          <w:lang w:val="en-US"/>
        </w:rPr>
        <w:t xml:space="preserve"> </w:t>
      </w:r>
      <w:r w:rsidRPr="00C07E27">
        <w:rPr>
          <w:lang w:val="en-US"/>
        </w:rPr>
        <w:t>hall 2025</w:t>
      </w:r>
    </w:p>
    <w:p w14:paraId="54BFB54B" w14:textId="599AE413" w:rsidR="00340B5B" w:rsidRDefault="00340B5B" w:rsidP="00340B5B">
      <w:pPr>
        <w:rPr>
          <w:lang w:val="en-US"/>
        </w:rPr>
      </w:pPr>
      <w:r w:rsidRPr="00932966">
        <w:rPr>
          <w:noProof/>
          <w:lang w:val="en-US"/>
        </w:rPr>
        <w:drawing>
          <wp:inline distT="0" distB="0" distL="0" distR="0" wp14:anchorId="262C80F9" wp14:editId="1F6D4ECA">
            <wp:extent cx="5760720" cy="802640"/>
            <wp:effectExtent l="0" t="0" r="0" b="0"/>
            <wp:docPr id="19612933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93384" name=""/>
                    <pic:cNvPicPr/>
                  </pic:nvPicPr>
                  <pic:blipFill>
                    <a:blip r:embed="rId6"/>
                    <a:stretch>
                      <a:fillRect/>
                    </a:stretch>
                  </pic:blipFill>
                  <pic:spPr>
                    <a:xfrm>
                      <a:off x="0" y="0"/>
                      <a:ext cx="5760720" cy="802640"/>
                    </a:xfrm>
                    <a:prstGeom prst="rect">
                      <a:avLst/>
                    </a:prstGeom>
                  </pic:spPr>
                </pic:pic>
              </a:graphicData>
            </a:graphic>
          </wp:inline>
        </w:drawing>
      </w:r>
    </w:p>
    <w:p w14:paraId="1BCBF2A2" w14:textId="11920B2F" w:rsidR="00340B5B" w:rsidRPr="0031004A" w:rsidRDefault="0031004A" w:rsidP="00340B5B">
      <w:pPr>
        <w:rPr>
          <w:lang w:val="en-US"/>
        </w:rPr>
      </w:pPr>
      <w:r w:rsidRPr="0031004A">
        <w:rPr>
          <w:lang w:val="en-US"/>
        </w:rPr>
        <w:t>The table shows the calculated CO</w:t>
      </w:r>
      <w:r w:rsidR="00FE5413">
        <w:rPr>
          <w:vertAlign w:val="subscript"/>
          <w:lang w:val="en-US"/>
        </w:rPr>
        <w:t>2</w:t>
      </w:r>
      <w:r w:rsidRPr="0031004A">
        <w:rPr>
          <w:lang w:val="en-US"/>
        </w:rPr>
        <w:t xml:space="preserve"> emissions for the town hall in 2026. The calculation is based on annual electricity and heat consumption, as well as the corresponding emission factors. The emission factor for electricity consumption is based on data from WWZ (WWZ AG, 2025), while the emission factor for heat consumption was taken from KBOB (KBOB, 2024). In addition, the existing diesel generator was also </w:t>
      </w:r>
      <w:proofErr w:type="gramStart"/>
      <w:r w:rsidRPr="0031004A">
        <w:rPr>
          <w:lang w:val="en-US"/>
        </w:rPr>
        <w:t>taken into account</w:t>
      </w:r>
      <w:proofErr w:type="gramEnd"/>
      <w:r w:rsidRPr="0031004A">
        <w:rPr>
          <w:lang w:val="en-US"/>
        </w:rPr>
        <w:t xml:space="preserve"> as an emergency power solution. Since it was not used in 2025, this did not result in any additional CO₂ emissions. Overall, this results in annual CO₂ emissions of 7,934.7 kg CO₂-eq, with the wood chip district heating system accounting for the largest share.</w:t>
      </w:r>
    </w:p>
    <w:p w14:paraId="7A27E9DE" w14:textId="77777777" w:rsidR="00340B5B" w:rsidRDefault="00340B5B" w:rsidP="00340B5B">
      <w:pPr>
        <w:rPr>
          <w:lang w:val="en-US"/>
        </w:rPr>
      </w:pPr>
      <w:r>
        <w:rPr>
          <w:lang w:val="en-US"/>
        </w:rPr>
        <w:t>Electricity and Heating Cost 2025</w:t>
      </w:r>
    </w:p>
    <w:p w14:paraId="76A46537" w14:textId="2D65C803" w:rsidR="00340B5B" w:rsidRDefault="0031004A" w:rsidP="00340B5B">
      <w:pPr>
        <w:rPr>
          <w:noProof/>
          <w:lang w:val="en-US"/>
        </w:rPr>
      </w:pPr>
      <w:r w:rsidRPr="0031004A">
        <w:rPr>
          <w:noProof/>
          <w:lang w:val="en-US"/>
        </w:rPr>
        <w:drawing>
          <wp:inline distT="0" distB="0" distL="0" distR="0" wp14:anchorId="34B6F441" wp14:editId="69C5414B">
            <wp:extent cx="3305199" cy="1009657"/>
            <wp:effectExtent l="0" t="0" r="9525" b="0"/>
            <wp:docPr id="14535223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22352" name=""/>
                    <pic:cNvPicPr/>
                  </pic:nvPicPr>
                  <pic:blipFill>
                    <a:blip r:embed="rId7"/>
                    <a:stretch>
                      <a:fillRect/>
                    </a:stretch>
                  </pic:blipFill>
                  <pic:spPr>
                    <a:xfrm>
                      <a:off x="0" y="0"/>
                      <a:ext cx="3305199" cy="1009657"/>
                    </a:xfrm>
                    <a:prstGeom prst="rect">
                      <a:avLst/>
                    </a:prstGeom>
                  </pic:spPr>
                </pic:pic>
              </a:graphicData>
            </a:graphic>
          </wp:inline>
        </w:drawing>
      </w:r>
    </w:p>
    <w:p w14:paraId="7373DE86" w14:textId="0BE3E291" w:rsidR="0031004A" w:rsidRDefault="0031004A" w:rsidP="007B4BFE">
      <w:pPr>
        <w:rPr>
          <w:lang w:val="en-US"/>
        </w:rPr>
      </w:pPr>
      <w:r w:rsidRPr="0031004A">
        <w:rPr>
          <w:lang w:val="en-US"/>
        </w:rPr>
        <w:t xml:space="preserve">The table shows the estimated electricity costs for City Hall in 2026. The calculation is based on annual electricity consumption and the current WWZ electricity rate, including VAT. In addition, the monthly base fee was included in the calculation. This results in total annual electricity costs of </w:t>
      </w:r>
      <w:r w:rsidR="00FE5413" w:rsidRPr="0031004A">
        <w:rPr>
          <w:lang w:val="en-US"/>
        </w:rPr>
        <w:t>CHF</w:t>
      </w:r>
      <w:r w:rsidR="00FE5413" w:rsidRPr="0031004A">
        <w:rPr>
          <w:lang w:val="en-US"/>
        </w:rPr>
        <w:t xml:space="preserve"> </w:t>
      </w:r>
      <w:r w:rsidRPr="0031004A">
        <w:rPr>
          <w:lang w:val="en-US"/>
        </w:rPr>
        <w:t>8,686.28. The electricity rates used are based on the rate information provided by WWZ (WWZ, 2026).</w:t>
      </w:r>
    </w:p>
    <w:p w14:paraId="3285DC5D" w14:textId="36FE7F37" w:rsidR="0031004A" w:rsidRDefault="0031004A" w:rsidP="007B4BFE">
      <w:pPr>
        <w:rPr>
          <w:lang w:val="en-US"/>
        </w:rPr>
      </w:pPr>
      <w:r>
        <w:rPr>
          <w:lang w:val="en-US"/>
        </w:rPr>
        <w:t>Heating Cost</w:t>
      </w:r>
    </w:p>
    <w:p w14:paraId="2B8F553F" w14:textId="7FE50339" w:rsidR="007B4BFE" w:rsidRDefault="0031004A" w:rsidP="007B4BFE">
      <w:pPr>
        <w:rPr>
          <w:lang w:val="en-US"/>
        </w:rPr>
      </w:pPr>
      <w:r w:rsidRPr="0031004A">
        <w:rPr>
          <w:noProof/>
        </w:rPr>
        <w:drawing>
          <wp:inline distT="0" distB="0" distL="0" distR="0" wp14:anchorId="1C0703EA" wp14:editId="542DE633">
            <wp:extent cx="4276756" cy="771531"/>
            <wp:effectExtent l="0" t="0" r="0" b="9525"/>
            <wp:docPr id="2404925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92571" name=""/>
                    <pic:cNvPicPr/>
                  </pic:nvPicPr>
                  <pic:blipFill>
                    <a:blip r:embed="rId8"/>
                    <a:stretch>
                      <a:fillRect/>
                    </a:stretch>
                  </pic:blipFill>
                  <pic:spPr>
                    <a:xfrm>
                      <a:off x="0" y="0"/>
                      <a:ext cx="4276756" cy="771531"/>
                    </a:xfrm>
                    <a:prstGeom prst="rect">
                      <a:avLst/>
                    </a:prstGeom>
                  </pic:spPr>
                </pic:pic>
              </a:graphicData>
            </a:graphic>
          </wp:inline>
        </w:drawing>
      </w:r>
    </w:p>
    <w:p w14:paraId="545B8088" w14:textId="181CA66C" w:rsidR="0031004A" w:rsidRDefault="0031004A" w:rsidP="00C72B57">
      <w:pPr>
        <w:rPr>
          <w:lang w:val="en-US"/>
        </w:rPr>
      </w:pPr>
      <w:r w:rsidRPr="0031004A">
        <w:rPr>
          <w:lang w:val="en-US"/>
        </w:rPr>
        <w:t>The table shows the calculated heating costs for the town hall based on different wood chip grades. The designations M 40–55, M 25–35, and M 15–20 refer to the moisture content of the wood chips used</w:t>
      </w:r>
      <w:r w:rsidR="00FE5413">
        <w:rPr>
          <w:lang w:val="en-US"/>
        </w:rPr>
        <w:t xml:space="preserve"> and should be read</w:t>
      </w:r>
      <w:r w:rsidRPr="0031004A">
        <w:rPr>
          <w:lang w:val="en-US"/>
        </w:rPr>
        <w:t xml:space="preserve"> as a percentage. The calculation is based on an annual heat consumption of 189,000 kWh and the respective energy prices per kWh. Depending on the moisture content of the wood chips, annual heating costs range from CHF 12,663 to CHF 16,065. Since price data for wood chips was only available for the years 2018/2019</w:t>
      </w:r>
      <w:r>
        <w:rPr>
          <w:lang w:val="en-US"/>
        </w:rPr>
        <w:t xml:space="preserve"> (</w:t>
      </w:r>
      <w:proofErr w:type="spellStart"/>
      <w:r>
        <w:rPr>
          <w:lang w:val="en-US"/>
        </w:rPr>
        <w:t>Holzenergie</w:t>
      </w:r>
      <w:proofErr w:type="spellEnd"/>
      <w:r>
        <w:rPr>
          <w:lang w:val="en-US"/>
        </w:rPr>
        <w:t xml:space="preserve"> Emmental, 2017)</w:t>
      </w:r>
      <w:r w:rsidRPr="0031004A">
        <w:rPr>
          <w:lang w:val="en-US"/>
        </w:rPr>
        <w:t>, the energy prices used were extrapolated to the average price level of the year 2026 using a wood chip price index (</w:t>
      </w:r>
      <w:proofErr w:type="spellStart"/>
      <w:r w:rsidRPr="0031004A">
        <w:rPr>
          <w:lang w:val="en-US"/>
        </w:rPr>
        <w:t>Holzenergie</w:t>
      </w:r>
      <w:proofErr w:type="spellEnd"/>
      <w:r w:rsidRPr="0031004A">
        <w:rPr>
          <w:lang w:val="en-US"/>
        </w:rPr>
        <w:t xml:space="preserve"> Schweiz, 2026). In addition, value-added tax was included in the calculation.  </w:t>
      </w:r>
    </w:p>
    <w:p w14:paraId="72E744C8" w14:textId="7D046F52" w:rsidR="007B4BFE" w:rsidRPr="00C72B57" w:rsidRDefault="00C72B57" w:rsidP="00C72B57">
      <w:pPr>
        <w:rPr>
          <w:lang w:val="en-US"/>
        </w:rPr>
      </w:pPr>
      <w:r w:rsidRPr="00C72B57">
        <w:rPr>
          <w:lang w:val="en-US"/>
        </w:rPr>
        <w:t xml:space="preserve">The calculated heating costs include only the energy costs of wood chips. Operating and maintenance costs of the heating network were not </w:t>
      </w:r>
      <w:proofErr w:type="gramStart"/>
      <w:r w:rsidRPr="00C72B57">
        <w:rPr>
          <w:lang w:val="en-US"/>
        </w:rPr>
        <w:t>taken into account</w:t>
      </w:r>
      <w:proofErr w:type="gramEnd"/>
      <w:r w:rsidRPr="00C72B57">
        <w:rPr>
          <w:lang w:val="en-US"/>
        </w:rPr>
        <w:t xml:space="preserve">, as no information is </w:t>
      </w:r>
      <w:r w:rsidRPr="00C72B57">
        <w:rPr>
          <w:lang w:val="en-US"/>
        </w:rPr>
        <w:lastRenderedPageBreak/>
        <w:t xml:space="preserve">available on operating costs or on the allocation </w:t>
      </w:r>
      <w:r w:rsidR="00FE5413">
        <w:rPr>
          <w:lang w:val="en-US"/>
        </w:rPr>
        <w:t>between administrative and residential parts of the town hall.</w:t>
      </w:r>
    </w:p>
    <w:p w14:paraId="1C7CCEDE" w14:textId="0DC7AA2F" w:rsidR="00C72B57" w:rsidRPr="00C72B57" w:rsidRDefault="00C72B57" w:rsidP="00C72B57">
      <w:pPr>
        <w:rPr>
          <w:lang w:val="en-US"/>
        </w:rPr>
      </w:pPr>
      <w:r w:rsidRPr="00C72B57">
        <w:rPr>
          <w:lang w:val="en-US"/>
        </w:rPr>
        <w:t>To calculate the total energy consumption costs for 2025, it is assumed that the district heating network uses wood chips with a moisture content of 25–35%. According to Heitzmann (</w:t>
      </w:r>
      <w:r w:rsidR="008C3F86">
        <w:rPr>
          <w:lang w:val="en-US"/>
        </w:rPr>
        <w:t>2026</w:t>
      </w:r>
      <w:r w:rsidRPr="00C72B57">
        <w:rPr>
          <w:lang w:val="en-US"/>
        </w:rPr>
        <w:t xml:space="preserve">), wood chips with a moisture content of 20–30% are typically used in heating systems up to approximately 300 kW. Wood chips with a moisture content of M 40–50 are mainly used in larger industrial combustion systems. Since the municipality’s district heating system is not a large-scale industrial plant, the assumption of wood chips with a moisture content of M 25–35 appears plausible. Based on this assumption, the </w:t>
      </w:r>
      <w:r w:rsidR="00950A9D">
        <w:rPr>
          <w:lang w:val="en-US"/>
        </w:rPr>
        <w:t xml:space="preserve">total </w:t>
      </w:r>
      <w:r w:rsidRPr="00C72B57">
        <w:rPr>
          <w:lang w:val="en-US"/>
        </w:rPr>
        <w:t xml:space="preserve">energy costs would then amount to CHF </w:t>
      </w:r>
      <w:r w:rsidR="00950A9D" w:rsidRPr="00950A9D">
        <w:rPr>
          <w:lang w:val="en-US"/>
        </w:rPr>
        <w:t>23</w:t>
      </w:r>
      <w:r w:rsidR="00FE5413">
        <w:rPr>
          <w:lang w:val="en-US"/>
        </w:rPr>
        <w:t>,</w:t>
      </w:r>
      <w:r w:rsidR="00950A9D" w:rsidRPr="00950A9D">
        <w:rPr>
          <w:lang w:val="en-US"/>
        </w:rPr>
        <w:t>050</w:t>
      </w:r>
      <w:r w:rsidRPr="00C72B57">
        <w:rPr>
          <w:lang w:val="en-US"/>
        </w:rPr>
        <w:t>.</w:t>
      </w:r>
    </w:p>
    <w:p w14:paraId="068A290A" w14:textId="11C3B82A" w:rsidR="007B4BFE" w:rsidRPr="00C72B57" w:rsidRDefault="007B4BFE" w:rsidP="00C72B57">
      <w:pPr>
        <w:rPr>
          <w:lang w:val="en-US"/>
        </w:rPr>
      </w:pPr>
    </w:p>
    <w:sectPr w:rsidR="007B4BFE" w:rsidRPr="00C72B5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B5B"/>
    <w:rsid w:val="00276A41"/>
    <w:rsid w:val="0031004A"/>
    <w:rsid w:val="00340B5B"/>
    <w:rsid w:val="007B4BFE"/>
    <w:rsid w:val="008C3F86"/>
    <w:rsid w:val="00950A9D"/>
    <w:rsid w:val="00C72B57"/>
    <w:rsid w:val="00DA7554"/>
    <w:rsid w:val="00EC3780"/>
    <w:rsid w:val="00FD4947"/>
    <w:rsid w:val="00FE5413"/>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C5AA9"/>
  <w15:chartTrackingRefBased/>
  <w15:docId w15:val="{F53F6018-F95D-4382-8480-47F15E6FD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B5B"/>
  </w:style>
  <w:style w:type="paragraph" w:styleId="Heading1">
    <w:name w:val="heading 1"/>
    <w:basedOn w:val="Normal"/>
    <w:next w:val="Normal"/>
    <w:link w:val="Heading1Char"/>
    <w:uiPriority w:val="9"/>
    <w:qFormat/>
    <w:rsid w:val="00340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B5B"/>
    <w:rPr>
      <w:rFonts w:eastAsiaTheme="majorEastAsia" w:cstheme="majorBidi"/>
      <w:color w:val="272727" w:themeColor="text1" w:themeTint="D8"/>
    </w:rPr>
  </w:style>
  <w:style w:type="paragraph" w:styleId="Title">
    <w:name w:val="Title"/>
    <w:basedOn w:val="Normal"/>
    <w:next w:val="Normal"/>
    <w:link w:val="TitleChar"/>
    <w:uiPriority w:val="10"/>
    <w:qFormat/>
    <w:rsid w:val="00340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B5B"/>
    <w:pPr>
      <w:spacing w:before="160"/>
      <w:jc w:val="center"/>
    </w:pPr>
    <w:rPr>
      <w:i/>
      <w:iCs/>
      <w:color w:val="404040" w:themeColor="text1" w:themeTint="BF"/>
    </w:rPr>
  </w:style>
  <w:style w:type="character" w:customStyle="1" w:styleId="QuoteChar">
    <w:name w:val="Quote Char"/>
    <w:basedOn w:val="DefaultParagraphFont"/>
    <w:link w:val="Quote"/>
    <w:uiPriority w:val="29"/>
    <w:rsid w:val="00340B5B"/>
    <w:rPr>
      <w:i/>
      <w:iCs/>
      <w:color w:val="404040" w:themeColor="text1" w:themeTint="BF"/>
    </w:rPr>
  </w:style>
  <w:style w:type="paragraph" w:styleId="ListParagraph">
    <w:name w:val="List Paragraph"/>
    <w:basedOn w:val="Normal"/>
    <w:uiPriority w:val="34"/>
    <w:qFormat/>
    <w:rsid w:val="00340B5B"/>
    <w:pPr>
      <w:ind w:left="720"/>
      <w:contextualSpacing/>
    </w:pPr>
  </w:style>
  <w:style w:type="character" w:styleId="IntenseEmphasis">
    <w:name w:val="Intense Emphasis"/>
    <w:basedOn w:val="DefaultParagraphFont"/>
    <w:uiPriority w:val="21"/>
    <w:qFormat/>
    <w:rsid w:val="00340B5B"/>
    <w:rPr>
      <w:i/>
      <w:iCs/>
      <w:color w:val="0F4761" w:themeColor="accent1" w:themeShade="BF"/>
    </w:rPr>
  </w:style>
  <w:style w:type="paragraph" w:styleId="IntenseQuote">
    <w:name w:val="Intense Quote"/>
    <w:basedOn w:val="Normal"/>
    <w:next w:val="Normal"/>
    <w:link w:val="IntenseQuoteChar"/>
    <w:uiPriority w:val="30"/>
    <w:qFormat/>
    <w:rsid w:val="00340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B5B"/>
    <w:rPr>
      <w:i/>
      <w:iCs/>
      <w:color w:val="0F4761" w:themeColor="accent1" w:themeShade="BF"/>
    </w:rPr>
  </w:style>
  <w:style w:type="character" w:styleId="IntenseReference">
    <w:name w:val="Intense Reference"/>
    <w:basedOn w:val="DefaultParagraphFont"/>
    <w:uiPriority w:val="32"/>
    <w:qFormat/>
    <w:rsid w:val="00340B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785</Words>
  <Characters>4481</Characters>
  <Application>Microsoft Office Word</Application>
  <DocSecurity>0</DocSecurity>
  <Lines>37</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Nägeli</dc:creator>
  <cp:keywords/>
  <dc:description/>
  <cp:lastModifiedBy>Sidler-Dever, Ellette</cp:lastModifiedBy>
  <cp:revision>2</cp:revision>
  <dcterms:created xsi:type="dcterms:W3CDTF">2026-06-05T14:37:00Z</dcterms:created>
  <dcterms:modified xsi:type="dcterms:W3CDTF">2026-06-05T14:37:00Z</dcterms:modified>
</cp:coreProperties>
</file>