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PULMONARY CONSULTATION RECORD</w:t>
      </w:r>
    </w:p>
    <w:p>
      <w:r>
        <w:t>Patient Identifier: PAT-1003</w:t>
      </w:r>
    </w:p>
    <w:p>
      <w:r>
        <w:t>Patient presented with persistent dry cough following a viral respiratory infection.</w:t>
      </w:r>
    </w:p>
    <w:p>
      <w:r>
        <w:t>Secondary bacterial infection was considered but sputum culture showed no pathogenic growth.</w:t>
      </w:r>
    </w:p>
    <w:p>
      <w:r>
        <w:t>Symptomatic treatment provided with hydration and rest.</w:t>
      </w:r>
    </w:p>
    <w:p>
      <w:r>
        <w:t>Follow-up consultation recommended if symptoms persist over seven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