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ESPECIFICAÇÃO TÉCNICA DE CONTRATO DE API REST</w:t>
      </w:r>
    </w:p>
    <w:p>
      <w:pPr>
        <w:spacing w:after="360"/>
        <w:jc w:val="center"/>
      </w:pPr>
      <w:r>
        <w:rPr>
          <w:color w:val="595959"/>
          <w:sz w:val="24"/>
        </w:rPr>
        <w:t>Mapeamento de Rotas, Métodos HTTP, Headers, Payloads e Rastreabilidade com ADRs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68"/>
            <w:shd w:val="clear" w:color="auto"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b/>
              </w:rPr>
              <w:t>Sistema:</w:t>
            </w:r>
          </w:p>
        </w:tc>
        <w:tc>
          <w:tcPr>
            <w:tcW w:type="dxa" w:w="590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t>Sistema de Gerenciamento de Biblioteca Digital (SGBD)</w:t>
            </w:r>
          </w:p>
        </w:tc>
      </w:tr>
      <w:tr>
        <w:tc>
          <w:tcPr>
            <w:tcW w:type="dxa" w:w="3168"/>
            <w:shd w:val="clear" w:color="auto"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b/>
              </w:rPr>
              <w:t>Arquitetura:</w:t>
            </w:r>
          </w:p>
        </w:tc>
        <w:tc>
          <w:tcPr>
            <w:tcW w:type="dxa" w:w="590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t>RESTful API / Node.js + Express + Prisma ORM (ADR-012, ADR-013)</w:t>
            </w:r>
          </w:p>
        </w:tc>
      </w:tr>
      <w:tr>
        <w:tc>
          <w:tcPr>
            <w:tcW w:type="dxa" w:w="3168"/>
            <w:shd w:val="clear" w:color="auto"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b/>
              </w:rPr>
              <w:t>Autenticação:</w:t>
            </w:r>
          </w:p>
        </w:tc>
        <w:tc>
          <w:tcPr>
            <w:tcW w:type="dxa" w:w="590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t>JSON Web Token (JWT) Bearer Token (ADR-007)</w:t>
            </w:r>
          </w:p>
        </w:tc>
      </w:tr>
      <w:tr>
        <w:tc>
          <w:tcPr>
            <w:tcW w:type="dxa" w:w="3168"/>
            <w:shd w:val="clear" w:color="auto"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b/>
              </w:rPr>
              <w:t>Versão do Contrato:</w:t>
            </w:r>
          </w:p>
        </w:tc>
        <w:tc>
          <w:tcPr>
            <w:tcW w:type="dxa" w:w="590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t>v1.0.0 (Compatível com ADR-001 a ADR-017)</w:t>
            </w:r>
          </w:p>
        </w:tc>
      </w:tr>
    </w:tbl>
    <w:p>
      <w:pPr>
        <w:spacing w:after="240"/>
      </w:pPr>
    </w:p>
    <w:p>
      <w:pPr>
        <w:spacing w:before="240" w:after="120"/>
      </w:pPr>
      <w:r>
        <w:rPr>
          <w:b/>
          <w:color w:val="1F4E79"/>
          <w:sz w:val="28"/>
        </w:rPr>
        <w:t>1. VISÃO GERAL E PADRONIZAÇÃO DA API</w:t>
      </w:r>
    </w:p>
    <w:p>
      <w:pPr>
        <w:ind w:firstLine="706"/>
      </w:pPr>
      <w:r>
        <w:t xml:space="preserve">A API REST do SGBD segue as convenções do protocolo HTTP/1.1 e arquivamento RESTful. Todas as requisições e respostas utilizam a codificação UTF-8 e payload no formato JSON. O contrato foi desenhado para assegurar cumprimento estrito das regras de negócio mapeadas nas </w:t>
      </w:r>
      <w:r>
        <w:rPr>
          <w:b/>
        </w:rPr>
        <w:t>17 Registros de Decisão de Arquitetura (ADRs)</w:t>
      </w:r>
      <w:r>
        <w:t xml:space="preserve"> do projeto.</w:t>
      </w:r>
    </w:p>
    <w:p>
      <w:pPr>
        <w:ind w:firstLine="706"/>
      </w:pPr>
      <w:r>
        <w:t>Os códigos de status HTTP padrão retornados pela API são descritos na Tabela 1 abaixo: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Código HTTP</w:t>
            </w:r>
          </w:p>
        </w:tc>
        <w:tc>
          <w:tcPr>
            <w:tcW w:type="dxa" w:w="3024"/>
            <w:shd w:val="clear" w:color="auto"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024"/>
            <w:shd w:val="clear" w:color="auto"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Descrição e Aplicação no SGBD</w:t>
            </w:r>
          </w:p>
        </w:tc>
      </w:tr>
      <w:tr>
        <w:tc>
          <w:tcPr>
            <w:tcW w:type="dxa" w:w="2160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t>200 OK</w:t>
            </w:r>
          </w:p>
        </w:tc>
        <w:tc>
          <w:tcPr>
            <w:tcW w:type="dxa" w:w="2160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t>Sucesso</w:t>
            </w:r>
          </w:p>
        </w:tc>
        <w:tc>
          <w:tcPr>
            <w:tcW w:type="dxa" w:w="4752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t>Requisição processada com sucesso (consultas, atualizações, devoluções).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t>201 Created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t>Criado</w:t>
            </w:r>
          </w:p>
        </w:tc>
        <w:tc>
          <w:tcPr>
            <w:tcW w:type="dxa" w:w="475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t>Recurso criado com sucesso (cadastro de livros, empréstimos, reservas).</w:t>
            </w:r>
          </w:p>
        </w:tc>
      </w:tr>
      <w:tr>
        <w:tc>
          <w:tcPr>
            <w:tcW w:type="dxa" w:w="2160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t>400 Bad Request</w:t>
            </w:r>
          </w:p>
        </w:tc>
        <w:tc>
          <w:tcPr>
            <w:tcW w:type="dxa" w:w="2160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t>Erro do Cliente</w:t>
            </w:r>
          </w:p>
        </w:tc>
        <w:tc>
          <w:tcPr>
            <w:tcW w:type="dxa" w:w="4752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t>Dados de entrada inválidos ou violação de regra de negócio (ex: leitor com multa &gt; R$ 20).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t>401 Unauthorized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t>Não Autorizado</w:t>
            </w:r>
          </w:p>
        </w:tc>
        <w:tc>
          <w:tcPr>
            <w:tcW w:type="dxa" w:w="475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t>Token JWT ausente, expirado ou inválido (ADR-007).</w:t>
            </w:r>
          </w:p>
        </w:tc>
      </w:tr>
      <w:tr>
        <w:tc>
          <w:tcPr>
            <w:tcW w:type="dxa" w:w="2160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t>403 Forbidden</w:t>
            </w:r>
          </w:p>
        </w:tc>
        <w:tc>
          <w:tcPr>
            <w:tcW w:type="dxa" w:w="2160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t>Acesso Negado</w:t>
            </w:r>
          </w:p>
        </w:tc>
        <w:tc>
          <w:tcPr>
            <w:tcW w:type="dxa" w:w="4752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t>Perfil do usuário não possui permissão para o recurso (ex: leitor tentando cadastrar livros).</w:t>
            </w:r>
          </w:p>
        </w:tc>
      </w:tr>
    </w:tbl>
    <w:p>
      <w:pPr>
        <w:spacing w:after="240"/>
      </w:pPr>
    </w:p>
    <w:p>
      <w:pPr>
        <w:spacing w:before="240" w:after="120"/>
      </w:pPr>
      <w:r>
        <w:rPr>
          <w:b/>
          <w:color w:val="1F4E79"/>
          <w:sz w:val="28"/>
        </w:rPr>
        <w:t>2. DETALHAMENTO DOS ENDPOINTS E CONTRATOS DE DADOS</w:t>
      </w:r>
    </w:p>
    <w:p>
      <w:r>
        <w:rPr>
          <w:b/>
          <w:color w:val="2F5496"/>
          <w:sz w:val="26"/>
        </w:rPr>
        <w:t>2.1 Módulo de Autenticação e Sessão (ADR-007)</w:t>
      </w:r>
    </w:p>
    <w:p>
      <w:pPr>
        <w:spacing w:before="120" w:after="40"/>
      </w:pPr>
      <w:r>
        <w:rPr>
          <w:b/>
          <w:color w:val="008000"/>
        </w:rPr>
        <w:t xml:space="preserve">[POST] </w:t>
      </w:r>
      <w:r>
        <w:rPr>
          <w:b/>
        </w:rPr>
        <w:t>/api/v1/auth/login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val="clear" w:color="auto"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b/>
              </w:rPr>
              <w:t>Descrição &amp; ADR:</w:t>
            </w:r>
          </w:p>
        </w:tc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t>Autentica usuário e gera JWT Bearer Token (ADR-007).</w:t>
            </w:r>
          </w:p>
        </w:tc>
      </w:tr>
      <w:tr>
        <w:tc>
          <w:tcPr>
            <w:tcW w:type="dxa" w:w="2592"/>
            <w:shd w:val="clear" w:color="auto"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b/>
              </w:rPr>
              <w:t>Autenticação:</w:t>
            </w:r>
          </w:p>
        </w:tc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t>Pública</w:t>
            </w:r>
          </w:p>
        </w:tc>
      </w:tr>
      <w:tr>
        <w:tc>
          <w:tcPr>
            <w:tcW w:type="dxa" w:w="2592"/>
            <w:shd w:val="clear" w:color="auto"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b/>
              </w:rPr>
              <w:t>Payload Requisição:</w:t>
            </w:r>
          </w:p>
        </w:tc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rFonts w:ascii="Consolas" w:hAnsi="Consolas"/>
                <w:sz w:val="19"/>
              </w:rPr>
              <w:t>{</w:t>
              <w:br/>
              <w:t xml:space="preserve">  "email": "leitor@biblioteca.edu.br",</w:t>
              <w:br/>
              <w:t xml:space="preserve">  "senha": "SenhaSegura123!"</w:t>
              <w:br/>
              <w:t>}</w:t>
            </w:r>
          </w:p>
        </w:tc>
      </w:tr>
      <w:tr>
        <w:tc>
          <w:tcPr>
            <w:tcW w:type="dxa" w:w="2592"/>
            <w:shd w:val="clear" w:color="auto"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b/>
              </w:rPr>
              <w:t>Resposta JSON (200/201):</w:t>
            </w:r>
          </w:p>
        </w:tc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rFonts w:ascii="Consolas" w:hAnsi="Consolas"/>
                <w:sz w:val="19"/>
              </w:rPr>
              <w:t>{</w:t>
              <w:br/>
              <w:t xml:space="preserve">  "token": "eyJhbGciOiJIUzI1NiR...",</w:t>
              <w:br/>
              <w:t xml:space="preserve">  "usuario": {</w:t>
              <w:br/>
              <w:t xml:space="preserve">    "id": "uuid-1234",</w:t>
              <w:br/>
              <w:t xml:space="preserve">    "nome": "Robert Douglas",</w:t>
              <w:br/>
              <w:t xml:space="preserve">    "papel": "LEITOR",</w:t>
              <w:br/>
              <w:t xml:space="preserve">    "status": "ATIVO"</w:t>
              <w:br/>
              <w:t xml:space="preserve">  }</w:t>
              <w:br/>
              <w:t>}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b/>
          <w:color w:val="008000"/>
        </w:rPr>
        <w:t xml:space="preserve">[POST] </w:t>
      </w:r>
      <w:r>
        <w:rPr>
          <w:b/>
        </w:rPr>
        <w:t>/api/v1/auth/logout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val="clear" w:color="auto"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b/>
              </w:rPr>
              <w:t>Descrição &amp; ADR:</w:t>
            </w:r>
          </w:p>
        </w:tc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t>Invalida a sessão do usuário no cliente.</w:t>
            </w:r>
          </w:p>
        </w:tc>
      </w:tr>
      <w:tr>
        <w:tc>
          <w:tcPr>
            <w:tcW w:type="dxa" w:w="2592"/>
            <w:shd w:val="clear" w:color="auto"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b/>
              </w:rPr>
              <w:t>Autenticação:</w:t>
            </w:r>
          </w:p>
        </w:tc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t>Bearer JWT</w:t>
            </w:r>
          </w:p>
        </w:tc>
      </w:tr>
      <w:tr>
        <w:tc>
          <w:tcPr>
            <w:tcW w:type="dxa" w:w="2592"/>
            <w:shd w:val="clear" w:color="auto"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b/>
              </w:rPr>
              <w:t>Payload Requisição:</w:t>
            </w:r>
          </w:p>
        </w:tc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t>Nenhum (Header Authorization)</w:t>
            </w:r>
          </w:p>
        </w:tc>
      </w:tr>
      <w:tr>
        <w:tc>
          <w:tcPr>
            <w:tcW w:type="dxa" w:w="2592"/>
            <w:shd w:val="clear" w:color="auto"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b/>
              </w:rPr>
              <w:t>Resposta JSON (200/201):</w:t>
            </w:r>
          </w:p>
        </w:tc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rFonts w:ascii="Consolas" w:hAnsi="Consolas"/>
                <w:sz w:val="19"/>
              </w:rPr>
              <w:t>{</w:t>
              <w:br/>
              <w:t xml:space="preserve">  "mensagem": "Logout realizado com sucesso."</w:t>
              <w:br/>
              <w:t>}</w:t>
            </w:r>
          </w:p>
        </w:tc>
      </w:tr>
    </w:tbl>
    <w:p>
      <w:pPr>
        <w:spacing w:after="120"/>
      </w:pPr>
    </w:p>
    <w:p>
      <w:r>
        <w:rPr>
          <w:b/>
          <w:color w:val="2F5496"/>
          <w:sz w:val="26"/>
        </w:rPr>
        <w:t>2.2 Módulo de Catálogo e Exemplares (ADR-002)</w:t>
      </w:r>
    </w:p>
    <w:p>
      <w:pPr>
        <w:spacing w:before="120" w:after="40"/>
      </w:pPr>
      <w:r>
        <w:rPr>
          <w:b/>
          <w:color w:val="008000"/>
        </w:rPr>
        <w:t xml:space="preserve">[POST] </w:t>
      </w:r>
      <w:r>
        <w:rPr>
          <w:b/>
        </w:rPr>
        <w:t>/api/v1/livros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val="clear" w:color="auto"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b/>
              </w:rPr>
              <w:t>Descrição &amp; ADR:</w:t>
            </w:r>
          </w:p>
        </w:tc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t>Cadastra obra no acervo (Apenas Bibliotecário/Admin).</w:t>
            </w:r>
          </w:p>
        </w:tc>
      </w:tr>
      <w:tr>
        <w:tc>
          <w:tcPr>
            <w:tcW w:type="dxa" w:w="2592"/>
            <w:shd w:val="clear" w:color="auto"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b/>
              </w:rPr>
              <w:t>Autenticação:</w:t>
            </w:r>
          </w:p>
        </w:tc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t>Bearer JWT (BIBLIOTECARIO)</w:t>
            </w:r>
          </w:p>
        </w:tc>
      </w:tr>
      <w:tr>
        <w:tc>
          <w:tcPr>
            <w:tcW w:type="dxa" w:w="2592"/>
            <w:shd w:val="clear" w:color="auto"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b/>
              </w:rPr>
              <w:t>Payload Requisição:</w:t>
            </w:r>
          </w:p>
        </w:tc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rFonts w:ascii="Consolas" w:hAnsi="Consolas"/>
                <w:sz w:val="19"/>
              </w:rPr>
              <w:t>{</w:t>
              <w:br/>
              <w:t xml:space="preserve">  "titulo": "Engenharia de Software",</w:t>
              <w:br/>
              <w:t xml:space="preserve">  "autor": "Ian Sommerville",</w:t>
              <w:br/>
              <w:t xml:space="preserve">  "isbn": "9788543024974",</w:t>
              <w:br/>
              <w:t xml:space="preserve">  "categoria": "Computação",</w:t>
              <w:br/>
              <w:t xml:space="preserve">  "editora": "Pearson",</w:t>
              <w:br/>
              <w:t xml:space="preserve">  "anoPublicacao": 2019</w:t>
              <w:br/>
              <w:t>}</w:t>
            </w:r>
          </w:p>
        </w:tc>
      </w:tr>
      <w:tr>
        <w:tc>
          <w:tcPr>
            <w:tcW w:type="dxa" w:w="2592"/>
            <w:shd w:val="clear" w:color="auto"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b/>
              </w:rPr>
              <w:t>Resposta JSON (201 Created):</w:t>
            </w:r>
          </w:p>
        </w:tc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rFonts w:ascii="Consolas" w:hAnsi="Consolas"/>
                <w:sz w:val="19"/>
              </w:rPr>
              <w:t>{</w:t>
              <w:br/>
              <w:t xml:space="preserve">  "id": "livro-uuid-550e8400",</w:t>
              <w:br/>
              <w:t xml:space="preserve">  "titulo": "Engenharia de Software",</w:t>
              <w:br/>
              <w:t xml:space="preserve">  "createdAt": "2026-09-18T10:00:00Z"</w:t>
              <w:br/>
              <w:t>}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b/>
          <w:color w:val="008000"/>
        </w:rPr>
        <w:t xml:space="preserve">[POST] </w:t>
      </w:r>
      <w:r>
        <w:rPr>
          <w:b/>
        </w:rPr>
        <w:t>/api/v1/livros/:livroId/exemplares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val="clear" w:color="auto"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b/>
              </w:rPr>
              <w:t>Descrição &amp; ADR:</w:t>
            </w:r>
          </w:p>
        </w:tc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t>Cadastra unidades físicas vinculadas a um livro (ADR-002).</w:t>
            </w:r>
          </w:p>
        </w:tc>
      </w:tr>
      <w:tr>
        <w:tc>
          <w:tcPr>
            <w:tcW w:type="dxa" w:w="2592"/>
            <w:shd w:val="clear" w:color="auto"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b/>
              </w:rPr>
              <w:t>Autenticação:</w:t>
            </w:r>
          </w:p>
        </w:tc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t>Bearer JWT (BIBLIOTECARIO)</w:t>
            </w:r>
          </w:p>
        </w:tc>
      </w:tr>
      <w:tr>
        <w:tc>
          <w:tcPr>
            <w:tcW w:type="dxa" w:w="2592"/>
            <w:shd w:val="clear" w:color="auto"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b/>
              </w:rPr>
              <w:t>Payload Requisição:</w:t>
            </w:r>
          </w:p>
        </w:tc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rFonts w:ascii="Consolas" w:hAnsi="Consolas"/>
                <w:sz w:val="19"/>
              </w:rPr>
              <w:t>{</w:t>
              <w:br/>
              <w:t xml:space="preserve">  "codigoPatrimonio": "PAT-2026-00891"</w:t>
              <w:br/>
              <w:t>}</w:t>
            </w:r>
          </w:p>
        </w:tc>
      </w:tr>
      <w:tr>
        <w:tc>
          <w:tcPr>
            <w:tcW w:type="dxa" w:w="2592"/>
            <w:shd w:val="clear" w:color="auto"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b/>
              </w:rPr>
              <w:t>Resposta JSON (201 Created):</w:t>
            </w:r>
          </w:p>
        </w:tc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rFonts w:ascii="Consolas" w:hAnsi="Consolas"/>
                <w:sz w:val="19"/>
              </w:rPr>
              <w:t>{</w:t>
              <w:br/>
              <w:t xml:space="preserve">  "id": "ex-uuid-9900",</w:t>
              <w:br/>
              <w:t xml:space="preserve">  "livroId": "livro-uuid-550e8400",</w:t>
              <w:br/>
              <w:t xml:space="preserve">  "codigoPatrimonio": "PAT-2026-00891",</w:t>
              <w:br/>
              <w:t xml:space="preserve">  "status": "DISPONIVEL"</w:t>
              <w:br/>
              <w:t>}</w:t>
            </w:r>
          </w:p>
        </w:tc>
      </w:tr>
    </w:tbl>
    <w:p>
      <w:pPr>
        <w:spacing w:after="120"/>
      </w:pPr>
    </w:p>
    <w:p>
      <w:r>
        <w:rPr>
          <w:b/>
          <w:color w:val="2F5496"/>
          <w:sz w:val="26"/>
        </w:rPr>
        <w:t>2.3 Módulo de Empréstimos, Renovação e Devolução (ADR-001, ADR-004, ADR-005, ADR-006, ADR-008)</w:t>
      </w:r>
    </w:p>
    <w:p>
      <w:pPr>
        <w:spacing w:before="120" w:after="40"/>
      </w:pPr>
      <w:r>
        <w:rPr>
          <w:b/>
          <w:color w:val="008000"/>
        </w:rPr>
        <w:t xml:space="preserve">[POST] </w:t>
      </w:r>
      <w:r>
        <w:rPr>
          <w:b/>
        </w:rPr>
        <w:t>/api/v1/emprestimos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val="clear" w:color="auto"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b/>
              </w:rPr>
              <w:t>Descrição &amp; ADR:</w:t>
            </w:r>
          </w:p>
        </w:tc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t>Realiza novo empréstimo. Aplica prazo fixo de 15 dias (ADR-001) e valida se o leitor possui multa &gt; R$ 20,00 (ADR-006).</w:t>
            </w:r>
          </w:p>
        </w:tc>
      </w:tr>
      <w:tr>
        <w:tc>
          <w:tcPr>
            <w:tcW w:type="dxa" w:w="2592"/>
            <w:shd w:val="clear" w:color="auto"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b/>
              </w:rPr>
              <w:t>Autenticação:</w:t>
            </w:r>
          </w:p>
        </w:tc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t>Bearer JWT (BIBLIOTECARIO)</w:t>
            </w:r>
          </w:p>
        </w:tc>
      </w:tr>
      <w:tr>
        <w:tc>
          <w:tcPr>
            <w:tcW w:type="dxa" w:w="2592"/>
            <w:shd w:val="clear" w:color="auto"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b/>
              </w:rPr>
              <w:t>Payload Requisição:</w:t>
            </w:r>
          </w:p>
        </w:tc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rFonts w:ascii="Consolas" w:hAnsi="Consolas"/>
                <w:sz w:val="19"/>
              </w:rPr>
              <w:t>{</w:t>
              <w:br/>
              <w:t xml:space="preserve">  "leitorId": "usr-uuid-1111",</w:t>
              <w:br/>
              <w:t xml:space="preserve">  "exemplarId": "ex-uuid-9900"</w:t>
              <w:br/>
              <w:t>}</w:t>
            </w:r>
          </w:p>
        </w:tc>
      </w:tr>
      <w:tr>
        <w:tc>
          <w:tcPr>
            <w:tcW w:type="dxa" w:w="2592"/>
            <w:shd w:val="clear" w:color="auto"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b/>
              </w:rPr>
              <w:t>Resposta JSON (200/201):</w:t>
            </w:r>
          </w:p>
        </w:tc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rFonts w:ascii="Consolas" w:hAnsi="Consolas"/>
                <w:sz w:val="19"/>
              </w:rPr>
              <w:t>{</w:t>
              <w:br/>
              <w:t xml:space="preserve">  "id": "emp-uuid-7777",</w:t>
              <w:br/>
              <w:t xml:space="preserve">  "dataEmprestimo": "2026-09-18T10:00:00Z",</w:t>
              <w:br/>
              <w:t xml:space="preserve">  "dataPrevistaDevolucao": "2026-10-03T10:00:00Z", // exatamente 15 dias (ADR-001)</w:t>
              <w:br/>
              <w:t xml:space="preserve">  "status": "ATIVO"</w:t>
              <w:br/>
              <w:t>}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b/>
          <w:color w:val="008000"/>
        </w:rPr>
        <w:t xml:space="preserve">[POST] </w:t>
      </w:r>
      <w:r>
        <w:rPr>
          <w:b/>
        </w:rPr>
        <w:t>/api/v1/emprestimos/:id/renovar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val="clear" w:color="auto"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b/>
              </w:rPr>
              <w:t>Descrição &amp; ADR:</w:t>
            </w:r>
          </w:p>
        </w:tc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t>Renova empréstimo por +15 dias. Bloqueia renovação se houver reserva ativa para o livro (ADR-004).</w:t>
            </w:r>
          </w:p>
        </w:tc>
      </w:tr>
      <w:tr>
        <w:tc>
          <w:tcPr>
            <w:tcW w:type="dxa" w:w="2592"/>
            <w:shd w:val="clear" w:color="auto"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b/>
              </w:rPr>
              <w:t>Autenticação:</w:t>
            </w:r>
          </w:p>
        </w:tc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t>Bearer JWT (LEITOR / BIBLIOTECARIO)</w:t>
            </w:r>
          </w:p>
        </w:tc>
      </w:tr>
      <w:tr>
        <w:tc>
          <w:tcPr>
            <w:tcW w:type="dxa" w:w="2592"/>
            <w:shd w:val="clear" w:color="auto"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b/>
              </w:rPr>
              <w:t>Payload Requisição:</w:t>
            </w:r>
          </w:p>
        </w:tc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t>Nenhum payload (ID via URL)</w:t>
            </w:r>
          </w:p>
        </w:tc>
      </w:tr>
      <w:tr>
        <w:tc>
          <w:tcPr>
            <w:tcW w:type="dxa" w:w="2592"/>
            <w:shd w:val="clear" w:color="auto"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b/>
              </w:rPr>
              <w:t>Resposta JSON (200/201):</w:t>
            </w:r>
          </w:p>
        </w:tc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rFonts w:ascii="Consolas" w:hAnsi="Consolas"/>
                <w:sz w:val="19"/>
              </w:rPr>
              <w:t>{</w:t>
              <w:br/>
              <w:t xml:space="preserve">  "id": "emp-uuid-7777",</w:t>
              <w:br/>
              <w:t xml:space="preserve">  "novaDataDevolucao": "2026-10-18T10:00:00Z",</w:t>
              <w:br/>
              <w:t xml:space="preserve">  "renovacoesQtd": 1,</w:t>
              <w:br/>
              <w:t xml:space="preserve">  "mensagem": "Empréstimo renovado com sucesso."</w:t>
              <w:br/>
              <w:t>}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b/>
          <w:color w:val="008000"/>
        </w:rPr>
        <w:t xml:space="preserve">[POST] </w:t>
      </w:r>
      <w:r>
        <w:rPr>
          <w:b/>
        </w:rPr>
        <w:t>/api/v1/emprestimos/:id/devolver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val="clear" w:color="auto"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b/>
              </w:rPr>
              <w:t>Descrição &amp; ADR:</w:t>
            </w:r>
          </w:p>
        </w:tc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t>Registra devolução. Se em atraso, gera multa automática por dia excedido (ADR-008) e bloqueia se &gt; R$ 20,00 (ADR-006).</w:t>
            </w:r>
          </w:p>
        </w:tc>
      </w:tr>
      <w:tr>
        <w:tc>
          <w:tcPr>
            <w:tcW w:type="dxa" w:w="2592"/>
            <w:shd w:val="clear" w:color="auto"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b/>
              </w:rPr>
              <w:t>Autenticação:</w:t>
            </w:r>
          </w:p>
        </w:tc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t>Bearer JWT (BIBLIOTECARIO)</w:t>
            </w:r>
          </w:p>
        </w:tc>
      </w:tr>
      <w:tr>
        <w:tc>
          <w:tcPr>
            <w:tcW w:type="dxa" w:w="2592"/>
            <w:shd w:val="clear" w:color="auto"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b/>
              </w:rPr>
              <w:t>Payload Requisição:</w:t>
            </w:r>
          </w:p>
        </w:tc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t>Nenhum payload (ID via URL)</w:t>
            </w:r>
          </w:p>
        </w:tc>
      </w:tr>
      <w:tr>
        <w:tc>
          <w:tcPr>
            <w:tcW w:type="dxa" w:w="2592"/>
            <w:shd w:val="clear" w:color="auto"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b/>
              </w:rPr>
              <w:t>Resposta JSON (200/201):</w:t>
            </w:r>
          </w:p>
        </w:tc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rFonts w:ascii="Consolas" w:hAnsi="Consolas"/>
                <w:sz w:val="19"/>
              </w:rPr>
              <w:t>{</w:t>
              <w:br/>
              <w:t xml:space="preserve">  "id": "emp-uuid-7777",</w:t>
              <w:br/>
              <w:t xml:space="preserve">  "dataDevolucaoEfetiva": "2026-10-08T10:00:00Z",</w:t>
              <w:br/>
              <w:t xml:space="preserve">  "diasAtraso": 5,</w:t>
              <w:br/>
              <w:t xml:space="preserve">  "multaGerada": {</w:t>
              <w:br/>
              <w:t xml:space="preserve">    "valorTotal": 10.00,</w:t>
              <w:br/>
              <w:t xml:space="preserve">    "status": "PENDENTE"</w:t>
              <w:br/>
              <w:t xml:space="preserve">  }</w:t>
              <w:br/>
              <w:t>}</w:t>
            </w:r>
          </w:p>
        </w:tc>
      </w:tr>
    </w:tbl>
    <w:p>
      <w:pPr>
        <w:spacing w:after="120"/>
      </w:pPr>
    </w:p>
    <w:p>
      <w:r>
        <w:rPr>
          <w:b/>
          <w:color w:val="2F5496"/>
          <w:sz w:val="26"/>
        </w:rPr>
        <w:t>2.4 Módulo Financeiro e Quitação de Multas (ADR-006, ADR-008)</w:t>
      </w:r>
    </w:p>
    <w:p>
      <w:pPr>
        <w:spacing w:before="120" w:after="40"/>
      </w:pPr>
      <w:r>
        <w:rPr>
          <w:b/>
          <w:color w:val="008000"/>
        </w:rPr>
        <w:t xml:space="preserve">[POST] </w:t>
      </w:r>
      <w:r>
        <w:rPr>
          <w:b/>
        </w:rPr>
        <w:t>/api/v1/multas/:id/pagar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val="clear" w:color="auto"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b/>
              </w:rPr>
              <w:t>Descrição &amp; ADR:</w:t>
            </w:r>
          </w:p>
        </w:tc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t>Registra quitação de multa. Desbloqueia o leitor somente após quitação total de pendências &lt;= R$ 20,00 (ADR-006).</w:t>
            </w:r>
          </w:p>
        </w:tc>
      </w:tr>
      <w:tr>
        <w:tc>
          <w:tcPr>
            <w:tcW w:type="dxa" w:w="2592"/>
            <w:shd w:val="clear" w:color="auto"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b/>
              </w:rPr>
              <w:t>Autenticação:</w:t>
            </w:r>
          </w:p>
        </w:tc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t>Bearer JWT (BIBLIOTECARIO)</w:t>
            </w:r>
          </w:p>
        </w:tc>
      </w:tr>
      <w:tr>
        <w:tc>
          <w:tcPr>
            <w:tcW w:type="dxa" w:w="2592"/>
            <w:shd w:val="clear" w:color="auto"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b/>
              </w:rPr>
              <w:t>Payload Requisição:</w:t>
            </w:r>
          </w:p>
        </w:tc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rFonts w:ascii="Consolas" w:hAnsi="Consolas"/>
                <w:sz w:val="19"/>
              </w:rPr>
              <w:t>{</w:t>
              <w:br/>
              <w:t xml:space="preserve">  "formaPagamento": "PIX",</w:t>
              <w:br/>
              <w:t xml:space="preserve">  "valorPago": 25.00</w:t>
              <w:br/>
              <w:t>}</w:t>
            </w:r>
          </w:p>
        </w:tc>
      </w:tr>
      <w:tr>
        <w:tc>
          <w:tcPr>
            <w:tcW w:type="dxa" w:w="2592"/>
            <w:shd w:val="clear" w:color="auto"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b/>
              </w:rPr>
              <w:t>Resposta JSON (200 OK):</w:t>
            </w:r>
          </w:p>
        </w:tc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rFonts w:ascii="Consolas" w:hAnsi="Consolas"/>
                <w:sz w:val="19"/>
              </w:rPr>
              <w:t>{</w:t>
              <w:br/>
              <w:t xml:space="preserve">  "multaId": "multa-uuid-88",</w:t>
              <w:br/>
              <w:t xml:space="preserve">  "status": "PAGA",</w:t>
              <w:br/>
              <w:t xml:space="preserve">  "totalMultaPendenteRestante": 0.00,</w:t>
              <w:br/>
              <w:t xml:space="preserve">  "statusUsuarioAtualizado": "ATIVO" // Desbloqueado (ADR-006)</w:t>
              <w:br/>
              <w:t>}</w:t>
            </w:r>
          </w:p>
        </w:tc>
      </w:tr>
    </w:tbl>
    <w:p>
      <w:pPr>
        <w:spacing w:after="120"/>
      </w:pPr>
    </w:p>
    <w:p>
      <w:r>
        <w:rPr>
          <w:b/>
          <w:color w:val="2F5496"/>
          <w:sz w:val="26"/>
        </w:rPr>
        <w:t>2.5 Módulo de LGPD e Notificações (ADR-003, ADR-009)</w:t>
      </w:r>
    </w:p>
    <w:p>
      <w:pPr>
        <w:spacing w:before="120" w:after="40"/>
      </w:pPr>
      <w:r>
        <w:rPr>
          <w:b/>
          <w:color w:val="C00000"/>
        </w:rPr>
        <w:t xml:space="preserve">[DELETE] </w:t>
      </w:r>
      <w:r>
        <w:rPr>
          <w:b/>
        </w:rPr>
        <w:t>/api/v1/leitores/me/lgpd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val="clear" w:color="auto"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b/>
              </w:rPr>
              <w:t>Descrição &amp; ADR:</w:t>
            </w:r>
          </w:p>
        </w:tc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t>Solicita exclusão definitiva de dados do leitor. Agenda expurgo automático em até 48 horas (ADR-009).</w:t>
            </w:r>
          </w:p>
        </w:tc>
      </w:tr>
      <w:tr>
        <w:tc>
          <w:tcPr>
            <w:tcW w:type="dxa" w:w="2592"/>
            <w:shd w:val="clear" w:color="auto"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b/>
              </w:rPr>
              <w:t>Autenticação:</w:t>
            </w:r>
          </w:p>
        </w:tc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t>Bearer JWT (LEITOR)</w:t>
            </w:r>
          </w:p>
        </w:tc>
      </w:tr>
      <w:tr>
        <w:tc>
          <w:tcPr>
            <w:tcW w:type="dxa" w:w="2592"/>
            <w:shd w:val="clear" w:color="auto"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b/>
              </w:rPr>
              <w:t>Payload Requisição:</w:t>
            </w:r>
          </w:p>
        </w:tc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rFonts w:ascii="Consolas" w:hAnsi="Consolas"/>
                <w:sz w:val="19"/>
              </w:rPr>
              <w:t>{</w:t>
              <w:br/>
              <w:t xml:space="preserve">  "confirmacao": "DESEJO_EXCLUIR_MEUS_DADOS"</w:t>
              <w:br/>
              <w:t>}</w:t>
            </w:r>
          </w:p>
        </w:tc>
      </w:tr>
      <w:tr>
        <w:tc>
          <w:tcPr>
            <w:tcW w:type="dxa" w:w="2592"/>
            <w:shd w:val="clear" w:color="auto"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b/>
              </w:rPr>
              <w:t>Resposta JSON (200/202):</w:t>
            </w:r>
          </w:p>
        </w:tc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rFonts w:ascii="Consolas" w:hAnsi="Consolas"/>
                <w:sz w:val="19"/>
              </w:rPr>
              <w:t>{</w:t>
              <w:br/>
              <w:t xml:space="preserve">  "mensagem": "Solicitação recebida. Seus dados serão permanentemente excluídos em até 48 horas.",</w:t>
              <w:br/>
              <w:t xml:space="preserve">  "dataLimiteExpurgo": "2026-09-20T10:00:00Z"</w:t>
              <w:br/>
              <w:t>}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b/>
          <w:color w:val="008000"/>
        </w:rPr>
        <w:t xml:space="preserve">[POST] </w:t>
      </w:r>
      <w:r>
        <w:rPr>
          <w:b/>
        </w:rPr>
        <w:t>/api/v1/notificacoes/enviar-lembretes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val="clear" w:color="auto"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b/>
              </w:rPr>
              <w:t>Descrição &amp; ADR:</w:t>
            </w:r>
          </w:p>
        </w:tc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t>Gera e envia e-mails automáticos de aviso de vencimento próximo (ADR-003).</w:t>
            </w:r>
          </w:p>
        </w:tc>
      </w:tr>
      <w:tr>
        <w:tc>
          <w:tcPr>
            <w:tcW w:type="dxa" w:w="2592"/>
            <w:shd w:val="clear" w:color="auto"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b/>
              </w:rPr>
              <w:t>Autenticação:</w:t>
            </w:r>
          </w:p>
        </w:tc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t>Bearer JWT (ADMIN / CRON JOB)</w:t>
            </w:r>
          </w:p>
        </w:tc>
      </w:tr>
      <w:tr>
        <w:tc>
          <w:tcPr>
            <w:tcW w:type="dxa" w:w="2592"/>
            <w:shd w:val="clear" w:color="auto"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b/>
              </w:rPr>
              <w:t>Payload Requisição:</w:t>
            </w:r>
          </w:p>
        </w:tc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t>Nenhum payload</w:t>
            </w:r>
          </w:p>
        </w:tc>
      </w:tr>
      <w:tr>
        <w:tc>
          <w:tcPr>
            <w:tcW w:type="dxa" w:w="2592"/>
            <w:shd w:val="clear" w:color="auto"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b/>
              </w:rPr>
              <w:t>Resposta JSON (200/202):</w:t>
            </w:r>
          </w:p>
        </w:tc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rFonts w:ascii="Consolas" w:hAnsi="Consolas"/>
                <w:sz w:val="19"/>
              </w:rPr>
              <w:t>{</w:t>
              <w:br/>
              <w:t xml:space="preserve">  "lembretesProcessados": 14,</w:t>
              <w:br/>
              <w:t xml:space="preserve">  "notificacoesEnviadas": 14,</w:t>
              <w:br/>
              <w:t xml:space="preserve">  "timestamp": "2026-09-18T10:00:00Z"</w:t>
              <w:br/>
              <w:t>}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b/>
          <w:color w:val="1F4E79"/>
          <w:sz w:val="28"/>
        </w:rPr>
        <w:t>3. MATRIZ DE RASTREABILIDADE: ENDPOINTS × ADRs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ADR Referenciada</w:t>
            </w:r>
          </w:p>
        </w:tc>
        <w:tc>
          <w:tcPr>
            <w:tcW w:type="dxa" w:w="3024"/>
            <w:shd w:val="clear" w:color="auto"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Regra de Negócio / Decisão</w:t>
            </w:r>
          </w:p>
        </w:tc>
        <w:tc>
          <w:tcPr>
            <w:tcW w:type="dxa" w:w="3024"/>
            <w:shd w:val="clear" w:color="auto"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Endpoint(s) Responsável(eis)</w:t>
            </w:r>
          </w:p>
        </w:tc>
      </w:tr>
      <w:tr>
        <w:tc>
          <w:tcPr>
            <w:tcW w:type="dxa" w:w="1728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t>ADR-001</w:t>
            </w:r>
          </w:p>
        </w:tc>
        <w:tc>
          <w:tcPr>
            <w:tcW w:type="dxa" w:w="3744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t>Prazo único de 15 dias de devolução</w:t>
            </w:r>
          </w:p>
        </w:tc>
        <w:tc>
          <w:tcPr>
            <w:tcW w:type="dxa" w:w="3600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t>POST /api/v1/emprestimos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t>ADR-002</w:t>
            </w:r>
          </w:p>
        </w:tc>
        <w:tc>
          <w:tcPr>
            <w:tcW w:type="dxa" w:w="374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t>Cadastro de exemplares vinculados ao livro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t>POST /api/v1/livros/:id/exemplares</w:t>
            </w:r>
          </w:p>
        </w:tc>
      </w:tr>
      <w:tr>
        <w:tc>
          <w:tcPr>
            <w:tcW w:type="dxa" w:w="1728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t>ADR-003</w:t>
            </w:r>
          </w:p>
        </w:tc>
        <w:tc>
          <w:tcPr>
            <w:tcW w:type="dxa" w:w="3744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t>Notificação automática de vencimento por e-mail</w:t>
            </w:r>
          </w:p>
        </w:tc>
        <w:tc>
          <w:tcPr>
            <w:tcW w:type="dxa" w:w="3600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t>POST /api/v1/notificacoes/enviar-lembretes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t>ADR-004</w:t>
            </w:r>
          </w:p>
        </w:tc>
        <w:tc>
          <w:tcPr>
            <w:tcW w:type="dxa" w:w="374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t>Renovação respeitando reservas ativas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t>POST /api/v1/emprestimos/:id/renovar</w:t>
            </w:r>
          </w:p>
        </w:tc>
      </w:tr>
      <w:tr>
        <w:tc>
          <w:tcPr>
            <w:tcW w:type="dxa" w:w="1728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t>ADR-005</w:t>
            </w:r>
          </w:p>
        </w:tc>
        <w:tc>
          <w:tcPr>
            <w:tcW w:type="dxa" w:w="3744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t>Histórico de empréstimos por leitor</w:t>
            </w:r>
          </w:p>
        </w:tc>
        <w:tc>
          <w:tcPr>
            <w:tcW w:type="dxa" w:w="3600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t>GET /api/v1/leitores/:id/emprestimos/historico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t>ADR-006</w:t>
            </w:r>
          </w:p>
        </w:tc>
        <w:tc>
          <w:tcPr>
            <w:tcW w:type="dxa" w:w="374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t>Bloqueio por multa &gt; R$ 20 e desbloqueio pós-quitação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t>POST /api/v1/emprestimos e POST /api/v1/multas/:id/pagar</w:t>
            </w:r>
          </w:p>
        </w:tc>
      </w:tr>
      <w:tr>
        <w:tc>
          <w:tcPr>
            <w:tcW w:type="dxa" w:w="1728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t>ADR-007</w:t>
            </w:r>
          </w:p>
        </w:tc>
        <w:tc>
          <w:tcPr>
            <w:tcW w:type="dxa" w:w="3744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t>Autenticação via JWT (Login/Logout)</w:t>
            </w:r>
          </w:p>
        </w:tc>
        <w:tc>
          <w:tcPr>
            <w:tcW w:type="dxa" w:w="3600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t>POST /api/v1/auth/login e /logout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t>ADR-008</w:t>
            </w:r>
          </w:p>
        </w:tc>
        <w:tc>
          <w:tcPr>
            <w:tcW w:type="dxa" w:w="374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t>Cálculo automático de multa por dias excedidos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t>POST /api/v1/emprestimos/:id/devolver</w:t>
            </w:r>
          </w:p>
        </w:tc>
      </w:tr>
      <w:tr>
        <w:tc>
          <w:tcPr>
            <w:tcW w:type="dxa" w:w="1728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t>ADR-009</w:t>
            </w:r>
          </w:p>
        </w:tc>
        <w:tc>
          <w:tcPr>
            <w:tcW w:type="dxa" w:w="3744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t>Conformidade LGPD (Expurgo em até 48h)</w:t>
            </w:r>
          </w:p>
        </w:tc>
        <w:tc>
          <w:tcPr>
            <w:tcW w:type="dxa" w:w="3600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t>DELETE /api/v1/leitores/me/lgpd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t>ADR-010</w:t>
            </w:r>
          </w:p>
        </w:tc>
        <w:tc>
          <w:tcPr>
            <w:tcW w:type="dxa" w:w="374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t>Acessibilidade (WCAG 2.1 AA na resposta JSON/mídia)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t>Todos os Endpoints (Payloads padronizados)</w:t>
            </w:r>
          </w:p>
        </w:tc>
      </w:tr>
    </w:tbl>
    <w:sectPr w:rsidR="00FC693F" w:rsidRPr="0006063C" w:rsidSect="00034616">
      <w:pgSz w:w="11909" w:h="16834"/>
      <w:pgMar w:top="1699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Arial" w:hAnsi="Arial"/>
      <w:color w:val="3333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