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jc w:val="both"/>
        <w:rPr/>
      </w:pPr>
      <w:r>
        <w:rPr>
          <w:b/>
          <w:bCs/>
          <w:color w:val="1F3864"/>
          <w:sz w:val="30"/>
          <w:szCs w:val="30"/>
        </w:rPr>
        <w:t>Glossário Jurídico das Classificações do POME</w:t>
      </w:r>
    </w:p>
    <w:p>
      <w:pPr>
        <w:pStyle w:val="Normal"/>
        <w:spacing w:before="0" w:after="200"/>
        <w:jc w:val="both"/>
        <w:rPr/>
      </w:pPr>
      <w:r>
        <w:rPr>
          <w:i/>
          <w:iCs/>
          <w:color w:val="555555"/>
          <w:sz w:val="22"/>
          <w:szCs w:val="22"/>
        </w:rPr>
        <w:t>Revisão terminológica das ocorrências escolares à luz da legislação brasileira</w:t>
      </w:r>
    </w:p>
    <w:p>
      <w:pPr>
        <w:pStyle w:val="Normal"/>
        <w:pBdr>
          <w:top w:val="single" w:sz="6" w:space="0" w:color="1F3864"/>
          <w:bottom w:val="single" w:sz="6" w:space="0" w:color="1F3864"/>
        </w:pBdr>
        <w:spacing w:before="0" w:after="300"/>
        <w:jc w:val="both"/>
        <w:rPr/>
      </w:pPr>
      <w:r>
        <w:rPr>
          <w:b/>
          <w:bCs/>
          <w:color w:val="444444"/>
          <w:sz w:val="20"/>
          <w:szCs w:val="20"/>
        </w:rPr>
        <w:t xml:space="preserve">Aviso importante: </w:t>
      </w:r>
      <w:r>
        <w:rPr>
          <w:color w:val="444444"/>
          <w:sz w:val="20"/>
          <w:szCs w:val="20"/>
        </w:rPr>
        <w:t>este material é uma referência de apoio pedagógico-administrativo e não substitui orientação jurídica formal. Diante de qualquer situação envolvendo violência sexual, abuso, porte de arma, negligência grave ou suspeita de maus-tratos contra criança ou adolescente, a escola tem o dever legal de comunicar imediatamente o Conselho Tutelar e, se necessário, a autoridade policial (ECA, arts. 13, 56 e 245).</w:t>
      </w:r>
    </w:p>
    <w:p>
      <w:pPr>
        <w:pStyle w:val="Heading1"/>
        <w:spacing w:before="300" w:after="100"/>
        <w:jc w:val="both"/>
        <w:rPr/>
      </w:pPr>
      <w:r>
        <w:rPr>
          <w:b/>
          <w:bCs/>
          <w:color w:val="1F3864"/>
          <w:sz w:val="28"/>
          <w:szCs w:val="28"/>
        </w:rPr>
        <w:t xml:space="preserve">1. Comportamentos e situações típicas da primeira infância </w:t>
      </w:r>
    </w:p>
    <w:p>
      <w:pPr>
        <w:pStyle w:val="Normal"/>
        <w:spacing w:before="0" w:after="200"/>
        <w:jc w:val="both"/>
        <w:rPr/>
      </w:pPr>
      <w:r>
        <w:rPr>
          <w:i/>
          <w:iCs/>
          <w:color w:val="555555"/>
          <w:sz w:val="20"/>
          <w:szCs w:val="20"/>
        </w:rPr>
        <w:t>Reúne comportamentos e situações típicas da primeira infância, observados geralmente nas CEMEIs, que fazem parte do desenvolvimento normal da criança e não configuram violência ou infração disciplinar. Crianças nessa faixa etária são absolutamente inimputáveis (ECA, art. 104, que exige idade mínima de 12 anos para ato infracional), e reações como mordida, birra ou disputa por brinquedo expressam dificuldades típicas de autorregulação emocional e comunicação, não intenção de causar dano. Pedagogicamente, cabe à escola observar padrões, acolher a criança e a família, e ajustar rotina e ambiente de forma preventiva — nunca aplicar aqui a lógica disciplinar ou o vocabulário reservado a estudantes mais velhos.</w:t>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MORDIDA ENTRE CRIANÇAS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 e o desenvolvimento infantil</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é figura jurídico-penal nem ato infracional — crianças na primeira infância são absolutamente inimputáveis (ECA, art. 104). Segundo as Diretrizes Curriculares Nacionais para a Educação Infantil (Resolução CNE/CEB nº 5/2009), o desenvolvimento da criança pequena envolve fases de comunicação pré-verbal e dificuldade de autorregulação emocional, das quais a mordida é manifestação típica.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Registrar como “mordida entre crianças”, nunca como “agressão física” — o enquadramento penal e a lógica de responsabilização não se aplicam a essa faixa etária.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Episódios de mordida entre crianças da educação infantil, geralmente associados a frustração, disputa por objeto/atenção ou dificuldade de comunicação verbal.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Encaminhamento pedagógico sugerido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Acolhimento das crianças envolvidas, comunicação aos responsáveis de ambas as partes, observação de padrões (frequência, gatilhos) e, se recorrente, articulação com a coordenação pedagógica (rotina, mediação de conflitos, apoio emocional).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Estatuto da Criança e do Adolescente (Lei 8.069/1990), art. 104; Resolução CNE/CEB nº 5/2009 (DCNEI); LDB, arts. 29 a 31.</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DISPUTA POR OBJETOS/BRINQUEDOS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 e o desenvolvimento infantil</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Manifestação típica do desenvolvimento da noção de posse e compartilhamento nos primeiros anos; parte do processo de socialização previsto nos campos de experiência da Base Nacional Comum Curricular (BNCC) para a Educação Infantil e nas DCNEI, que preveem interações e brincadeiras como eixos estruturantes do currículo.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Registrar como “disputa por objetos/brinquedos”; não se enquadra como conflito disciplinar nem como ocorrência de violência.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Crianças disputando o mesmo brinquedo ou objeto, por vezes com empurrões leves decorrentes da disputa.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Encaminhamento pedagógico sugerido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Mediação simples pelo educador no momento do episódio, incentivo a rotinas de compartilhamento/revezamento; comunicação formal aos responsáveis só se o padrão for recorrente ou envolver intensidade maior que o esperado.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Base Nacional Comum Curricular — Educação Infantil (campos de experiência); Resolução CNE/CEB nº 5/2009 (DCNEI).</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AGRESSIVIDADE FÍSICA ENTRE CRIANÇAS PEQUENAS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 e o desenvolvimento infantil</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é figura jurídico-penal nem ato infracional (ECA, art. 104); é manifestação de dificuldade de autorregulação emocional e de comunicação não verbal típica da primeira infância, distinta da “agressão física” entre estudantes maiores, que pressupõe maior intencionalidade e compreensão da norma violada.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Registrar como “agressividade física entre crianças pequenas”, distinta de “agressão física” (reservada a estudantes com maior maturidade e intencionalidade).</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Empurrar, bater, puxar cabelo ou beliscar entre crianças da educação infantil.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Encaminhamento pedagógico sugerido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Intervenção imediata do educador para garantir a segurança de todos, acolhimento das crianças envolvidas, comunicação aos responsáveis, observação de padrões e, se recorrente, articulação com apoio pedagógico ou psicopedagógico.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Estatuto da Criança e do Adolescente, art. 104; Resolução CNE/CEB nº 5/2009 (DCNEI); LDB, arts. 29 a 31.</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DIFICULDADE DE ADAPTAÇÃO / CHORO PERSISTENTE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 e o desenvolvimento infantil</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 xml:space="preserve">Fenômeno esperado no período de adaptação à rotina escolar, decorrente do processo de separação da figura de apego primário.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Registrar como “dificuldade de adaptação/choro persistente”, sem caráter disciplinar.</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Choro frequente ou prolongado, recusa em entrar na sala, resistência à separação dos responsáveis — sobretudo no início do ano letivo ou logo após a matrícula.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Encaminhamento pedagógico sugerido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Acolhimento gradual, diálogo com a família sobre estratégias de adaptação, observação da evolução ao longo do período; articulação com a coordenação pedagógica se a dificuldade persistir além do esperado.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Resolução CNE/CEB nº 5/2009 (DCNEI); LDB, arts. 29 a 31.</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BIRRA / CRISE COMPORTAMENTAL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 e o desenvolvimento infantil</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Episódio de descontrole emocional típico da primeira infância, associado à imaturidade do desenvolvimento da autorregulação emocional; não configura indisciplina no sentido disciplinar aplicado a estudantes maiores, que pressupõe compreensão da norma.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Registrar como “birra/crise comportamental”, distinta de “indisciplina recorrente” (reservada a estudantes com maior maturidade e capacidade de compreender as normas).</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Choro intenso, gritos, recusa em seguir orientações, episódios de descontrole emocional.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Encaminhamento pedagógico sugerido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Acolhimento sem punição, manutenção da rotina e dos limites com calma, comunicação aos responsáveis se recorrente, observação de gatilhos e contexto (fome, sono, mudanças na rotina familiar).</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Resolução CNE/CEB nº 5/2009 (DCNEI).</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REGRESSÃO COMPORTAMENTAL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 e o desenvolvimento infantil</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Retorno a comportamentos de fase anterior do desenvolvimento (voltar a usar fralda, chupeta, fala infantilizada), frequentemente associado a mudanças familiares, nascimento de irmão, mudanças na rotina ou estresse emocional; não é ocorrência disciplinar, mas sinal que merece atenção e acompanhamento.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Registrar como “regressão comportamental”; não se aplica lógica disciplinar.</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Criança volta a apresentar comportamentos típicos de uma fase anterior do desenvolvimento.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Encaminhamento pedagógico sugerido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Observação e registro do padrão, diálogo com a família sobre possíveis fatores associados (mudanças familiares, nascimento de irmão etc.), articulação com apoio pedagógico ou psicológico se o quadro for persistente ou intenso.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Resolução CNE/CEB nº 5/2009 (DCNEI); Estatuto da Criança e do Adolescente, art. 1º (princípio da proteção integral).</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RECUSA ALIMENTAR / SELETIVIDADE ALIMENTAR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 e o desenvolvimento infantil</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Comportamento comum na primeira infância, relacionado ao desenvolvimento do paladar e da autonomia alimentar; distingue-se das questões estruturais da “reclamação institucional/administrativa” sobre alimentação escolar, que tratam da qualidade/adequação do serviço, não do comportamento da criança.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Registrar como “recusa alimentar/seletividade alimentar”.</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Criança recusa determinados alimentos, apresenta seletividade alimentar acentuada ou recusa se alimentar na escola.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Encaminhamento pedagógico sugerido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Registro do padrão alimentar, diálogo com a família sobre os hábitos em casa, oferta gradual e sem pressão dos alimentos recusados; se persistente ou associado a outros sinais, encaminhamento para avaliação de saúde.</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Resolução CNE/CEB nº 5/2009 (DCNEI).</w:t>
            </w:r>
          </w:p>
        </w:tc>
      </w:tr>
    </w:tbl>
    <w:p>
      <w:pPr>
        <w:pStyle w:val="Heading1"/>
        <w:spacing w:before="300" w:after="100"/>
        <w:jc w:val="both"/>
        <w:rPr>
          <w:b/>
          <w:bCs/>
          <w:color w:val="1F3864"/>
          <w:sz w:val="28"/>
          <w:szCs w:val="28"/>
        </w:rPr>
      </w:pPr>
      <w:r>
        <w:rPr>
          <w:b/>
          <w:bCs/>
          <w:color w:val="1F3864"/>
          <w:sz w:val="28"/>
          <w:szCs w:val="28"/>
        </w:rPr>
        <w:t>2. Reclamações pedagógicas e institucionais</w:t>
      </w:r>
    </w:p>
    <w:p>
      <w:pPr>
        <w:pStyle w:val="Normal"/>
        <w:spacing w:before="0" w:after="200"/>
        <w:jc w:val="both"/>
        <w:rPr>
          <w:i/>
          <w:iCs/>
          <w:color w:val="555555"/>
          <w:sz w:val="20"/>
          <w:szCs w:val="20"/>
        </w:rPr>
      </w:pPr>
      <w:r>
        <w:rPr>
          <w:i/>
          <w:iCs/>
          <w:color w:val="555555"/>
          <w:sz w:val="20"/>
          <w:szCs w:val="20"/>
        </w:rPr>
        <w:t>Reúne manifestações de estudantes e famílias sobre a qualidade do ensino ou da estrutura oferecida, que não envolvem violência mas impactam diretamente o clima escolar e a confiança na instituição. Acolher e encaminhar cedo evita que uma insatisfação legítima se transforme, com o tempo, em conflito mais grave.</w:t>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RECLAMAÇÃO PEDAGÓGICA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é figura jurídico-penal nem infração disciplinar do estudante — é o exercício de um direito do estudante e da família. O ECA assegura à criança e ao adolescente o direito de ser respeitado por seus educadores e de contestar critérios avaliativos, recorrendo às instâncias escolares superiores (art. 53, incisos II e III). A LDB estabelece, entre os princípios do ensino, a garantia de padrão de qualidade (art. 3º, IX) e trata das incumbências dos estabelecimentos e dos docentes quanto ao cumprimento do plano de trabalho (arts. 12 e 13).</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Registrar como “reclamação pedagógica” (ou “reclamação sobre metodologia/atuação docente”), distinta das dimensões de violência e de descumprimento de normas: aqui o foco é a qualidade do processo de ensino-aprendizagem, não uma conduta agressiva ou disciplinar. Se a reclamação revelar indício de conduta abusiva, discriminatória ou de violência do profissional — e não apenas insatisfação metodológica —, a ocorrência deve ser reclassificada na dimensão correspondente (ex.: violências interpessoais, discriminação e preconceito).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Estudantes ou responsáveis relatam que as aulas não estão ocorrendo de forma efetiva — conteúdo não ministrado adequadamente, metodologia que não favorece a aprendizagem, faltas frequentes do professor sem reposição — questões de natureza pedagógica que afetam o clima escolar sem configurar violência.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Estatuto da Criança e do Adolescente (Lei 8.069/1990), art. 53, incisos II, III e V; Lei de Diretrizes e Bases da Educação (Lei 9.394/1996), art. 3º, IX, e arts. 12 e 13.</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RECLAMAÇÃO INSTITUCIONAL / ADMINISTRATIVA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é figura jurídico-penal; relaciona-se ao direito da criança e do adolescente a padrões básicos de qualidade na prestação do serviço educacional. A Constituição Federal garante o ensino com padrão de qualidade (art. 206, VII); a alimentação escolar é assegurada pelo Programa Nacional de Alimentação Escolar (PNAE, Lei 11.947/2009); e, quando a reclamação envolver acessibilidade, aplica-se a Lei 13.146/2015 (Lei Brasileira de Inclusão).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Registrar como “reclamação institucional/administrativa”, reunindo questões de infraestrutura (banheiros, bebedouros, ventilação, acessibilidade), alimentação escolar e organização/funcionamento da unidade (horários, comunicação, logística) — distinta de “reclamação pedagógica” (que trata do processo de ensino-aprendizagem em si) e das demais dimensões de violência.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Estudantes ou responsáveis relatam problemas estruturais (banheiro sem manutenção, ausência de acessibilidade, bebedouro quebrado), falhas na alimentação escolar (quantidade, qualidade, adequação a restrições alimentares) ou problemas de organização (comunicação falha, desorganização de horários, falta de material).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Constituição Federal, art. 206, VII; Lei 11.947/2009 (PNAE); Lei 13.146/2015 (Lei Brasileira de Inclusão), quando pertinente; Estatuto da Criança e do Adolescente, art. 53, V.</w:t>
            </w:r>
          </w:p>
        </w:tc>
      </w:tr>
    </w:tbl>
    <w:p>
      <w:pPr>
        <w:pStyle w:val="Heading1"/>
        <w:spacing w:before="300" w:after="100"/>
        <w:jc w:val="both"/>
        <w:rPr/>
      </w:pPr>
      <w:r>
        <w:rPr>
          <w:b/>
          <w:bCs/>
          <w:color w:val="1F3864"/>
          <w:sz w:val="28"/>
          <w:szCs w:val="28"/>
        </w:rPr>
        <w:t>3. Descumprimento de normas escolares</w:t>
      </w:r>
    </w:p>
    <w:p>
      <w:pPr>
        <w:pStyle w:val="Normal"/>
        <w:spacing w:before="0" w:after="200"/>
        <w:jc w:val="both"/>
        <w:rPr/>
      </w:pPr>
      <w:r>
        <w:rPr>
          <w:i/>
          <w:iCs/>
          <w:color w:val="555555"/>
          <w:sz w:val="20"/>
          <w:szCs w:val="20"/>
        </w:rPr>
        <w:t>Reúne condutas de natureza disciplinar e administrativa, tratadas pelo regimento escolar e pela gestão pedagógica, sem correspondência penal. São, em geral, o primeiro nível de resposta da escola diante de comportamentos que afetam a rotina e a convivência, resolvidas com medidas pedagógicas internas — a menos que se tornem recorrentes ou sinalizem uma dificuldade maior (familiar, emocional, de aprendizagem) que mereça investigação mais atenta.</w:t>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INDISCIPLINA RECORRENTE</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é figura jurídico-penal. É conceito pedagógico-administrativo regido pelo regimento escolar de cada instituição e pelas diretrizes gerais da educação (Lei de Diretrizes e Bases da Educação — LDB).</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“indisciplina recorrente” como categoria disciplinar/pedagógica, distinta das demais categorias de natureza jurídico-penal.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Descumprimento repetido de regras internas (não seguir orientações, desrespeitar horários, desobedecer instruções de professores/funcionários), tratado por medidas pedagógicas e regimentais.</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Lei 9.394/1996 (LDB); regimento escolar da unidade de ensino.</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SAÍDA INJUSTIFICADA DA SALA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há tipo penal correspondente. É infração ao regimento escolar, relacionada ao dever da escola de zelar pela frequência e segurança do estudante durante o período letivo.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o termo; tecnicamente é uma infração ao regimento escolar / dever de frequência, e não uma ocorrência de natureza penal.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Estudante que sai da sala de aula sem autorização do professor ou responsável.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Estatuto da Criança e do Adolescente (Lei 8.069/1990), arts. 53 e 56; regimento escolar da unidade de ensino.</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USO INDEVIDO DE APARELHOS ELETRÔNICOS</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Desde 2025, há lei federal específica: a Lei 15.100/2025 restringe o uso de aparelhos eletrônicos portáteis pessoais (celulares, tablets, videogames) por estudantes da educação básica durante todo o período escolar, incluindo intervalos e atividades extracurriculares, salvo finalidade pedagógica, emergência ou necessidade de saúde comprovada.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O termo está correto; recomenda-se referenciar explicitamente a Lei 15.100/2025 no registro da ocorrência, já que ela agora fundamenta legalmente a restrição.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Uso de celular ou outro dispositivo eletrônico durante aula ou intervalo, fora das exceções previstas em lei e no regimento escolar.</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Lei 15.100/2025; Decreto que a regulamenta em cada rede de ensino.</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TRANSGRESSÃO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é figura jurídico-penal. É conceito pedagógico-administrativo mais amplo que “indisciplina”, usado para descrever o descumprimento de regras, normas ou combinados coletivos da instituição, regido pelo regimento escolar de cada unidade e pelas diretrizes gerais da educação (Lei de Diretrizes e Bases da Educação — LDB, Lei 9.394/1996).</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“transgressão” como categoria disciplinar/pedagógica mais abrangente que “indisciplina recorrente” (voltada a normas de convivência e sala de aula); usar para descumprimentos de regras gerais do regimento não cobertos pelos demais termos desta classificação.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Descumprimento de regras do regimento escolar não enquadrado nas demais categorias — por exemplo, uso indevido de espaços da escola, quebra de combinados coletivos ou desobediência a normas gerais da instituição.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Lei 9.394/1996 (LDB); regimento escolar da unidade de ensino.</w:t>
            </w:r>
          </w:p>
        </w:tc>
      </w:tr>
    </w:tbl>
    <w:p>
      <w:pPr>
        <w:pStyle w:val="Normal"/>
        <w:spacing w:before="0" w:after="200"/>
        <w:jc w:val="both"/>
        <w:rPr>
          <w:sz w:val="16"/>
          <w:szCs w:val="16"/>
        </w:rPr>
      </w:pPr>
      <w:r>
        <w:rPr>
          <w:sz w:val="16"/>
          <w:szCs w:val="16"/>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INCIVILIDADE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é figura jurídico-penal. É termo mais amplo do que “indisciplina”, usado para descrever comportamentos pontuais de desrespeito às normas básicas de convívio coletivo, sem necessariamente configurar descumprimento de uma regra específica ou caráter recorrente. Regido pelo regimento escolar e pelas diretrizes gerais da educação (Lei de Diretrizes e Bases da Educação — LDB, Lei 9.394/1996).</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“incivilidade” como categoria disciplinar/pedagógica mais leve que “indisciplina recorrente”: descreve falhas pontuais de cortesia e convívio coletivo, não a reiteração de descumprimento de regras específicas; se o comportamento se tornar frequente e passar a descumprir norma definida, reclassificar como “indisciplina recorrente”.</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respeitar fila, falar sem pedir a vez, não dividir espaço ou material, barulho excessivo, deixar espaços comuns sujos ou desorganizados — desrespeito pontual a normas básicas de convívio, sem configurar indisciplina, transgressão ou violência.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Lei 9.394/1996 (LDB); regimento escolar da unidade de ensino.</w:t>
            </w:r>
          </w:p>
        </w:tc>
      </w:tr>
    </w:tbl>
    <w:p>
      <w:pPr>
        <w:pStyle w:val="Normal"/>
        <w:spacing w:before="0" w:after="200"/>
        <w:jc w:val="both"/>
        <w:rPr/>
      </w:pPr>
      <w:r>
        <w:rPr/>
      </w:r>
      <w:r>
        <w:br w:type="page"/>
      </w:r>
    </w:p>
    <w:tbl>
      <w:tblPr>
        <w:tblW w:w="9350" w:type="dxa"/>
        <w:jc w:val="start"/>
        <w:tblInd w:w="0" w:type="dxa"/>
        <w:tblLayout w:type="fixed"/>
        <w:tblCellMar>
          <w:top w:w="100" w:type="dxa"/>
          <w:start w:w="150" w:type="dxa"/>
          <w:bottom w:w="100" w:type="dxa"/>
          <w:end w:w="150" w:type="dxa"/>
        </w:tblCellMar>
      </w:tblPr>
      <w:tblGrid>
        <w:gridCol w:w="2500"/>
        <w:gridCol w:w="6823"/>
        <w:gridCol w:w="27"/>
      </w:tblGrid>
      <w:tr>
        <w:trPr/>
        <w:tc>
          <w:tcPr>
            <w:tcW w:w="9323"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pageBreakBefore/>
              <w:spacing w:before="0" w:after="0"/>
              <w:rPr/>
            </w:pPr>
            <w:r>
              <w:rPr/>
              <w:t xml:space="preserve">ATRASO RECORRENTE  </w:t>
            </w:r>
          </w:p>
        </w:tc>
        <w:tc>
          <w:tcPr>
            <w:tcW w:w="27" w:type="dxa"/>
            <w:tcBorders/>
          </w:tcPr>
          <w:p>
            <w:pPr>
              <w:pStyle w:val="Normal"/>
              <w:rPr/>
            </w:pPr>
            <w:r>
              <w:rPr/>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23" w:type="dxa"/>
            <w:tcBorders>
              <w:top w:val="single" w:sz="2" w:space="0" w:color="BFBFBF"/>
              <w:start w:val="single" w:sz="2" w:space="0" w:color="BFBFBF"/>
              <w:bottom w:val="single" w:sz="2" w:space="0" w:color="BFBFBF"/>
              <w:end w:val="single" w:sz="2" w:space="0" w:color="BFBFBF"/>
            </w:tcBorders>
          </w:tcPr>
          <w:p>
            <w:pPr>
              <w:pStyle w:val="Normal"/>
              <w:rPr/>
            </w:pPr>
            <w:r>
              <w:rPr/>
              <w:t>É a reiteração de chegadas atrasadas do estudante ao horário letivo — distinta de “evasão”, pois o estudante comparece, mas de forma intempestiva e recorrente. Regida pelo regimento escolar e pelas diretrizes gerais da educação (LDB). Quando reiterado e sem justificativa razoável, pode ser sinal de negligência familiar quanto ao cuidado com a rotina do estudante, hipótese em que se soma ao dever de comunicação ao Conselho Tutelar (art. 56, ECA).</w:t>
            </w:r>
          </w:p>
        </w:tc>
        <w:tc>
          <w:tcPr>
            <w:tcW w:w="27" w:type="dxa"/>
            <w:tcBorders/>
          </w:tcPr>
          <w:p>
            <w:pPr>
              <w:pStyle w:val="Normal"/>
              <w:rPr/>
            </w:pPr>
            <w:r>
              <w:rPr/>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23" w:type="dxa"/>
            <w:tcBorders>
              <w:top w:val="single" w:sz="2" w:space="0" w:color="BFBFBF"/>
              <w:start w:val="single" w:sz="2" w:space="0" w:color="BFBFBF"/>
              <w:bottom w:val="single" w:sz="2" w:space="0" w:color="BFBFBF"/>
              <w:end w:val="single" w:sz="2" w:space="0" w:color="BFBFBF"/>
            </w:tcBorders>
          </w:tcPr>
          <w:p>
            <w:pPr>
              <w:pStyle w:val="Normal"/>
              <w:rPr/>
            </w:pPr>
            <w:r>
              <w:rPr/>
              <w:t>Manter “atraso recorrente” como categoria própria, distinta de “evasão” (abandono da frequência) e de “saída injustificada da sala” (saída durante a aula); tratado prioritariamente por medidas pedagógicas e regimentais, com atenção redobrada a sinais de negligência quando os atrasos forem frequentes e sem justificativa.</w:t>
            </w:r>
          </w:p>
        </w:tc>
        <w:tc>
          <w:tcPr>
            <w:tcW w:w="27" w:type="dxa"/>
            <w:tcBorders/>
          </w:tcPr>
          <w:p>
            <w:pPr>
              <w:pStyle w:val="Normal"/>
              <w:rPr/>
            </w:pPr>
            <w:r>
              <w:rPr/>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23" w:type="dxa"/>
            <w:tcBorders>
              <w:top w:val="single" w:sz="2" w:space="0" w:color="BFBFBF"/>
              <w:start w:val="single" w:sz="2" w:space="0" w:color="BFBFBF"/>
              <w:bottom w:val="single" w:sz="2" w:space="0" w:color="BFBFBF"/>
              <w:end w:val="single" w:sz="2" w:space="0" w:color="BFBFBF"/>
            </w:tcBorders>
          </w:tcPr>
          <w:p>
            <w:pPr>
              <w:pStyle w:val="Normal"/>
              <w:rPr/>
            </w:pPr>
            <w:r>
              <w:rPr/>
              <w:t>Estudante que chega atrasado à escola ou às aulas de forma repetida, comprometendo o acompanhamento pedagógico e a rotina da turma.</w:t>
            </w:r>
          </w:p>
        </w:tc>
        <w:tc>
          <w:tcPr>
            <w:tcW w:w="27" w:type="dxa"/>
            <w:tcBorders/>
          </w:tcPr>
          <w:p>
            <w:pPr>
              <w:pStyle w:val="Normal"/>
              <w:rPr/>
            </w:pPr>
            <w:r>
              <w:rPr/>
            </w:r>
          </w:p>
        </w:tc>
      </w:tr>
      <w:tr>
        <w:trPr/>
        <w:tc>
          <w:tcPr>
            <w:tcW w:w="2500" w:type="dxa"/>
            <w:tcBorders>
              <w:top w:val="single" w:sz="2" w:space="0" w:color="BFBFBF"/>
              <w:start w:val="single" w:sz="2" w:space="0" w:color="BFBFBF"/>
              <w:bottom w:val="single" w:sz="2" w:space="0" w:color="BFBFBF"/>
            </w:tcBorders>
            <w:shd w:fill="DCE6F1" w:val="clear"/>
          </w:tcPr>
          <w:p>
            <w:pPr>
              <w:pStyle w:val="Normal"/>
              <w:jc w:val="both"/>
              <w:rPr/>
            </w:pPr>
            <w:r>
              <w:rPr>
                <w:b/>
                <w:bCs/>
                <w:color w:val="1F3864"/>
                <w:sz w:val="20"/>
                <w:szCs w:val="20"/>
              </w:rPr>
              <w:t>Fonte</w:t>
            </w:r>
          </w:p>
        </w:tc>
        <w:tc>
          <w:tcPr>
            <w:tcW w:w="6823" w:type="dxa"/>
            <w:tcBorders>
              <w:top w:val="single" w:sz="2" w:space="0" w:color="BFBFBF"/>
              <w:start w:val="single" w:sz="2" w:space="0" w:color="BFBFBF"/>
              <w:bottom w:val="single" w:sz="2" w:space="0" w:color="BFBFBF"/>
              <w:end w:val="single" w:sz="2" w:space="0" w:color="BFBFBF"/>
            </w:tcBorders>
          </w:tcPr>
          <w:p>
            <w:pPr>
              <w:pStyle w:val="Normal"/>
              <w:rPr/>
            </w:pPr>
            <w:r>
              <w:rPr/>
              <w:t>Lei 9.394/1996 (LDB); regimento escolar da unidade de ensino; Estatuto da Criança e do Adolescente, art. 56 (quando associado a sinais de negligência).</w:t>
            </w:r>
          </w:p>
        </w:tc>
        <w:tc>
          <w:tcPr>
            <w:tcW w:w="27" w:type="dxa"/>
            <w:tcBorders/>
          </w:tcPr>
          <w:p>
            <w:pPr>
              <w:pStyle w:val="Normal"/>
              <w:rPr/>
            </w:pPr>
            <w:r>
              <w:rPr/>
            </w:r>
          </w:p>
        </w:tc>
      </w:tr>
      <w:tr>
        <w:trPr/>
        <w:tc>
          <w:tcPr>
            <w:tcW w:w="2500" w:type="dxa"/>
            <w:tcBorders>
              <w:start w:val="single" w:sz="2" w:space="0" w:color="BFBFBF"/>
              <w:bottom w:val="single" w:sz="2" w:space="0" w:color="BFBFBF"/>
              <w:end w:val="single" w:sz="2" w:space="0" w:color="BFBFBF"/>
            </w:tcBorders>
            <w:shd w:fill="DCE6F1" w:val="clear"/>
          </w:tcPr>
          <w:p>
            <w:pPr>
              <w:pStyle w:val="Normal"/>
              <w:jc w:val="both"/>
              <w:rPr/>
            </w:pPr>
            <w:r>
              <w:rPr/>
            </w:r>
          </w:p>
        </w:tc>
        <w:tc>
          <w:tcPr>
            <w:tcW w:w="6823" w:type="dxa"/>
            <w:tcBorders>
              <w:start w:val="single" w:sz="2" w:space="0" w:color="BFBFBF"/>
              <w:bottom w:val="single" w:sz="2" w:space="0" w:color="BFBFBF"/>
              <w:end w:val="single" w:sz="2" w:space="0" w:color="BFBFBF"/>
            </w:tcBorders>
          </w:tcPr>
          <w:p>
            <w:pPr>
              <w:pStyle w:val="Normal"/>
              <w:rPr/>
            </w:pPr>
            <w:r>
              <w:rPr/>
            </w:r>
          </w:p>
        </w:tc>
        <w:tc>
          <w:tcPr>
            <w:tcW w:w="27" w:type="dxa"/>
            <w:tcBorders/>
          </w:tcPr>
          <w:p>
            <w:pPr>
              <w:pStyle w:val="Normal"/>
              <w:rPr/>
            </w:pPr>
            <w:r>
              <w:rPr/>
            </w:r>
          </w:p>
        </w:tc>
      </w:tr>
      <w:tr>
        <w:trPr/>
        <w:tc>
          <w:tcPr>
            <w:tcW w:w="2500" w:type="dxa"/>
            <w:tcBorders>
              <w:start w:val="single" w:sz="2" w:space="0" w:color="BFBFBF"/>
              <w:bottom w:val="single" w:sz="2" w:space="0" w:color="BFBFBF"/>
              <w:end w:val="single" w:sz="2" w:space="0" w:color="BFBFBF"/>
            </w:tcBorders>
            <w:shd w:fill="DCE6F1" w:val="clear"/>
          </w:tcPr>
          <w:p>
            <w:pPr>
              <w:pStyle w:val="Normal"/>
              <w:jc w:val="both"/>
              <w:rPr/>
            </w:pPr>
            <w:r>
              <w:rPr/>
            </w:r>
          </w:p>
        </w:tc>
        <w:tc>
          <w:tcPr>
            <w:tcW w:w="6823" w:type="dxa"/>
            <w:tcBorders>
              <w:start w:val="single" w:sz="2" w:space="0" w:color="BFBFBF"/>
              <w:bottom w:val="single" w:sz="2" w:space="0" w:color="BFBFBF"/>
              <w:end w:val="single" w:sz="2" w:space="0" w:color="BFBFBF"/>
            </w:tcBorders>
          </w:tcPr>
          <w:p>
            <w:pPr>
              <w:pStyle w:val="Normal"/>
              <w:rPr/>
            </w:pPr>
            <w:r>
              <w:rPr/>
            </w:r>
          </w:p>
        </w:tc>
        <w:tc>
          <w:tcPr>
            <w:tcW w:w="27" w:type="dxa"/>
            <w:tcBorders/>
          </w:tcPr>
          <w:p>
            <w:pPr>
              <w:pStyle w:val="Normal"/>
              <w:rPr/>
            </w:pPr>
            <w:r>
              <w:rPr/>
            </w:r>
          </w:p>
        </w:tc>
      </w:tr>
      <w:tr>
        <w:trPr/>
        <w:tc>
          <w:tcPr>
            <w:tcW w:w="9350" w:type="dxa"/>
            <w:gridSpan w:val="3"/>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FRAUDE EM AVALIAÇÃO (COLA)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gridSpan w:val="2"/>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é figura jurídico-penal — não se confunde com falsificação de documento, que exige a criação ou adulteração de documento com fé pública (o que não é o caso da cola em uma avaliação escolar comum). É infração de natureza pedagógico-disciplinar, regida pelo regimento escolar, que normalmente prevê consequências como anulação da prova, refazimento da avaliação ou outras medidas disciplinares. Situação distinta é a falsificação de documentos escolares (boletins, atestados, diplomas), que pode configurar falsidade ideológica ou uso de documento falso (arts. 297 a 299 e 304 do Código Penal).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gridSpan w:val="2"/>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“fraude em avaliação (cola)” como categoria pedagógico-disciplinar, tratada pelo regimento escolar.</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gridSpan w:val="2"/>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Uso de cola, consulta não autorizada, comunicação com colegas durante a prova ou qualquer outro meio de burlar a avaliação individual do estudante.</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gridSpan w:val="2"/>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Lei 9.394/1996 (LDB); regimento escolar da unidade de ensino; Código Penal, arts. 297 a 299 e 304 (apenas quando houver falsificação de documento).</w:t>
            </w:r>
          </w:p>
        </w:tc>
      </w:tr>
    </w:tbl>
    <w:p>
      <w:pPr>
        <w:pStyle w:val="Normal"/>
        <w:rPr/>
      </w:pPr>
      <w:r>
        <w:rPr/>
      </w:r>
    </w:p>
    <w:p>
      <w:pPr>
        <w:pStyle w:val="Heading1"/>
        <w:spacing w:before="300" w:after="100"/>
        <w:jc w:val="both"/>
        <w:rPr/>
      </w:pPr>
      <w:r>
        <w:rPr>
          <w:b/>
          <w:bCs/>
          <w:color w:val="1F3864"/>
          <w:sz w:val="28"/>
          <w:szCs w:val="28"/>
        </w:rPr>
        <w:t>4. Patrimônio escolar</w:t>
      </w:r>
    </w:p>
    <w:p>
      <w:pPr>
        <w:pStyle w:val="Normal"/>
        <w:spacing w:before="0" w:after="200"/>
        <w:jc w:val="both"/>
        <w:rPr/>
      </w:pPr>
      <w:r>
        <w:rPr>
          <w:i/>
          <w:iCs/>
          <w:color w:val="555555"/>
          <w:sz w:val="20"/>
          <w:szCs w:val="20"/>
        </w:rPr>
        <w:t>Reúne condutas contra bens materiais da escola ou de membros da comunidade escolar. Embora tenham menor impacto direto sobre a integridade das pessoas, afetam o senso de segurança e de pertencimento ao espaço escolar — e sua reincidência por parte de um mesmo estudante pode sinalizar dificuldade socioemocional que merece acompanhamento, não apenas reparação do dano.</w:t>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FURTO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Subtrair, para si ou para outrem, coisa alheia móvel, sem violência ou grave ameaça à pessoa (art. 155, caput, do Código Penal). Pena de reclusão de 1 a 4 anos e multa. Se o crime é cometido durante o repouso noturno, a pena é aumentada de um terço (§1º). Se o agente é primário e a coisa furtada é de pequeno valor, o juiz pode substituir a reclusão por detenção, diminuir a pena de um a dois terços ou aplicar somente multa — furto privilegiado (§2º). Há ainda formas qualificadas (§4º e seguintes), com penas mais altas.</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w:t>
            </w:r>
            <w:r>
              <w:rPr>
                <w:color w:val="444444"/>
                <w:sz w:val="20"/>
                <w:szCs w:val="20"/>
              </w:rPr>
              <w:t>Furto” é o termo correto.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Pegar pertences de colega ou da escola sem que a vítima perceba, sem confronto direto, ameaça ou violência.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155.</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ROUBO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Subtrair coisa alheia móvel mediante violência ou grave ameaça à pessoa, ou depois de, por qualquer meio, reduzi-la à impossibilidade de resistência (art. 157, caput, do Código Penal). Pena de reclusão de 4 a 10 anos e multa. Crime mais grave que o furto, pois atinge simultaneamente o patrimônio e a integridade física/liberdade da vítima. A pena é aumentada de um terço até a metade se há concurso de pessoas ou restrição da liberdade da vítima, entre outras hipóteses (§2º), e de dois terços em caso de emprego de arma de fogo (§2º-A).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“roubo” como termo próprio, distinto de “furto”, dado o emprego de violência ou grave ameaça, que torna a conduta significativamente mais grave e exige resposta e encaminhamento diferentes.</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Subtrair bens mediante ameaça, força física ou uso de objeto (inclusive arma) para intimidar a vítima.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157.</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DANO AO PATRIMÔNIO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Corresponde tecnicamente ao crime de dano (art. 163 do Código Penal): destruir, inutilizar ou deteriorar coisa alheia.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w:t>
            </w:r>
            <w:r>
              <w:rPr>
                <w:color w:val="444444"/>
                <w:sz w:val="20"/>
                <w:szCs w:val="20"/>
              </w:rPr>
              <w:t>Dano ao patrimônio” é o termo técnico-jurídico; “depredação” pode ser mantido como sinônimo de uso corrente no registro pedagógico.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Quebrar carteiras ou equipamentos, pichar paredes, danificar materiais escolares ou pertences de colegas.</w:t>
            </w:r>
          </w:p>
        </w:tc>
      </w:tr>
      <w:tr>
        <w:trPr>
          <w:trHeight w:val="485" w:hRule="atLeast"/>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163.</w:t>
            </w:r>
          </w:p>
        </w:tc>
      </w:tr>
    </w:tbl>
    <w:p>
      <w:pPr>
        <w:pStyle w:val="Normal"/>
        <w:spacing w:before="0" w:after="200"/>
        <w:jc w:val="both"/>
        <w:rPr>
          <w:i/>
          <w:iCs/>
          <w:color w:val="555555"/>
          <w:sz w:val="20"/>
          <w:szCs w:val="20"/>
        </w:rPr>
      </w:pPr>
      <w:r>
        <w:rPr>
          <w:i/>
          <w:iCs/>
          <w:color w:val="555555"/>
          <w:sz w:val="20"/>
          <w:szCs w:val="20"/>
        </w:rPr>
      </w:r>
    </w:p>
    <w:p>
      <w:pPr>
        <w:pStyle w:val="Heading1"/>
        <w:spacing w:before="300" w:after="100"/>
        <w:jc w:val="both"/>
        <w:rPr/>
      </w:pPr>
      <w:r>
        <w:rPr>
          <w:b/>
          <w:bCs/>
          <w:color w:val="1F3864"/>
          <w:sz w:val="28"/>
          <w:szCs w:val="28"/>
        </w:rPr>
        <w:t>5. Discriminação e preconceito</w:t>
      </w:r>
    </w:p>
    <w:p>
      <w:pPr>
        <w:pStyle w:val="Normal"/>
        <w:spacing w:before="0" w:after="200"/>
        <w:jc w:val="both"/>
        <w:rPr/>
      </w:pPr>
      <w:r>
        <w:rPr>
          <w:i/>
          <w:iCs/>
          <w:color w:val="555555"/>
          <w:sz w:val="20"/>
          <w:szCs w:val="20"/>
        </w:rPr>
        <w:t>Reúne condutas que atingem a dignidade de um estudante ou grupo em razão de características pessoais — raça, gênero, orientação sexual, religião, deficiência, classe social, origem, entre outras. Pedagogicamente, exigem resposta que vá além da punição individual: acolhimento da vítima, trabalho de sensibilização com a turma e fortalecimento de uma cultura de respeito, além do encaminhamento formal quando a conduta configurar crime. A discriminação tende a se repetir quando não é nomeada e enfrentada — por isso a precisão do termo usado no registro ajuda a evitar que a ocorrência seja minimizada.</w:t>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RACISMO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Crime resultante de discriminação ou preconceito de raça, cor, etnia, religião ou procedência nacional, geralmente dirigido a uma coletividade (Lei 7.716/1989, alterada pela Lei 14.532/2023). É inafiançável e imprescritível (CF, art. 5º, XLII) e a ação penal é pública incondicionada.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w:t>
            </w:r>
            <w:r>
              <w:rPr>
                <w:color w:val="444444"/>
                <w:sz w:val="20"/>
                <w:szCs w:val="20"/>
              </w:rPr>
              <w:t>Racismo” está correto.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Recusa de convívio, segregação, ofensas coletivas dirigidas a grupo racial ou étnico dentro da escola.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Lei 7.716/1989 (alterada pela Lei 14.532/2023); Constituição Federal, art. 5º, XLII.</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INJÚRIA RACIAL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Ofensa à dignidade de pessoa determinada com base em raça, cor, etnia ou procedência nacional. Desde a Lei 14.532/2023, deixou de ser mera injúria qualificada do Código Penal e passou a integrar a própria Lei de Racismo (art. 2º-A da Lei 7.716/89), com pena de reclusão de 2 a 5 anos, sendo também inafiançável e imprescritível.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Quando a ofensa por raça/cor/etnia é dirigida a uma pessoa específica (e não a uma coletividade), o enquadramento correto é “injúria racial”, tecnicamente equiparada a racismo.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Xingamento ou apelido pejorativo dirigido a um estudante específico com base em sua raça, cor, etnia ou origem.</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Lei 7.716/1989, art. 2º-A (incluído pela Lei 14.532/2023).</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DISCRIMINAÇÃO POR ORIENTAÇÃO SEXUAL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há ainda lei federal específica. O STF (ADO 26/2019) determinou que, até edição de lei própria pelo Congresso, a homofobia e a transfobia sejam enquadradas nos tipos penais da Lei 7.716/1989 (Lei do Racismo), por equiparação.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LGBTFobia / Homofobia / Transfobia. Tecnicamente, o enquadramento legal é “discriminação por orientação sexual ou identidade de gênero”, aplicando-se a Lei 7.716/89 por decisão do STF.</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Exclusão, apelidos, humilhação ou agressão de estudante em razão de orientação sexual ou identidade de gênero; recusa em usar o nome social de estudante trans.</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STF, ADO 26 (julgamento em 2019); Lei 7.716/1989 (aplicação por equiparação).</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GORDOFOBIA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existe, até o momento, lei federal que tipifique a gordofobia como crime autônomo (o PL 1.786/2022, que propõe incluí-la na Lei 7.716/89, ainda está em tramitação no Congresso). Quando dirigida a uma pessoa determinada, a ofensa por peso corporal pode configurar injúria (art. 140 do Código Penal) ou, na esfera cível, dano moral.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“gordofobia” como termo descritivo da conduta; para fins de enquadramento legal, registrar como “injúria” (se dirigida a indivíduo específico).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Apelidos, piadas ou exclusão de atividades em razão do peso corporal do estudante.</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140; PL 1.786/2022 (em tramitação — ainda não é lei).</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CAPACITISMO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Discriminação em razão da deficiência: “toda forma de distinção, restrição ou exclusão... que tenha o propósito ou o efeito de prejudicar, impedir ou anular o reconhecimento ou o exercício dos direitos e das liberdades fundamentais de pessoa com deficiência” (art. 4º da Lei 13.146/2015). Praticar, induzir ou incitar essa discriminação é crime, com pena de reclusão de 1 a 3 anos (art. 88 da mesma lei).</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w:t>
            </w:r>
            <w:r>
              <w:rPr>
                <w:color w:val="444444"/>
                <w:sz w:val="20"/>
                <w:szCs w:val="20"/>
              </w:rPr>
              <w:t>Capacitismo” está correto.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Recusa de adaptações razoáveis, exclusão de atividades escolares, apelidos ou piadas relacionados à deficiência de um estudante.</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Lei 13.146/2015 (Lei Brasileira de Inclusão), arts. 4º e 88.</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XENOFOBIA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Discriminação ou preconceito em razão da procedência nacional, tipificada no art. 20 da Lei 7.716/1989. A Lei de Migração reforça, entre seus princípios, o repúdio e a prevenção à xenofobia.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w:t>
            </w:r>
            <w:r>
              <w:rPr>
                <w:color w:val="444444"/>
                <w:sz w:val="20"/>
                <w:szCs w:val="20"/>
              </w:rPr>
              <w:t>Xenofobia” está correto; tecnicamente se enquadra como “discriminação por procedência nacional” (Lei 7.716/89).</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Discriminação contra estudante migrante, estrangeiro, ou de outra região do país, por causa de sua origem.</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Lei 7.716/1989, art. 20; Lei 13.445/2017 (Lei de Migração), art. 3º.</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PRECONCEITO RELIGIOSO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Discriminação ou preconceito em razão de religião, tipificado no art. 20 da Lei 7.716/1989. A liberdade de crença é garantida constitucionalmente (art. 5º, VI, da CF).</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w:t>
            </w:r>
            <w:r>
              <w:rPr>
                <w:color w:val="444444"/>
                <w:sz w:val="20"/>
                <w:szCs w:val="20"/>
              </w:rPr>
              <w:t>Preconceito religioso” está correto.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Zombaria de crenças ou práticas religiosas, proibição do uso de vestimentas/símbolos religiosos, intolerância entre estudantes de religiões diferentes.</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Lei 7.716/1989, art. 20; Constituição Federal, art. 5º, VI.</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PRECONCEITO LINGUÍSTICO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há lei federal específica. É um conceito sociolinguístico (também chamado de “glotofobia”) que descreve a discriminação por sotaque, dialeto ou variação linguística regional ou social. Quando dirigido a um estudante determinado, pode configurar injúria (art. 140 do Código Penal).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“preconceito linguístico”; para fins de registro formal, enquadrar como “injúria” quando individualizado, ou associá-lo ao preconceito de origem regional/social quando pertinente.</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Zombaria do sotaque, forma de falar ou vocabulário de estudantes de outras regiões ou classes sociais.</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140 (quando individualizado); não há lei federal específica sobre preconceito linguístico.</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PRECONCEITO SOCIOECONÔMICO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há tipo penal federal específico. Relaciona-se ao princípio da dignidade da pessoa humana (art. 1º, III, da CF) e, quando dirigido a um estudante determinado, pode configurar injúria (art. 140 do Código Penal).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“preconceito socioeconômico” ou “discriminação social”; para registro formal, enquadrar como “injúria” quando individualizado.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Zombaria por causa de roupas, materiais escolares, condição de moradia ou renda familiar do estudante.</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Constituição Federal, art. 1º, III; Código Penal, art. 140.</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DISCRIMINAÇÃO POR APARÊNCIA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há lei federal específica de alcance geral (existem leis estaduais/municipais pontuais, como as que vedam discriminação capilar). Quando dirigida a um estudante determinado, pode configurar injúria (art. 140 do Código Penal); se a aparência estiver associada a traços raciais (ex.: cabelo, feições), pode configurar racismo/injúria racial.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“discriminação por aparência”; verificar sempre se há sobreposição com gordofobia, racismo ou capacitismo, que têm base legal mais específica.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Comentários ou exclusão por causa de altura, cabelo, roupas, marcas ou cicatrizes visíveis do estudante.</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140; leis estaduais/municipais específicas sobre discriminação capilar, onde existentes.</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DISCRIMINAÇÃO DE GÊNERO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Igualdade entre homens e mulheres garantida constitucionalmente (art. 5º, I, da CF). Quando a ofensa é dirigida a um estudante determinado, pode configurar injúria (art. 140 do Código Penal); diferente da LGBTfobia, o “sexismo” geral ainda não tem entendimento do STF equiparando-o à Lei do Racismo.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w:t>
            </w:r>
            <w:r>
              <w:rPr>
                <w:color w:val="444444"/>
                <w:sz w:val="20"/>
                <w:szCs w:val="20"/>
              </w:rPr>
              <w:t>Discriminação de gênero” ou “sexismo” para maior precisão terminológica.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Tratamento diferenciado entre meninos e meninas, piadas sexistas, proibição de atividades ou brincadeiras por causa do gênero do estudante.</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Constituição Federal, art. 5º, I; Código Penal, art. 140.</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ETARISMO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Discriminação em razão da idade. Não há lei federal geral que a tipifique como crime autônomo fora da proteção específica ao idoso (Estatuto do Idoso, Lei 10.741/2003, aplicável a pessoas com 60 anos ou mais). A idade é elemento da injúria qualificada (art. 140, §3º, do Código Penal) quando a ofensa é dirigida a pessoa determinada.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“etarismo”; no ambiente escolar entre estudantes, o Estatuto do Idoso normalmente não se aplica — o enquadramento mais próximo é a injúria qualificada por idade, quando individualizada.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Discriminação de estudantes repetentes ou mais velhos/novos que a turma, ou preconceito contra professores/funcionários por causa da idade.</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140, §3º; Lei 10.741/2003 (Estatuto do Idoso, aplicável a maiores de 60 anos).</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MACHISMO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é tipo penal autônomo; é termo sociológico que descreve atitude ou sistema de crenças de superioridade masculina e papéis rígidos de gênero. Quando a conduta se dirige a pessoa determinada e ofende sua dignidade, pode configurar injúria (art. 140, CP). A igualdade entre homens e mulheres é garantida constitucionalmente (art. 5º, I, da CF).</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“machismo” como categoria descritiva; ao registrar a ocorrência, indicar se há ofensa individualizada (injúria) ou padrão de tratamento diferenciado por gênero (associar a “discriminação de gênero”).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Comentários, restrição de atividades, brincadeiras ou tratamento diferenciado entre estudantes ou por funcionários com base em estereótipos de gênero.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Constituição Federal, art. 5º, I; Código Penal, art. 140.</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MISOGINIA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é tipo penal autônomo; descreve aversão, desprezo ou discriminação sistemática contra mulheres. É elemento expressamente previsto em lei como circunstância caracterizadora do feminicídio — “menosprezo ou discriminação à condição de mulher” (art. 121-A, §1º, II, do Código Penal, incluído pela Lei 14.994/2024, que tornou o feminicídio crime autônomo; antes disso, era qualificadora do homicídio pelo art. 121, §2º, VI, na redação da Lei 13.104/2015). Fora desse contexto extremo, condutas misóginas dirigidas a pessoa determinada podem configurar injúria (art. 140, CP).</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 xml:space="preserve">Manter “misoginia” como categoria distinta de “machismo”: machismo nomeia o sistema/atitude mais amplo de papéis rígidos de gênero, enquanto misoginia nomeia o grau mais hostil — aversão, desprezo ou ódio dirigido especificamente a mulheres/meninas —, o que ajuda a equipe escolar a identificar sinais de risco mais graves precocemente.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Falas ou condutas de ódio, desprezo ou desqualificação sistemática dirigidas a estudantes ou professoras pelo fato de serem mulheres.</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121-A, §1º, II (incluído pela Lei 14.994/2024); art. 140.</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CLASSISMO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Discriminação baseada em classe social ou condição econômica. Não há tipo penal federal específico; relaciona-se ao princípio da dignidade da pessoa humana (art. 1º, III, da CF) e, quando dirigida a pessoa determinada, pode configurar injúria (art. 140, CP).</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“classismo” (sinônimo de “preconceito socioeconômico” ou “discriminação social”); para registro formal, enquadrar como injúria quando individualizado.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Zombaria, exclusão ou tratamento diferenciado por causa de renda, moradia, profissão dos responsáveis, roupas ou materiais escolares do estudante.</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Constituição Federal, art. 1º, III; Código Penal, art. 140.</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DISCRIMINAÇÃO REGIONAL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Discriminação por origem/procedência de outra região do país. Não há tipificação penal autônoma. Distingue-se da xenofobia, que trata de procedência nacional/estrangeira (Lei 7.716/1989, art. 20). Também não se confunde mais com a antiga injúria qualificada por “origem”: desde a Lei 14.532/2023, o §3º do art. 140 do Código Penal passou a abranger apenas ofensas por religião ou condição de pessoa idosa/com deficiência, pois a qualificadora por raça, cor, etnia e procedência nacional migrou para o art. 2º-A da Lei 7.716/1989. A discriminação por procedência regional dentro do território nacional, quando dirigida a pessoa determinada, configura apenas injúria simples (art. 140, caput, CP), sem qualificadora específica.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“discriminação regional”; diferenciar de “xenofobia” (procedência nacional/estrangeira) e registrar como injúria simples quando individualizada, já que não há qualificadora legal específica para procedência regional interna.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Zombaria, apelidos ou exclusão de estudante por vir de outro estado ou região do Brasil; quando o alvo for o sotaque ou forma de falar, ver também “preconceito linguístico”.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140, caput, e art. 140, §3º (na redação dada pela Lei 14.532/2023); Lei 7.716/1989, arts. 20 e 2º-A, para contraste com xenofobia/procedência nacional.</w:t>
            </w:r>
          </w:p>
        </w:tc>
      </w:tr>
    </w:tbl>
    <w:p>
      <w:pPr>
        <w:pStyle w:val="Normal"/>
        <w:spacing w:before="0" w:after="200"/>
        <w:jc w:val="both"/>
        <w:rPr/>
      </w:pPr>
      <w:r>
        <w:rPr/>
      </w:r>
    </w:p>
    <w:p>
      <w:pPr>
        <w:pStyle w:val="Heading1"/>
        <w:spacing w:before="300" w:after="100"/>
        <w:jc w:val="both"/>
        <w:rPr/>
      </w:pPr>
      <w:r>
        <w:rPr>
          <w:b/>
          <w:bCs/>
          <w:color w:val="1F3864"/>
          <w:sz w:val="28"/>
          <w:szCs w:val="28"/>
        </w:rPr>
        <w:t>6. Violências interpessoais</w:t>
      </w:r>
    </w:p>
    <w:p>
      <w:pPr>
        <w:pStyle w:val="Normal"/>
        <w:spacing w:before="0" w:after="200"/>
        <w:jc w:val="both"/>
        <w:rPr/>
      </w:pPr>
      <w:r>
        <w:rPr>
          <w:i/>
          <w:iCs/>
          <w:color w:val="555555"/>
          <w:sz w:val="20"/>
          <w:szCs w:val="20"/>
        </w:rPr>
        <w:t>Reúne situações em que um membro da comunidade escolar causa dano físico, verbal ou moral a outro, de forma direta e identificável. Pedagogicamente, pedem intervenção imediata para garantir segurança e acolhimento das partes envolvidas, mediação do conflito e, quando cabível, encaminhamento à rede de proteção. A gravidade varia bastante dentro da dimensão — de um xingamento isolado a um crime patrimonial violento —, por isso o registro do termo específico (e não apenas “violência” de forma genérica) é o que permite dimensionar a resposta adequada.</w:t>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AGRESSÃO FÍSICA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Lesão corporal: ofender a integridade corporal ou a saúde de outrem (art. 129 do Código Penal). Quando praticada por adolescente, configura ato infracional análogo à lesão corporal (ECA, art. 103).</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w:t>
            </w:r>
            <w:r>
              <w:rPr>
                <w:color w:val="444444"/>
                <w:sz w:val="20"/>
                <w:szCs w:val="20"/>
              </w:rPr>
              <w:t>Agressão física” está adequado como termo de uso corrente; tecnicamente corresponde a “lesão corporal”.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Socos, empurrões, chutes, arremesso de objetos entre estudantes, ou de adulto contra estudante, causando dor, marca ou lesão.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129; Estatuto da Criança e do Adolescente (Lei 8.069/1990), art. 103.</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AGRESSÃO VERBAL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é um único tipo penal: desdobra-se nos crimes contra a honra — calúnia (art. 138, imputar falsamente fato definido como crime), difamação (art. 139, imputar fato ofensivo à reputação) e injúria (art. 140, ofender a dignidade ou o decoro de alguém).</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“agressão verbal” como categoria pedagógica; ao registrar a ocorrência, especificar se houve xingamento (injúria), fofoca/rumor ofensivo (difamação) ou acusação falsa de crime (calúnia).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Xingamentos, apelidos pejorativos, humilhações e ofensas verbais entre estudantes ou contra funcionários.</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arts. 138, 139 e 140.</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AMEAÇA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Ameaçar alguém, por palavra, escrito, gesto ou qualquer outro meio simbólico, de causar-lhe mal injusto e grave (art. 147 do Código Penal).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w:t>
            </w:r>
            <w:r>
              <w:rPr>
                <w:color w:val="444444"/>
                <w:sz w:val="20"/>
                <w:szCs w:val="20"/>
              </w:rPr>
              <w:t>Ameaça” é o termo tecnicamente correto.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Estudante que ameaça agredir, machucar ou prejudicar colega, professor ou funcionário.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147.</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INTIMIDAÇÃO SISTEMÁTICA (BULLYING)</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Intimidar sistematicamente, individualmente ou em grupo, mediante violência física ou psicológica, uma ou mais pessoas, de modo intencional e repetitivo e sem motivação evidente, por meio de atos de intimidação, humilhação ou discriminação (art. 146-A do Código Penal, incluído pela Lei 14.811/2024). Conceito originalmente definido pela Lei 13.185/2015. Se a repetição decorre de motivação específica (raça, gênero, religião, deficiência etc.), a conduta deve ser classificada como o tipo de discriminação correspondente, e não como bullying.</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w:t>
            </w:r>
            <w:r>
              <w:rPr>
                <w:color w:val="444444"/>
                <w:sz w:val="20"/>
                <w:szCs w:val="20"/>
              </w:rPr>
              <w:t>Intimidação sistemática (bullying)” — é a nomenclatura oficial adotada pela lei.</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Apelidos repetitivos, exclusão social sistemática, humilhação recorrente sem motivação discriminatória específica identificável.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146-A (incluído pela Lei 14.811/2024); Lei 13.185/2015.</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INTIMIDAÇÃO SISTEMÁTICA VIRTUAL (CYBERBULLYING)</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Forma qualificada da intimidação sistemática, praticada por meio da internet, rede social, aplicativos, jogos on-line ou outro ambiente digital, ou transmitida em tempo real — pena de reclusão de 2 a 4 anos (art. 146-A, parágrafo único, do Código Penal).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O termo técnico é “intimidação sistemática virtual (cyberbullying)”; “cyberagressão” pode ser mantido como sinônimo pedagógico.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Ofensas, exposição de fotos/dados pessoais, mensagens intrusivas ou humilhantes em grupos de WhatsApp, redes sociais ou jogos on-line envolvendo estudantes.</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146-A, parágrafo único (incluído pela Lei 14.811/2024).</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INTIMIDAÇÃO (ATO ISOLADO)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se enquadra no tipo penal do art. 146-A do Código Penal (intimidação sistemática/bullying), que exige conduta “intencional e repetitiva” (Lei 13.185/2015; art. 146-A incluído pela Lei 14.811/2024). Um ato isolado, sem reiteração, pode configurar ameaça (art. 147, CP) ou constrangimento ilegal (art. 146, CP), conforme o meio empregado.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Distinguir claramente de “intimidação sistemática (bullying)”; classificar o ato isolado como ameaça ou constrangimento ilegal, conforme o caso, evitando o enquadramento indevido como bullying — que pressupõe repetição.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Episódio único de intimidação, sem indício de continuidade ou de motivação discriminatória específica, entre estudantes ou entre adulto e estudante.</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arts. 146 e 147; art. 146-A, a contrario sensu quanto à exigência de reiteração (incluído pela Lei 14.811/2024); Lei 13.185/2015.</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EXTORSÃO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Constranger alguém, mediante violência ou grave ameaça, com o intuito de obter para si ou para outrem vantagem econômica indevida, a fazer, tolerar que se faça ou deixar de fazer alguma coisa (art. 158 do Código Penal). Pena de reclusão de 4 a 10 anos e multa. A pena é aumentada de um terço até a metade se o crime é cometido por duas ou mais pessoas ou com emprego de arma (§1º). O crime se consuma no momento do constrangimento, independentemente da efetiva obtenção da vantagem.</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w:t>
            </w:r>
            <w:r>
              <w:rPr>
                <w:color w:val="444444"/>
                <w:sz w:val="20"/>
                <w:szCs w:val="20"/>
              </w:rPr>
              <w:t>Extorsão” é o termo tecnicamente adequado; distingue-se do furto/roubo por exigir o constrangimento da própria vítima para que ela entregue o bem ou vantagem.</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Estudante que ameaça, intimida ou coage colega para obter dinheiro, lanche, objetos pessoais ou outra vantagem, sob ameaça de agressão, exposição ou represália.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158.</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SHAMING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é tipo penal autônomo; é termo de uso corrente (do inglês, humilhação pública) para a exposição de alguém a constrangimento ou ridicularização coletiva. Conforme o meio e a gravidade, pode configurar injúria (art. 140, CP) ou difamação (art. 139, CP); se praticado de modo intencional e repetitivo, pode configurar intimidação sistemática/cyberbullying (art. 146-A, incluído pela Lei 14.811/2024); se envolver imagem íntima, pode configurar o crime do art. 218-C (Lei 13.718/2018).</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“shaming” como termo descritivo do fenômeno (ex.: body shaming, slut shaming), classificando tecnicamente conforme o meio e a repetição: injúria/difamação (ato isolado), intimidação sistemática (se repetido) ou divulgação não consensual de imagem íntima (se envolver imagem).</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Exposição pública de estudante para humilhá-lo por causa do corpo, roupas, comportamento ou vida sexual, presencialmente ou em grupos/redes sociais.</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arts. 139, 140 e 146-A (incluído pela Lei 14.811/2024); Lei 13.718/2018 (art. 218-C do CP), quando envolver imagem.</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PERSEGUIÇÃO (STALKING)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Perseguir alguém, reiteradamente e por qualquer meio, ameaçando-lhe a integridade física ou psicológica, restringindo-lhe a capacidade de locomoção ou, de qualquer forma, invadindo ou perturbando sua esfera de liberdade ou privacidade (art. 147-A do Código Penal, incluído pela Lei 14.132/2021). Pena de reclusão de 6 meses a 2 anos e multa. A pena é aumentada da metade se cometida contra criança, adolescente ou idoso (§1º, I), ou mediante concurso de 2 ou mais pessoas ou emprego de arma (§1º, III). Exige-se reiteração — um ato isolado não configura este crime, podendo configurar ameaça (art. 147, CP). Ação penal pública condicionada à representação.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“perseguição (stalking)” como termo próprio, distinto de “intimidação sistemática (bullying)”: o foco aqui é a vigilância/monitoramento reiterado e a invasão de privacidade, não necessariamente humilhação ou motivação discriminatória.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Ex-namorado(a) ou colega que monitora, segue ou vigia reiteradamente outro estudante (presencialmente ou por redes sociais), aparece repetidamente onde a vítima está, ou envia mensagens insistentes mesmo após pedido para parar.</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147-A (incluído pela Lei 14.132/2021).</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LINCHAMENTO VIRTUAL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é tipo penal autônomo. Descreve o ataque coordenado ou espontâneo de múltiplas pessoas contra um mesmo indivíduo em ambiente digital, geralmente após a “viralização” de um conteúdo (foto, vídeo, print, boato). Tecnicamente, cada participante pode responder individualmente por injúria (art. 140, CP), difamação (art. 139, CP) ou calúnia (art. 138, CP), a depender do conteúdo da mensagem; havendo articulação entre duas ou mais pessoas, pode incidir a agravante genérica de promover ou organizar a cooperação no crime (art. 62, I, CP).</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“linchamento virtual” como categoria descritiva do fenômeno coletivo; distinguir de “shaming” (ato de um indivíduo ou grupo pequeno) pela escala e pela viralização envolvendo pessoas fora do círculo direto de convívio do estudante; ao registrar, identificar e qualificar individualmente as condutas de cada participante identificável.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Publicação (foto, vídeo, print de conversa) de um estudante viraliza dentro ou fora da escola, gerando onda de comentários ofensivos, ameaças ou exposição por dezenas de perfis/pessoas, muitas vezes desconhecidas da vítima.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arts. 138, 139, 140 e 62, I.</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ASSÉDIO MORAL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há tipo penal federal autônomo (existem leis municipais/estaduais específicas para a administração pública). É reconhecido pela doutrina e pela jurisprudência como conduta abusiva, reiterada, pessoal e habitual — palavras, gestos, atos ou omissões que visam humilhar, desestabilizar emocionalmente ou degradar a autoestima da vítima ao longo de um período prolongado —, ensejando reparação civil por dano moral (Código Civil, arts. 186 e 927; Constituição Federal, art. 5º, V e X).</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Usar “assédio moral” prioritariamente quando o agressor for um adulto (professor, funcionário, gestor) em posição de autoridade sobre o estudante, já que “intimidação sistemática (bullying)” é, tecnicamente, a nomenclatura legal reservada a condutas entre pares (art. 146-A, CP); quando a conduta partir de estudante contra estudante, preferir “intimidação sistemática”.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Professor ou funcionário que humilha, ridiculariza ou constrange reiteradamente um mesmo estudante — comentários depreciativos recorrentes, exposição negativa perante a turma, tratamento hostil sistemático.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Civil, arts. 186 e 927; Constituição Federal, art. 5º, V e X (sem tipificação penal federal específica).</w:t>
            </w:r>
          </w:p>
        </w:tc>
      </w:tr>
    </w:tbl>
    <w:p>
      <w:pPr>
        <w:pStyle w:val="Normal"/>
        <w:spacing w:before="0" w:after="200"/>
        <w:jc w:val="both"/>
        <w:rPr/>
      </w:pPr>
      <w:r>
        <w:rPr/>
      </w:r>
    </w:p>
    <w:p>
      <w:pPr>
        <w:pStyle w:val="Heading1"/>
        <w:spacing w:before="300" w:after="100"/>
        <w:jc w:val="both"/>
        <w:rPr/>
      </w:pPr>
      <w:r>
        <w:rPr>
          <w:b/>
          <w:bCs/>
          <w:color w:val="1F3864"/>
          <w:sz w:val="28"/>
          <w:szCs w:val="28"/>
          <w:shd w:fill="FFFFFF" w:val="clear"/>
        </w:rPr>
        <w:t>7</w:t>
      </w:r>
      <w:r>
        <w:rPr>
          <w:b/>
          <w:bCs/>
          <w:color w:val="1F3864"/>
          <w:sz w:val="28"/>
          <w:szCs w:val="28"/>
        </w:rPr>
        <w:t>. Situações de risco à vida, à saúde e à segurança</w:t>
      </w:r>
    </w:p>
    <w:p>
      <w:pPr>
        <w:pStyle w:val="Normal"/>
        <w:spacing w:before="0" w:after="200"/>
        <w:jc w:val="both"/>
        <w:rPr/>
      </w:pPr>
      <w:r>
        <w:rPr>
          <w:i/>
          <w:iCs/>
          <w:color w:val="555555"/>
          <w:sz w:val="20"/>
          <w:szCs w:val="20"/>
        </w:rPr>
        <w:t>Reúne condutas ou omissões — muitas vezes fora do controle direto do estudante — que colocam em risco sua integridade física, sua saúde ou seu desenvolvimento. Diferente das demais dimensões, aqui o estudante costuma ser vítima de uma circunstância (negligência familiar, ausência de cuidado, exposição a arma) e não autor de uma infração; a resposta da escola deve priorizar a articulação com a rede de proteção (Conselho Tutelar, saúde, assistência social), e não a responsabilização do estudante.</w:t>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NEGLIGÊNCIA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Privação de cuidados, alimentação, atenção ou educação — deixar de prover as necessidades básicas ao estudante (art. 4º do ECA, dever da família, da comunidade, da sociedade e do Poder Público). Está entre os casos de comunicação obrigatória ao Conselho Tutelar pelos dirigentes de estabelecimentos de ensino fundamental (art. 56, IV, do ECA, inciso incluído pela Lei 15.240/2025). Quando os pais ou responsáveis deixam de prover instrução, pode configurar abandono intelectual (art. 246, CP); em casos mais graves de privação material ou de cuidados, pode configurar abandono material (art. 244, CP) ou abandono de incapaz (art. 133, CP).</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“negligência” como termo próprio; especificar, quando possível, se a privação é material (alimentação, higiene, cuidados de saúde) ou educacional (abandono intelectual), para orientar o encaminhamento correto.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Sinais de que as necessidades básicas do estudante (alimentação, higiene, saúde, acompanhamento escolar) não estão sendo supridas pelos responsáveis, identificados pela escola.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Estatuto da Criança e do Adolescente (Lei 8.069/1990), arts. 4º, 13, 56, IV (incluído pela Lei 15.240/2025), e 245; Código Penal, arts. 133, 244 e 246.</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PORTE DE ARMA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O Estatuto do Desarmamento (Lei 10.826/2003) prevê crimes distintos conforme o tipo de arma e a conduta: porte ilegal de arma de fogo de uso permitido (art. 14, reclusão de 2 a 4 anos e multa) e posse ou porte ilegal de arma de fogo de uso restrito (art. 16, reclusão de 3 a 6 anos e multa, podendo chegar a 4 a 12 anos se a arma for de uso proibido). A mesma lei pune, com pena maior, quem vende, entrega ou fornece arma, acessório, munição ou explosivo a criança ou adolescente (art. 16, parágrafo único). Arma branca (faca, estilete e similares) não se enquadra no Estatuto do Desarmamento, mas o porte com finalidade de intimidação ou agressão pode ser tratado como circunstância agravante de outros crimes (ex.: extorsão, art. 158, §1º, CP) e configura, sempre, infração grave ao regimento escolar.</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Especificar, sempre que possível, se a arma é de fogo (aplica-se o Estatuto do Desarmamento) ou arma branca/objeto adaptado (tratado pelo regimento escolar e, conforme o uso, por outros tipos penais); em qualquer caso, cabe comunicação imediata à direção e, se necessário, à autoridade policial e ao Conselho Tutelar.</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Estudante flagrado portando arma de fogo, arma branca ou objeto adaptado com potencial de causar lesão dentro do ambiente escolar.</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Lei 10.826/2003 (Estatuto do Desarmamento), arts. 14 e 16; Código Penal, art. 158, §1º; Estatuto da Criança e do Adolescente, art. 13 (comunicação ao Conselho Tutelar em situações de risco).</w:t>
            </w:r>
          </w:p>
        </w:tc>
      </w:tr>
    </w:tbl>
    <w:p>
      <w:pPr>
        <w:pStyle w:val="Normal"/>
        <w:spacing w:before="0" w:after="200"/>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rPr/>
            </w:pPr>
            <w:r>
              <w:rPr>
                <w:b/>
                <w:bCs/>
                <w:color w:val="FFFFFF"/>
                <w:sz w:val="22"/>
                <w:szCs w:val="22"/>
              </w:rPr>
              <w:t xml:space="preserve">AUTOMUTILAÇÃO / AUTOLESÃO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rPr/>
            </w:pPr>
            <w:r>
              <w:rPr>
                <w:color w:val="444444"/>
                <w:sz w:val="20"/>
                <w:szCs w:val="20"/>
              </w:rPr>
              <w:t>Ato de causar lesões ao próprio corpo, geralmente como forma de lidar com sofrimento emocional intenso; não é figura jurídico-penal. A Lei 13.819/2019 institui a Política Nacional de Prevenção da Automutilação e do Suicídio, prevendo notificação compulsória e sigilosa dos casos. Desde a Lei 15.231/2025, que alterou a Lei 13.819/2019 e a LDB (Lei 9.394/1996), os estabelecimentos de ensino têm o dever legal expresso de notificar ao Conselho Tutelar os casos de automutilação identificados entre estudantes.</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rPr/>
            </w:pPr>
            <w:r>
              <w:rPr>
                <w:color w:val="444444"/>
                <w:sz w:val="20"/>
                <w:szCs w:val="20"/>
              </w:rPr>
              <w:t>Registrar como “automutilação/autolesão”; a comunicação à família e à direção é obrigatória, e a notificação ao Conselho Tutelar deve seguir o novo dever legal da Lei 15.231/2025 — a escola não deve tratar o caso apenas internamente.</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rPr/>
            </w:pPr>
            <w:r>
              <w:rPr>
                <w:color w:val="444444"/>
                <w:sz w:val="20"/>
                <w:szCs w:val="20"/>
              </w:rPr>
              <w:t>Estudante apresenta cortes, queimaduras ou outras lesões autoprovocadas, com ou sem ideação suicida associada, identificadas ou relatadas no ambiente escolar.</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rPr/>
            </w:pPr>
            <w:r>
              <w:rPr>
                <w:b/>
                <w:bCs/>
                <w:color w:val="1F3864"/>
                <w:sz w:val="20"/>
                <w:szCs w:val="20"/>
              </w:rPr>
              <w:t>Protocolo de resposta</w:t>
            </w:r>
          </w:p>
        </w:tc>
        <w:tc>
          <w:tcPr>
            <w:tcW w:w="6850" w:type="dxa"/>
            <w:tcBorders>
              <w:top w:val="single" w:sz="2" w:space="0" w:color="BFBFBF"/>
              <w:start w:val="single" w:sz="2" w:space="0" w:color="BFBFBF"/>
              <w:bottom w:val="single" w:sz="2" w:space="0" w:color="BFBFBF"/>
              <w:end w:val="single" w:sz="2" w:space="0" w:color="BFBFBF"/>
            </w:tcBorders>
          </w:tcPr>
          <w:p>
            <w:pPr>
              <w:pStyle w:val="Normal"/>
              <w:rPr/>
            </w:pPr>
            <w:r>
              <w:rPr>
                <w:color w:val="444444"/>
                <w:sz w:val="20"/>
                <w:szCs w:val="20"/>
              </w:rPr>
              <w:t>Acolher sem julgamento e sem alarde diante da turma. NÃO pedir para mostrar os ferimentos nem tirar fotos. Comunicar imediatamente a direção e a família. Encaminhar para atendimento de saúde mental (CAPS, UBS, psicólogo) e manter contato com a rede de apoio do estudante. CVV — 188 (apoio emocional, 24h).</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rPr/>
            </w:pPr>
            <w:r>
              <w:rPr>
                <w:color w:val="444444"/>
                <w:sz w:val="20"/>
                <w:szCs w:val="20"/>
              </w:rPr>
              <w:t>Lei 13.819/2019 (Política Nacional de Prevenção da Automutilação e do Suicídio); Lei 15.231/2025 (altera a Lei 13.819/2019 e a LDB); Estatuto da Criança e do Adolescente, arts. 13, 56 e 245.</w:t>
            </w:r>
          </w:p>
        </w:tc>
      </w:tr>
    </w:tbl>
    <w:p>
      <w:pPr>
        <w:pStyle w:val="Normal"/>
        <w:spacing w:before="0" w:after="200"/>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rPr/>
            </w:pPr>
            <w:r>
              <w:rPr>
                <w:b/>
                <w:bCs/>
                <w:color w:val="FFFFFF"/>
                <w:sz w:val="22"/>
                <w:szCs w:val="22"/>
              </w:rPr>
              <w:t xml:space="preserve">IDEAÇÃO OU TENTATIVA DE SUICÍDIO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rPr/>
            </w:pPr>
            <w:r>
              <w:rPr>
                <w:color w:val="444444"/>
                <w:sz w:val="20"/>
                <w:szCs w:val="20"/>
              </w:rPr>
              <w:t>Pensamentos, planejamento ou tentativa de tirar a própria vida; não é figura jurídico-penal. Assim como a automutilação, está sob o alcance da Lei 13.819/2019 (Política Nacional de Prevenção da Automutilação e do Suicídio) e do dever legal de notificação ao Conselho Tutelar introduzido pela Lei 15.231/2025 (que alterou a Lei 13.819/2019 e a LDB) para estabelecimentos de ensino.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rPr/>
            </w:pPr>
            <w:r>
              <w:rPr>
                <w:color w:val="444444"/>
                <w:sz w:val="20"/>
                <w:szCs w:val="20"/>
              </w:rPr>
              <w:t>Registrar como “ideação ou tentativa de suicídio”; tratar sempre como situação de risco iminente à vida, com prioridade máxima de resposta — nunca minimizar ou tratar como “chamar atenção”.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rPr/>
            </w:pPr>
            <w:r>
              <w:rPr>
                <w:color w:val="444444"/>
                <w:sz w:val="20"/>
                <w:szCs w:val="20"/>
              </w:rPr>
              <w:t>Estudante verbaliza pensamentos ou planos suicidas, deixa sinais indiretos (cartas, mudanças bruscas de comportamento, despedidas) ou é identificado em tentativa de suicídio no ambiente escolar ou relatada por terceiros.</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rPr/>
            </w:pPr>
            <w:r>
              <w:rPr>
                <w:b/>
                <w:bCs/>
                <w:color w:val="1F3864"/>
                <w:sz w:val="20"/>
                <w:szCs w:val="20"/>
              </w:rPr>
              <w:t>Protocolo de resposta</w:t>
            </w:r>
          </w:p>
        </w:tc>
        <w:tc>
          <w:tcPr>
            <w:tcW w:w="6850" w:type="dxa"/>
            <w:tcBorders>
              <w:top w:val="single" w:sz="2" w:space="0" w:color="BFBFBF"/>
              <w:start w:val="single" w:sz="2" w:space="0" w:color="BFBFBF"/>
              <w:bottom w:val="single" w:sz="2" w:space="0" w:color="BFBFBF"/>
              <w:end w:val="single" w:sz="2" w:space="0" w:color="BFBFBF"/>
            </w:tcBorders>
          </w:tcPr>
          <w:p>
            <w:pPr>
              <w:pStyle w:val="Normal"/>
              <w:rPr/>
            </w:pPr>
            <w:r>
              <w:rPr>
                <w:color w:val="444444"/>
                <w:sz w:val="20"/>
                <w:szCs w:val="20"/>
              </w:rPr>
              <w:t>Levar SEMPRE a sério, nunca minimizar. Não deixar o estudante sozinho. Comunicar imediatamente a direção e a família. Acionar o CAPS/rede de saúde mental e, em caso de tentativa/risco iminente, o SAMU (192). Evitar exposição do caso para a turma ou nas redes sociais.</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rPr/>
            </w:pPr>
            <w:r>
              <w:rPr>
                <w:color w:val="444444"/>
                <w:sz w:val="20"/>
                <w:szCs w:val="20"/>
              </w:rPr>
              <w:t>Lei 13.819/2019 (Política Nacional de Prevenção da Automutilação e do Suicídio); Lei 15.231/2025 (altera a Lei 13.819/2019 e a LDB); Estatuto da Criança e do Adolescente, arts. 13, 56 e 245.</w:t>
            </w:r>
          </w:p>
        </w:tc>
      </w:tr>
    </w:tbl>
    <w:p>
      <w:pPr>
        <w:pStyle w:val="Normal"/>
        <w:spacing w:before="0" w:after="200"/>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rPr/>
            </w:pPr>
            <w:r>
              <w:rPr>
                <w:b/>
                <w:bCs/>
                <w:color w:val="FFFFFF"/>
                <w:sz w:val="22"/>
                <w:szCs w:val="22"/>
              </w:rPr>
              <w:t xml:space="preserve">USO, PORTE OU CONSUMO DE ÁLCOOL E OUTRAS DROGAS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rPr/>
            </w:pPr>
            <w:r>
              <w:rPr>
                <w:color w:val="444444"/>
                <w:sz w:val="20"/>
                <w:szCs w:val="20"/>
              </w:rPr>
              <w:t>Situações envolvendo consumo, porte ou comercialização de substâncias psicoativas no ambiente escolar. O porte de drogas para consumo pessoal (art. 28 da Lei 11.343/2006) não é punido com prisão, apenas com advertência, prestação de serviços à comunidade ou medida educativa; quando praticado por adolescente, o ato infracional correspondente também não admite medida restritiva de liberdade. Já a comercialização/tráfico (art. 33) é conduta muito mais grave. Fornecer ou vender bebida alcoólica ou droga a criança/adolescente é crime do adulto responsável (ECA, art. 243).</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rPr/>
            </w:pPr>
            <w:r>
              <w:rPr>
                <w:color w:val="444444"/>
                <w:sz w:val="20"/>
                <w:szCs w:val="20"/>
              </w:rPr>
              <w:t>Diferenciar sempre o porte para consumo pessoal (medida educativa/de saúde) da comercialização/tráfico (conduta grave, art. 33 da Lei de Drogas), pois exigem respostas institucionais muito distintas.</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rPr/>
            </w:pPr>
            <w:r>
              <w:rPr>
                <w:color w:val="444444"/>
                <w:sz w:val="20"/>
                <w:szCs w:val="20"/>
              </w:rPr>
              <w:t>Estudante flagrado consumindo, portando álcool ou outras drogas no ambiente escolar ou em atividades vinculadas à escola.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rPr/>
            </w:pPr>
            <w:r>
              <w:rPr>
                <w:b/>
                <w:bCs/>
                <w:color w:val="1F3864"/>
                <w:sz w:val="20"/>
                <w:szCs w:val="20"/>
              </w:rPr>
              <w:t>Protocolo de resposta</w:t>
            </w:r>
          </w:p>
        </w:tc>
        <w:tc>
          <w:tcPr>
            <w:tcW w:w="6850" w:type="dxa"/>
            <w:tcBorders>
              <w:top w:val="single" w:sz="2" w:space="0" w:color="BFBFBF"/>
              <w:start w:val="single" w:sz="2" w:space="0" w:color="BFBFBF"/>
              <w:bottom w:val="single" w:sz="2" w:space="0" w:color="BFBFBF"/>
              <w:end w:val="single" w:sz="2" w:space="0" w:color="BFBFBF"/>
            </w:tcBorders>
          </w:tcPr>
          <w:p>
            <w:pPr>
              <w:pStyle w:val="Normal"/>
              <w:rPr/>
            </w:pPr>
            <w:r>
              <w:rPr>
                <w:color w:val="444444"/>
                <w:sz w:val="20"/>
                <w:szCs w:val="20"/>
              </w:rPr>
              <w:t>Garantir a segurança imediata do estudante (verificar necessidade de atendimento de saúde). Comunicar a direção e a família. Em caso de porte/comercialização, avaliar com a direção a comunicação ao Conselho Tutelar e, se for o caso, à polícia. Encaminhar para a rede de saúde/CAPS-AD.</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rPr/>
            </w:pPr>
            <w:r>
              <w:rPr>
                <w:color w:val="444444"/>
                <w:sz w:val="20"/>
                <w:szCs w:val="20"/>
              </w:rPr>
              <w:t>Lei 11.343/2006 (Lei de Drogas), arts. 28 e 33; Estatuto da Criança e do Adolescente, art. 243.</w:t>
            </w:r>
          </w:p>
        </w:tc>
      </w:tr>
    </w:tbl>
    <w:p>
      <w:pPr>
        <w:pStyle w:val="Normal"/>
        <w:spacing w:before="0" w:after="200"/>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rPr/>
            </w:pPr>
            <w:r>
              <w:rPr>
                <w:b/>
                <w:bCs/>
                <w:color w:val="FFFFFF"/>
                <w:sz w:val="22"/>
                <w:szCs w:val="22"/>
              </w:rPr>
              <w:t xml:space="preserve">INDÍCIOS DE VIOLÊNCIA DOMÉSTICA/FAMILIAR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rPr/>
            </w:pPr>
            <w:r>
              <w:rPr>
                <w:color w:val="444444"/>
                <w:sz w:val="20"/>
                <w:szCs w:val="20"/>
              </w:rPr>
              <w:t>Sinais de que o estudante pode estar sofrendo violência (física, psicológica, sexual) ou negligência em casa. A comunicação ao Conselho Tutelar é obrigatória por lei diante de qualquer suspeita, mesmo sem confirmação (ECA, art. 245, que também prevê multa pela omissão). A Lei 13.431/2017 (Lei da Escuta Protegida) estabelece que a escola não deve reinquirir repetidamente a criança sobre o ocorrido, para evitar revitimização.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rPr/>
            </w:pPr>
            <w:r>
              <w:rPr>
                <w:color w:val="444444"/>
                <w:sz w:val="20"/>
                <w:szCs w:val="20"/>
              </w:rPr>
              <w:t xml:space="preserve">Registrar como “indícios de violência doméstica/familiar”; a escola </w:t>
            </w:r>
            <w:r>
              <w:rPr>
                <w:b/>
                <w:bCs/>
                <w:color w:val="444444"/>
                <w:sz w:val="20"/>
                <w:szCs w:val="20"/>
              </w:rPr>
              <w:t>não</w:t>
            </w:r>
            <w:r>
              <w:rPr>
                <w:color w:val="444444"/>
                <w:sz w:val="20"/>
                <w:szCs w:val="20"/>
              </w:rPr>
              <w:t xml:space="preserve"> deve investigar, confrontar a família ou buscar confirmação — apenas observar, documentar e comunicar.</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rPr/>
            </w:pPr>
            <w:r>
              <w:rPr>
                <w:color w:val="444444"/>
                <w:sz w:val="20"/>
                <w:szCs w:val="20"/>
              </w:rPr>
              <w:t>Sinais físicos (machucados incompatíveis com a explicação dada), comportamentais (medo, retraimento, agressividade súbita) ou relatos espontâneos do estudante que sugiram violência ou negligência praticada por familiares ou responsáveis.</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rPr/>
            </w:pPr>
            <w:r>
              <w:rPr>
                <w:b/>
                <w:bCs/>
                <w:color w:val="1F3864"/>
                <w:sz w:val="20"/>
                <w:szCs w:val="20"/>
              </w:rPr>
              <w:t>Protocolo de resposta</w:t>
            </w:r>
          </w:p>
        </w:tc>
        <w:tc>
          <w:tcPr>
            <w:tcW w:w="6850" w:type="dxa"/>
            <w:tcBorders>
              <w:top w:val="single" w:sz="2" w:space="0" w:color="BFBFBF"/>
              <w:start w:val="single" w:sz="2" w:space="0" w:color="BFBFBF"/>
              <w:bottom w:val="single" w:sz="2" w:space="0" w:color="BFBFBF"/>
              <w:end w:val="single" w:sz="2" w:space="0" w:color="BFBFBF"/>
            </w:tcBorders>
          </w:tcPr>
          <w:p>
            <w:pPr>
              <w:pStyle w:val="Normal"/>
              <w:rPr/>
            </w:pPr>
            <w:r>
              <w:rPr>
                <w:color w:val="444444"/>
                <w:sz w:val="20"/>
                <w:szCs w:val="20"/>
              </w:rPr>
              <w:t>A comunicação ao Conselho Tutelar é OBRIGATÓRIA por lei (art. 245 do ECA), mesmo que sejam apenas indícios. Não cabe à escola investigar ou confirmar o caso. Documentar os sinais observados e acolher o estudante sem confrontar a família.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rPr/>
            </w:pPr>
            <w:r>
              <w:rPr>
                <w:color w:val="444444"/>
                <w:sz w:val="20"/>
                <w:szCs w:val="20"/>
              </w:rPr>
              <w:t>Estatuto da Criança e do Adolescente, arts. 13, 56 e 245; Lei 13.431/2017 (Lei da Escuta Protegida).</w:t>
            </w:r>
          </w:p>
        </w:tc>
      </w:tr>
    </w:tbl>
    <w:p>
      <w:pPr>
        <w:pStyle w:val="Normal"/>
        <w:spacing w:before="0" w:after="200"/>
        <w:rPr/>
      </w:pPr>
      <w:r>
        <w:rPr/>
      </w:r>
    </w:p>
    <w:p>
      <w:pPr>
        <w:pStyle w:val="Heading1"/>
        <w:spacing w:before="300" w:after="100"/>
        <w:jc w:val="both"/>
        <w:rPr>
          <w:b/>
          <w:bCs/>
          <w:color w:val="1F3864"/>
          <w:sz w:val="28"/>
          <w:szCs w:val="28"/>
        </w:rPr>
      </w:pPr>
      <w:r>
        <w:rPr>
          <w:b/>
          <w:bCs/>
          <w:color w:val="1F3864"/>
          <w:sz w:val="28"/>
          <w:szCs w:val="28"/>
        </w:rPr>
        <w:t>8. Violência sexual</w:t>
      </w:r>
    </w:p>
    <w:p>
      <w:pPr>
        <w:pStyle w:val="Normal"/>
        <w:spacing w:before="0" w:after="200"/>
        <w:jc w:val="both"/>
        <w:rPr/>
      </w:pPr>
      <w:r>
        <w:rPr>
          <w:i/>
          <w:iCs/>
          <w:color w:val="555555"/>
          <w:sz w:val="20"/>
          <w:szCs w:val="20"/>
        </w:rPr>
        <w:t>Reúne condutas que violam a dignidade sexual de um estudante, identificadas ou reveladas no ambiente escolar. É a dimensão que exige o protocolo mais rígido de atuação: cabe à escola acolher quem relata, sem investigar ou julgar o caso, e comunicar imediata e obrigatoriamente o Conselho Tutelar e, quando necessário, a autoridade policial.</w:t>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ASSÉDIO SEXUAL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Constranger alguém com o intuito de obter vantagem ou favorecimento sexual, prevalecendo-se o agente de sua condição de superior hierárquico ou ascendência inerentes ao exercício de emprego, cargo ou função (art. 216-A do Código Penal, pena de 1 a 2 anos). Exige relação de hierarquia — não se aplica, tecnicamente, a condutas entre estudantes do mesmo nível.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 xml:space="preserve">Usar “assédio sexual” apenas quando houver relação de hierarquia (ex.: funcionário/professor em posição de ascendência sobre o estudante). Entre estudantes </w:t>
            </w:r>
            <w:r>
              <w:rPr>
                <w:b/>
                <w:bCs/>
                <w:color w:val="444444"/>
                <w:sz w:val="20"/>
                <w:szCs w:val="20"/>
              </w:rPr>
              <w:t>sem</w:t>
            </w:r>
            <w:r>
              <w:rPr>
                <w:color w:val="444444"/>
                <w:sz w:val="20"/>
                <w:szCs w:val="20"/>
              </w:rPr>
              <w:t xml:space="preserve"> relação hierárquica, o termo tecnicamente correto é “importunação sexual” (art. 215-A) ou, conforme a idade da vítima e a gravidade do ato, “estupro de vulnerável” (art. 217-A) ou “estupro” (art. 213).</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(a) Funcionário/professor que usa sua posição para constranger estudante a favor sexual = assédio sexual. (b) Estudante que pratica ato contra colega sem relação hierárquica = reclassificar conforme o caso (importunação sexual, estupro de vulnerável ou estupro).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arts. 215-A, 216-A e 217-A.</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IMPORTUNAÇÃO SEXUAL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Praticar contra alguém e sem a sua anuência ato libidinoso com o objetivo de satisfazer a própria lascívia ou a de terceiro (art. 215-A do Código Penal, incluído pela Lei 13.718/2018). Pena de reclusão de 1 a 5 anos, se o ato não constituir crime mais grave. Diferencia-se do estupro e do estupro de vulnerável por não empregar violência ou grave ameaça e não envolver conjunção carnal; a jurisprudência do STJ veda a desclassificação do estupro de vulnerável (art. 217-A) para este tipo, que é subsidiário.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É o termo tecnicamente correto para o ato libidinoso não consentido praticado entre pessoas sem relação de hierarquia e sem violência ou grave ameaça — preenche a lacuna entre “assédio sexual” (exige hierarquia) e “abuso sexual”/“estupro de vulnerável” (voltados a vítima menor de 14 anos ou a atos mais graves).</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Toque, contato físico ou ato libidinoso indesejado entre estudantes (ou de estudante contra outro membro da comunidade escolar sem relação hierárquica), sem emprego de violência ou grave ameaça e sem conjunção carnal. Se a vítima for menor de 14 anos, reclassificar como estupro de vulnerável (art. 217-A).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215-A (incluído pela Lei 13.718/2018).</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ABUSO SEXUAL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é, isoladamente, um tipo penal: é termo social/genérico que abrange os crimes contra a dignidade sexual de crianças e adolescentes, principalmente o estupro de vulnerável (art. 217-A do Código Penal — praticar conjunção carnal ou qualquer ato libidinoso com menor de 14 anos, pena de 8 a 15 anos, com violência presumida) e as condutas do ECA relativas a exploração sexual e pornografia infantil (arts. 240 a 241-C).</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“abuso sexual” como categoria de acolhimento inicial, qualificando tecnicamente conforme o caso concreto: “estupro de vulnerável” (vítima menor de 14 anos), “estupro” ou “importunação sexual” (adolescente acima de 14 anos, conforme haja ou não violência/grave ameaça e conjunção carnal/ato libidinoso). Em qualquer hipótese, comunicação obrigatória ao Conselho Tutelar.</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Qualquer situação envolvendo contato sexual, exposição, aliciamento ou suspeita de exploração sexual de estudante, revelada ou identificada no ambiente escolar.</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217-A; Estatuto da Criança e do Adolescente (Lei 8.069/1990), arts. 5º, 13, 70-A, 240-241-C e 245; Lei 13.431/2017.</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DIVULGAÇÃO NÃO CONSENSUAL DE IMAGEM ÍNTIMA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Oferecer, trocar, disponibilizar, transmitir, vender ou expor à venda, distribuir, publicar ou divulgar, por qualquer meio, fotografia, vídeo ou outro registro audiovisual contendo cena de sexo, nudez ou pornografia, sem o consentimento da vítima (art. 218-C do Código Penal, incluído pela Lei 13.718/2018). Pena de reclusão de 1 a 5 anos, se o fato não constituir crime mais grave; a pena é aumentada de 1/3 a 2/3 se o agente mantém ou manteve relação íntima de afeto com a vítima ou agiu por vingança ou humilhação (§1º).</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w:t>
            </w:r>
            <w:r>
              <w:rPr>
                <w:color w:val="444444"/>
                <w:sz w:val="20"/>
                <w:szCs w:val="20"/>
              </w:rPr>
              <w:t>Divulgação não consensual de imagem íntima” está correto.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Compartilhamento, em grupos de WhatsApp, redes sociais ou presencialmente, de fotos ou vídeos íntimos de estudante sem autorização. Quando a vítima for menor de 18 anos, aplica-se também o ECA quanto à produção, ao armazenamento e à divulgação de pornografia infantil.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218-C (incluído pela Lei 13.718/2018); Estatuto da Criança e do Adolescente (Lei 8.069/1990), arts. 240 a 241-C, quando a vítima for criança ou adolescente.</w:t>
            </w:r>
          </w:p>
        </w:tc>
      </w:tr>
    </w:tbl>
    <w:p>
      <w:pPr>
        <w:pStyle w:val="Normal"/>
        <w:spacing w:before="0" w:after="200"/>
        <w:jc w:val="both"/>
        <w:rPr>
          <w:i/>
          <w:iCs/>
          <w:color w:val="555555"/>
          <w:sz w:val="20"/>
          <w:szCs w:val="20"/>
        </w:rPr>
      </w:pPr>
      <w:r>
        <w:rPr>
          <w:i/>
          <w:iCs/>
          <w:color w:val="555555"/>
          <w:sz w:val="20"/>
          <w:szCs w:val="20"/>
        </w:rPr>
      </w:r>
    </w:p>
    <w:p>
      <w:pPr>
        <w:pStyle w:val="Heading1"/>
        <w:spacing w:before="300" w:after="100"/>
        <w:jc w:val="both"/>
        <w:rPr/>
      </w:pPr>
      <w:r>
        <w:rPr>
          <w:b/>
          <w:bCs/>
          <w:color w:val="1F3864"/>
          <w:sz w:val="28"/>
          <w:szCs w:val="28"/>
        </w:rPr>
        <w:t>Observações finais para a revisão</w:t>
      </w:r>
    </w:p>
    <w:p>
      <w:pPr>
        <w:pStyle w:val="Normal"/>
        <w:spacing w:before="0" w:after="100"/>
        <w:jc w:val="both"/>
        <w:rPr>
          <w:color w:val="444444"/>
          <w:sz w:val="20"/>
          <w:szCs w:val="20"/>
        </w:rPr>
      </w:pPr>
      <w:r>
        <w:rPr>
          <w:color w:val="444444"/>
          <w:sz w:val="20"/>
          <w:szCs w:val="20"/>
        </w:rPr>
      </w:r>
    </w:p>
    <w:p>
      <w:pPr>
        <w:pStyle w:val="Normal"/>
        <w:spacing w:before="0" w:after="100"/>
        <w:jc w:val="both"/>
        <w:rPr/>
      </w:pPr>
      <w:r>
        <w:rPr>
          <w:b w:val="false"/>
          <w:bCs w:val="false"/>
          <w:color w:val="444444"/>
          <w:sz w:val="20"/>
          <w:szCs w:val="20"/>
        </w:rPr>
        <w:t>1. Ponto de atenção: “intimidação (ato isolado)” foi incluída propositalmente para diferenciar-se de “intimidação sistemática (bullying)” — a legislação (art. 146-A do CP) exige reiteração para a configuração do bullying; um ato único deve ser registrado como ameaça ou constrangimento ilegal.</w:t>
      </w:r>
    </w:p>
    <w:p>
      <w:pPr>
        <w:pStyle w:val="Normal"/>
        <w:spacing w:before="0" w:after="100"/>
        <w:jc w:val="both"/>
        <w:rPr/>
      </w:pPr>
      <w:r>
        <w:rPr>
          <w:b w:val="false"/>
          <w:bCs w:val="false"/>
          <w:color w:val="C00000"/>
          <w:sz w:val="20"/>
          <w:szCs w:val="20"/>
        </w:rPr>
        <w:t>2. Ponto de atenção especial: em “assédio sexual”, “importunação sexual” e “abuso sexual”, o enquadramento técnico depende de haver ou não relação de hierarquia entre as partes, de haver ou não violência/grave ameaça, e da idade da vítima. Como referência geral: assédio sexual exige hierarquia; importunação sexual cobre o ato libidinoso não consentido entre pessoas sem hierarquia e sem violência/grave ameaça; estupro (de vulnerável ou não) exige violência/grave ameaça, conjunção carnal ou vítima menor de 14 anos. Recomenda-se treinar a equipe para diferenciar essas situações no momento do registro, sem prejuízo do dever de comunicação imediata ao Conselho Tutelar em casos envolvendo crianças e adolescentes.</w:t>
      </w:r>
    </w:p>
    <w:p>
      <w:pPr>
        <w:pStyle w:val="Normal"/>
        <w:spacing w:before="0" w:after="100"/>
        <w:jc w:val="both"/>
        <w:rPr/>
      </w:pPr>
      <w:r>
        <w:rPr>
          <w:b w:val="false"/>
          <w:bCs w:val="false"/>
          <w:color w:val="C00000"/>
          <w:sz w:val="20"/>
          <w:szCs w:val="20"/>
        </w:rPr>
        <w:t>3. Ponto de atenção especial: em “misoginia”, o enquadramento como circunstância do feminicídio (art. 121-A, CP) só se aplica a casos de morte; no ambiente escolar, o registro correto é discriminação de gênero/injúria, salvo risco efetivo à vida, quando a comunicação imediata às autoridades é obrigatória.</w:t>
      </w:r>
    </w:p>
    <w:p>
      <w:pPr>
        <w:pStyle w:val="Normal"/>
        <w:spacing w:before="0" w:after="100"/>
        <w:jc w:val="both"/>
        <w:rPr/>
      </w:pPr>
      <w:r>
        <w:rPr>
          <w:b w:val="false"/>
          <w:bCs w:val="false"/>
          <w:color w:val="C00000"/>
          <w:sz w:val="20"/>
          <w:szCs w:val="20"/>
        </w:rPr>
        <w:t>4. Ponto de atenção especial: a Dimensão 8 (comportamentos típicos da primeira infância) usa lógica distinta das demais — crianças da educação infantil são absolutamente inimputáveis (ECA, art. 104), e episódios como mordida, birra ou disputa por brinquedos são, em regra, parte esperada do desenvolvimento, não infrações a serem punidas. Evitar aplicar a essas crianças os termos das dimensões 1 a 6 (ex.: “agressão física”, “indisciplina recorrente”), reservados a condutas de estudantes com maior maturidade e compreensão da norma.</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SimSun" w:cs="Arial"/>
      <w:color w:val="auto"/>
      <w:kern w:val="0"/>
      <w:sz w:val="20"/>
      <w:szCs w:val="20"/>
      <w:lang w:val="pt-BR"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derodap">
    <w:name w:val="Caracteres de nota de rodapé"/>
    <w:uiPriority w:val="99"/>
    <w:semiHidden/>
    <w:unhideWhenUsed/>
    <w:qFormat/>
    <w:rPr>
      <w:vertAlign w:val="superscript"/>
    </w:rPr>
  </w:style>
  <w:style w:type="character" w:styleId="Caracteresdenotaderodapuser">
    <w:name w:val="Caracteres de nota de rodapé (user)"/>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defim">
    <w:name w:val="Caracteres de nota de fim"/>
    <w:uiPriority w:val="99"/>
    <w:semiHidden/>
    <w:unhideWhenUsed/>
    <w:qFormat/>
    <w:rPr>
      <w:vertAlign w:val="superscript"/>
    </w:rPr>
  </w:style>
  <w:style w:type="character" w:styleId="Caracteresdenotadefimuser">
    <w:name w:val="Caracteres de nota de fim (user)"/>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Title">
    <w:name w:val="Title"/>
    <w:basedOn w:val="Ttulo"/>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NSimSun" w:cs="Arial"/>
      <w:b/>
      <w:bCs/>
      <w:color w:val="auto"/>
      <w:kern w:val="0"/>
      <w:sz w:val="20"/>
      <w:szCs w:val="20"/>
      <w:lang w:val="pt-BR"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NSimSun" w:cs="Arial"/>
      <w:color w:val="auto"/>
      <w:kern w:val="0"/>
      <w:sz w:val="20"/>
      <w:szCs w:val="20"/>
      <w:lang w:val="pt-B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85</TotalTime>
  <Application>LibreOffice/26.2.5.2$Windows_X86_64 LibreOffice_project/cd7284b4cbbfeb507e630c1aac019f4157393acb</Application>
  <AppVersion>15.0000</AppVersion>
  <Pages>23</Pages>
  <Words>8978</Words>
  <Characters>52932</Characters>
  <CharactersWithSpaces>61465</CharactersWithSpaces>
  <Paragraphs>550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2026-08-25T11:44:27Z</dcterms:created>
  <dc:creator>Un-named</dc:creator>
  <dc:description/>
  <dc:language>pt-BR</dc:language>
  <cp:lastModifiedBy/>
  <dcterms:modified xsi:type="dcterms:W3CDTF">2026-08-25T16:22:07Z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