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e4ae0ff7c515844541ee5a64443b9b0eff9ac5f1.png"/>
            <a:graphic>
              <a:graphicData uri="http://schemas.openxmlformats.org/drawingml/2006/picture">
                <pic:pic>
                  <pic:nvPicPr>
                    <pic:cNvPr id="1" name="image-e4ae0ff7c515844541ee5a64443b9b0eff9ac5f1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Content Transfer Tool Documentation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</w:t>
      </w:r>
      <w:r>
        <w:rPr>
          <w:rFonts w:eastAsia="inter" w:cs="inter" w:ascii="inter" w:hAnsi="inter"/>
          <w:b/>
          <w:color w:val="000000"/>
        </w:rPr>
        <w:t xml:space="preserve">Content Transfer Tool (CTT)</w:t>
      </w:r>
      <w:r>
        <w:rPr>
          <w:rFonts w:eastAsia="inter" w:cs="inter" w:ascii="inter" w:hAnsi="inter"/>
          <w:color w:val="000000"/>
        </w:rPr>
        <w:t xml:space="preserve"> is Adobe's official solution for migrating content from on-premise or Adobe Managed Services (AMS) hosted Adobe Experience Manager (AEM) instances to AEM as a Cloud Service. This tool streamlines the migration process by automating content transfer while integrating seamlessly with the Cloud Acceleration Manager (CAM).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Definition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Content Transfer Tool is a specialized migration utility developed by Adobe that facilitates the transfer of existing content from a source AEM instance (version 6.3 or higher) to a target AEM Cloud Service instance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 The tool also automatically transfers user groups and maintains content integrity throughout the migration process</w:t>
      </w:r>
      <w:bookmarkStart w:id="1" w:name="fnref1:1"/>
      <w:bookmarkEnd w:id="1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 CTT operates through a two-phase approach: </w:t>
      </w:r>
      <w:r>
        <w:rPr>
          <w:rFonts w:eastAsia="inter" w:cs="inter" w:ascii="inter" w:hAnsi="inter"/>
          <w:b/>
          <w:color w:val="000000"/>
        </w:rPr>
        <w:t xml:space="preserve">extraction</w:t>
      </w:r>
      <w:r>
        <w:rPr>
          <w:rFonts w:eastAsia="inter" w:cs="inter" w:ascii="inter" w:hAnsi="inter"/>
          <w:color w:val="000000"/>
        </w:rPr>
        <w:t xml:space="preserve"> and </w:t>
      </w:r>
      <w:r>
        <w:rPr>
          <w:rFonts w:eastAsia="inter" w:cs="inter" w:ascii="inter" w:hAnsi="inter"/>
          <w:b/>
          <w:color w:val="000000"/>
        </w:rPr>
        <w:t xml:space="preserve">ingestion</w:t>
      </w:r>
      <w:r>
        <w:rPr>
          <w:rFonts w:eastAsia="inter" w:cs="inter" w:ascii="inter" w:hAnsi="inter"/>
          <w:color w:val="000000"/>
        </w:rPr>
        <w:t xml:space="preserve">, utilizing temporary cloud storage managed by Adobe for intermediate content storage</w:t>
      </w:r>
      <w:bookmarkStart w:id="2" w:name="fnref1:2"/>
      <w:bookmarkEnd w:id="2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3" w:name="fnref2"/>
      <w:bookmarkEnd w:id="3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Prerequisites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Before implementing the Content Transfer Tool, several technical and environmental prerequisites must be met: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System Requirements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AEM Version</w:t>
      </w:r>
      <w:r>
        <w:rPr>
          <w:rFonts w:eastAsia="inter" w:cs="inter" w:ascii="inter" w:hAnsi="inter"/>
          <w:color w:val="000000"/>
          <w:sz w:val="21"/>
        </w:rPr>
        <w:t xml:space="preserve">: Source AEM instance must be version 6.3 or higher</w:t>
      </w:r>
      <w:bookmarkStart w:id="4" w:name="fnref3"/>
      <w:bookmarkEnd w:id="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Java Environment</w:t>
      </w:r>
      <w:r>
        <w:rPr>
          <w:rFonts w:eastAsia="inter" w:cs="inter" w:ascii="inter" w:hAnsi="inter"/>
          <w:color w:val="000000"/>
          <w:sz w:val="21"/>
        </w:rPr>
        <w:t xml:space="preserve">: Java 8 must be configured on the AEM environment</w:t>
      </w:r>
      <w:bookmarkStart w:id="5" w:name="fnref4"/>
      <w:bookmarkEnd w:id="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User Permissions</w:t>
      </w:r>
      <w:r>
        <w:rPr>
          <w:rFonts w:eastAsia="inter" w:cs="inter" w:ascii="inter" w:hAnsi="inter"/>
          <w:color w:val="000000"/>
          <w:sz w:val="21"/>
        </w:rPr>
        <w:t xml:space="preserve">: Users must have administrative permissions on both source and target environments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Repository Size Limitations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Segment Store</w:t>
      </w:r>
      <w:r>
        <w:rPr>
          <w:rFonts w:eastAsia="inter" w:cs="inter" w:ascii="inter" w:hAnsi="inter"/>
          <w:color w:val="000000"/>
          <w:sz w:val="21"/>
        </w:rPr>
        <w:t xml:space="preserve">: Maximum 750 million JCR nodes and up to 500 GB (online compacted size) on Author environments, 50 GB on Publish environments</w:t>
      </w:r>
      <w:bookmarkStart w:id="6" w:name="fnref3:1"/>
      <w:bookmarkEnd w:id="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Total Content Repository</w:t>
      </w:r>
      <w:r>
        <w:rPr>
          <w:rFonts w:eastAsia="inter" w:cs="inter" w:ascii="inter" w:hAnsi="inter"/>
          <w:color w:val="000000"/>
          <w:sz w:val="21"/>
        </w:rPr>
        <w:t xml:space="preserve">: Up to 20 terabytes for File Data Store types</w:t>
      </w:r>
      <w:bookmarkStart w:id="7" w:name="fnref3:2"/>
      <w:bookmarkEnd w:id="7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Lucene Index Size</w:t>
      </w:r>
      <w:r>
        <w:rPr>
          <w:rFonts w:eastAsia="inter" w:cs="inter" w:ascii="inter" w:hAnsi="inter"/>
          <w:color w:val="000000"/>
          <w:sz w:val="21"/>
        </w:rPr>
        <w:t xml:space="preserve">: Maximum 25 GB total, excluding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/oak:index/lucene</w:t>
      </w:r>
      <w:r>
        <w:rPr>
          <w:rFonts w:eastAsia="inter" w:cs="inter" w:ascii="inter" w:hAnsi="inter"/>
          <w:color w:val="000000"/>
          <w:sz w:val="21"/>
        </w:rPr>
        <w:t xml:space="preserve">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/oak:index/damAssetLucene</w:t>
      </w:r>
      <w:bookmarkStart w:id="8" w:name="fnref3:3"/>
      <w:bookmarkEnd w:id="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Network Connectivity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Source AEM instance must have access to Azure blob storage service: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casstorageprod.blob.core.windows.net</w:t>
      </w:r>
      <w:bookmarkStart w:id="9" w:name="fnref5"/>
      <w:bookmarkEnd w:id="9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Proper firewall configuration to allow communication with Adobe's cloud infrastructure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Pre-Migration Preparation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Execute revision cleanup and data store consistency checks on the source repository</w:t>
      </w:r>
      <w:bookmarkStart w:id="10" w:name="fnref4:1"/>
      <w:bookmarkEnd w:id="10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Ensure sufficient disk space in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crx-quickstart</w:t>
      </w:r>
      <w:r>
        <w:rPr>
          <w:rFonts w:eastAsia="inter" w:cs="inter" w:ascii="inter" w:hAnsi="inter"/>
          <w:color w:val="000000"/>
          <w:sz w:val="21"/>
        </w:rPr>
        <w:t xml:space="preserve"> subdirectory (1.5 times the current repository size recommended)</w:t>
      </w:r>
      <w:bookmarkStart w:id="11" w:name="fnref6"/>
      <w:bookmarkEnd w:id="11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Run Data Store Garbage Collection within seven days prior to migration</w:t>
      </w:r>
      <w:bookmarkStart w:id="12" w:name="fnref7"/>
      <w:bookmarkEnd w:id="12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Installation Steps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Source Environment Installation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Step 1: Download the Tool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Access the Software Distribution Portal through Adobe Experience Cloud</w:t>
      </w:r>
      <w:bookmarkStart w:id="13" w:name="fnref5:1"/>
      <w:bookmarkEnd w:id="13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Navigate to AEM as a Cloud Service section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Search for "Content Transfer Tool" and download the latest version (2.0.0 or higher)</w:t>
      </w:r>
      <w:bookmarkStart w:id="14" w:name="fnref5:2"/>
      <w:bookmarkEnd w:id="14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Step 2: Install via Package Manager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Log into your source AEM instance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Navigate to </w:t>
      </w:r>
      <w:r>
        <w:rPr>
          <w:rFonts w:eastAsia="inter" w:cs="inter" w:ascii="inter" w:hAnsi="inter"/>
          <w:b/>
          <w:color w:val="000000"/>
          <w:sz w:val="21"/>
        </w:rPr>
        <w:t xml:space="preserve">Tools &gt; Deployment &gt; Packages</w:t>
      </w:r>
      <w:bookmarkStart w:id="15" w:name="fnref5:3"/>
      <w:bookmarkEnd w:id="1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Upload the downloaded CTT package (.zip file)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Install the package through Package Manager</w:t>
      </w:r>
      <w:bookmarkStart w:id="16" w:name="fnref5:4"/>
      <w:bookmarkEnd w:id="1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Step 3: Verify Installation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After installation, navigate to </w:t>
      </w:r>
      <w:r>
        <w:rPr>
          <w:rFonts w:eastAsia="inter" w:cs="inter" w:ascii="inter" w:hAnsi="inter"/>
          <w:b/>
          <w:color w:val="000000"/>
          <w:sz w:val="21"/>
        </w:rPr>
        <w:t xml:space="preserve">Operations &gt; Content Migration</w:t>
      </w:r>
      <w:r>
        <w:rPr>
          <w:rFonts w:eastAsia="inter" w:cs="inter" w:ascii="inter" w:hAnsi="inter"/>
          <w:color w:val="000000"/>
          <w:sz w:val="21"/>
        </w:rPr>
        <w:t xml:space="preserve"> from the AEM start screen</w:t>
      </w:r>
      <w:bookmarkStart w:id="17" w:name="fnref5:5"/>
      <w:bookmarkEnd w:id="17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Confirm the Content Transfer Tool interface is accessible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Source Environment Configuration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Step 4: Network Configuration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Ensure the source AEM instance can reach required endpoints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Configure SSL logging if needed by navigating to </w:t>
      </w:r>
      <w:r>
        <w:rPr>
          <w:rFonts w:eastAsia="inter" w:cs="inter" w:ascii="inter" w:hAnsi="inter"/>
          <w:b/>
          <w:color w:val="000000"/>
          <w:sz w:val="21"/>
        </w:rPr>
        <w:t xml:space="preserve">Tools &gt; Operations &gt; Web Console</w:t>
      </w:r>
      <w:bookmarkStart w:id="18" w:name="fnref5:6"/>
      <w:bookmarkEnd w:id="18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Search for "Content Transfer Tool Extraction Service Configuration" and enable SSL logging for troubleshooting</w:t>
      </w:r>
      <w:bookmarkStart w:id="19" w:name="fnref5:7"/>
      <w:bookmarkEnd w:id="19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Configuration Options and Features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Migration Set Parameters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Include Versions Option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When enabled, includes version history in migration</w:t>
      </w:r>
      <w:bookmarkStart w:id="20" w:name="fnref5:8"/>
      <w:bookmarkEnd w:id="20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Automatically includes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/var/audit</w:t>
      </w:r>
      <w:r>
        <w:rPr>
          <w:rFonts w:eastAsia="inter" w:cs="inter" w:ascii="inter" w:hAnsi="inter"/>
          <w:color w:val="000000"/>
          <w:sz w:val="21"/>
        </w:rPr>
        <w:t xml:space="preserve"> path for audit events migration</w:t>
      </w:r>
      <w:bookmarkStart w:id="21" w:name="fnref5:9"/>
      <w:bookmarkEnd w:id="21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Important</w:t>
      </w:r>
      <w:r>
        <w:rPr>
          <w:rFonts w:eastAsia="inter" w:cs="inter" w:ascii="inter" w:hAnsi="inter"/>
          <w:color w:val="000000"/>
          <w:sz w:val="21"/>
        </w:rPr>
        <w:t xml:space="preserve">: If performing top-ups with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wipe=false</w:t>
      </w:r>
      <w:r>
        <w:rPr>
          <w:rFonts w:eastAsia="inter" w:cs="inter" w:ascii="inter" w:hAnsi="inter"/>
          <w:color w:val="000000"/>
          <w:sz w:val="21"/>
        </w:rPr>
        <w:t xml:space="preserve">, version purging must be disabled</w:t>
      </w:r>
      <w:bookmarkStart w:id="22" w:name="fnref5:10"/>
      <w:bookmarkEnd w:id="22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Path Selection Methods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Manual Selection</w:t>
      </w:r>
      <w:r>
        <w:rPr>
          <w:rFonts w:eastAsia="inter" w:cs="inter" w:ascii="inter" w:hAnsi="inter"/>
          <w:color w:val="000000"/>
          <w:sz w:val="21"/>
        </w:rPr>
        <w:t xml:space="preserve">: Use the UI path browser to select individual paths</w:t>
      </w:r>
      <w:bookmarkStart w:id="23" w:name="fnref5:11"/>
      <w:bookmarkEnd w:id="23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CSV Upload</w:t>
      </w:r>
      <w:r>
        <w:rPr>
          <w:rFonts w:eastAsia="inter" w:cs="inter" w:ascii="inter" w:hAnsi="inter"/>
          <w:color w:val="000000"/>
          <w:sz w:val="21"/>
        </w:rPr>
        <w:t xml:space="preserve">: Upload a CSV file with one path per line (no commas allowed)</w:t>
      </w:r>
      <w:bookmarkStart w:id="24" w:name="fnref5:12"/>
      <w:bookmarkEnd w:id="24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Path Restrictions</w:t>
      </w:r>
      <w:r>
        <w:rPr>
          <w:rFonts w:eastAsia="inter" w:cs="inter" w:ascii="inter" w:hAnsi="inter"/>
          <w:color w:val="000000"/>
          <w:sz w:val="21"/>
        </w:rPr>
        <w:t xml:space="preserve">: Cannot include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/apps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/libs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/home</w:t>
      </w:r>
      <w:r>
        <w:rPr>
          <w:rFonts w:eastAsia="inter" w:cs="inter" w:ascii="inter" w:hAnsi="inter"/>
          <w:color w:val="000000"/>
          <w:sz w:val="21"/>
        </w:rPr>
        <w:t xml:space="preserve">, or most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/etc</w:t>
      </w:r>
      <w:r>
        <w:rPr>
          <w:rFonts w:eastAsia="inter" w:cs="inter" w:ascii="inter" w:hAnsi="inter"/>
          <w:color w:val="000000"/>
          <w:sz w:val="21"/>
        </w:rPr>
        <w:t xml:space="preserve"> paths</w:t>
      </w:r>
      <w:bookmarkStart w:id="25" w:name="fnref5:13"/>
      <w:bookmarkEnd w:id="2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Exclusion Capabilities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Specify paths to exclude from migration (e.g., exclude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/content/dam/catalogs</w:t>
      </w:r>
      <w:r>
        <w:rPr>
          <w:rFonts w:eastAsia="inter" w:cs="inter" w:ascii="inter" w:hAnsi="inter"/>
          <w:color w:val="000000"/>
          <w:sz w:val="21"/>
        </w:rPr>
        <w:t xml:space="preserve"> while including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/content/dam</w:t>
      </w:r>
      <w:r>
        <w:rPr>
          <w:rFonts w:eastAsia="inter" w:cs="inter" w:ascii="inter" w:hAnsi="inter"/>
          <w:color w:val="000000"/>
          <w:sz w:val="21"/>
        </w:rPr>
        <w:t xml:space="preserve">)</w:t>
      </w:r>
      <w:bookmarkStart w:id="26" w:name="fnref5:14"/>
      <w:bookmarkEnd w:id="2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Useful for selective content migration strategies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Advanced Options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Migration Set Management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Maximum of 10 migration sets per Cloud Acceleration Manager project</w:t>
      </w:r>
      <w:bookmarkStart w:id="27" w:name="fnref5:15"/>
      <w:bookmarkEnd w:id="27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Each migration set expires after prolonged inactivity</w:t>
      </w:r>
      <w:bookmarkStart w:id="28" w:name="fnref5:16"/>
      <w:bookmarkEnd w:id="28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Geographic region selection for optimal performance during ingestion</w:t>
      </w:r>
      <w:bookmarkStart w:id="29" w:name="fnref5:17"/>
      <w:bookmarkEnd w:id="29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Size Check Feature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Verify sufficient disk space before extraction</w:t>
      </w:r>
      <w:bookmarkStart w:id="30" w:name="fnref5:18"/>
      <w:bookmarkEnd w:id="30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Confirm migration set size falls within supported product limits</w:t>
      </w:r>
      <w:bookmarkStart w:id="31" w:name="fnref5:19"/>
      <w:bookmarkEnd w:id="31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Prevents failed content ingestions due to size constraints</w:t>
      </w:r>
      <w:bookmarkStart w:id="32" w:name="fnref5:20"/>
      <w:bookmarkEnd w:id="32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Pre-Copy Feature for Large Repositories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Automatically enabled for migration sets larger than 200 GB (CTT version 2.0.16+)</w:t>
      </w:r>
      <w:bookmarkStart w:id="33" w:name="fnref7:1"/>
      <w:bookmarkEnd w:id="33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Uses AzCopy for optimized blob transfer from Amazon S3, Azure Blob Storage, or File Data Store</w:t>
      </w:r>
      <w:bookmarkStart w:id="34" w:name="fnref7:2"/>
      <w:bookmarkEnd w:id="34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Significantly reduces extraction and ingestion time for large repositories</w:t>
      </w:r>
      <w:bookmarkStart w:id="35" w:name="fnref7:3"/>
      <w:bookmarkEnd w:id="35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Cloud Acceleration Manager Configuration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Setup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Step 1: Access CAM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Log into Adobe Experience Cloud</w:t>
      </w:r>
      <w:bookmarkStart w:id="36" w:name="fnref8"/>
      <w:bookmarkEnd w:id="36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the </w:t>
      </w:r>
      <w:r>
        <w:rPr>
          <w:rFonts w:eastAsia="inter" w:cs="inter" w:ascii="inter" w:hAnsi="inter"/>
          <w:b/>
          <w:color w:val="000000"/>
          <w:sz w:val="21"/>
        </w:rPr>
        <w:t xml:space="preserve">Experience Manager</w:t>
      </w:r>
      <w:r>
        <w:rPr>
          <w:rFonts w:eastAsia="inter" w:cs="inter" w:ascii="inter" w:hAnsi="inter"/>
          <w:color w:val="000000"/>
          <w:sz w:val="21"/>
        </w:rPr>
        <w:t xml:space="preserve"> card</w:t>
      </w:r>
      <w:bookmarkStart w:id="37" w:name="fnref8:1"/>
      <w:bookmarkEnd w:id="37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Select </w:t>
      </w:r>
      <w:r>
        <w:rPr>
          <w:rFonts w:eastAsia="inter" w:cs="inter" w:ascii="inter" w:hAnsi="inter"/>
          <w:b/>
          <w:color w:val="000000"/>
          <w:sz w:val="21"/>
        </w:rPr>
        <w:t xml:space="preserve">Launch</w:t>
      </w:r>
      <w:r>
        <w:rPr>
          <w:rFonts w:eastAsia="inter" w:cs="inter" w:ascii="inter" w:hAnsi="inter"/>
          <w:color w:val="000000"/>
          <w:sz w:val="21"/>
        </w:rPr>
        <w:t xml:space="preserve"> from the </w:t>
      </w:r>
      <w:r>
        <w:rPr>
          <w:rFonts w:eastAsia="inter" w:cs="inter" w:ascii="inter" w:hAnsi="inter"/>
          <w:b/>
          <w:color w:val="000000"/>
          <w:sz w:val="21"/>
        </w:rPr>
        <w:t xml:space="preserve">Cloud Acceleration Manager</w:t>
      </w:r>
      <w:r>
        <w:rPr>
          <w:rFonts w:eastAsia="inter" w:cs="inter" w:ascii="inter" w:hAnsi="inter"/>
          <w:color w:val="000000"/>
          <w:sz w:val="21"/>
        </w:rPr>
        <w:t xml:space="preserve"> card</w:t>
      </w:r>
      <w:bookmarkStart w:id="38" w:name="fnref8:2"/>
      <w:bookmarkEnd w:id="38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Step 2: Create Migration Project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Create project</w:t>
      </w:r>
      <w:r>
        <w:rPr>
          <w:rFonts w:eastAsia="inter" w:cs="inter" w:ascii="inter" w:hAnsi="inter"/>
          <w:color w:val="000000"/>
          <w:sz w:val="21"/>
        </w:rPr>
        <w:t xml:space="preserve"> from the CAM landing page</w:t>
      </w:r>
      <w:bookmarkStart w:id="39" w:name="fnref8:3"/>
      <w:bookmarkEnd w:id="39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Enter project </w:t>
      </w:r>
      <w:r>
        <w:rPr>
          <w:rFonts w:eastAsia="inter" w:cs="inter" w:ascii="inter" w:hAnsi="inter"/>
          <w:b/>
          <w:color w:val="000000"/>
          <w:sz w:val="21"/>
        </w:rPr>
        <w:t xml:space="preserve">Name</w:t>
      </w:r>
      <w:r>
        <w:rPr>
          <w:rFonts w:eastAsia="inter" w:cs="inter" w:ascii="inter" w:hAnsi="inter"/>
          <w:color w:val="000000"/>
          <w:sz w:val="21"/>
        </w:rPr>
        <w:t xml:space="preserve"> and </w:t>
      </w:r>
      <w:r>
        <w:rPr>
          <w:rFonts w:eastAsia="inter" w:cs="inter" w:ascii="inter" w:hAnsi="inter"/>
          <w:b/>
          <w:color w:val="000000"/>
          <w:sz w:val="21"/>
        </w:rPr>
        <w:t xml:space="preserve">Description</w:t>
      </w:r>
      <w:bookmarkStart w:id="40" w:name="fnref8:4"/>
      <w:bookmarkEnd w:id="40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Create</w:t>
      </w:r>
      <w:r>
        <w:rPr>
          <w:rFonts w:eastAsia="inter" w:cs="inter" w:ascii="inter" w:hAnsi="inter"/>
          <w:color w:val="000000"/>
          <w:sz w:val="21"/>
        </w:rPr>
        <w:t xml:space="preserve"> to establish the project</w:t>
      </w:r>
      <w:bookmarkStart w:id="41" w:name="fnref8:5"/>
      <w:bookmarkEnd w:id="41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Step 3: Configure Content Transfer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Navigate to the </w:t>
      </w:r>
      <w:r>
        <w:rPr>
          <w:rFonts w:eastAsia="inter" w:cs="inter" w:ascii="inter" w:hAnsi="inter"/>
          <w:b/>
          <w:color w:val="000000"/>
          <w:sz w:val="21"/>
        </w:rPr>
        <w:t xml:space="preserve">Content Transfer</w:t>
      </w:r>
      <w:r>
        <w:rPr>
          <w:rFonts w:eastAsia="inter" w:cs="inter" w:ascii="inter" w:hAnsi="inter"/>
          <w:color w:val="000000"/>
          <w:sz w:val="21"/>
        </w:rPr>
        <w:t xml:space="preserve"> card within your project</w:t>
      </w:r>
      <w:bookmarkStart w:id="42" w:name="fnref5:21"/>
      <w:bookmarkEnd w:id="42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Create Migration Set</w:t>
      </w:r>
      <w:r>
        <w:rPr>
          <w:rFonts w:eastAsia="inter" w:cs="inter" w:ascii="inter" w:hAnsi="inter"/>
          <w:color w:val="000000"/>
          <w:sz w:val="21"/>
        </w:rPr>
        <w:t xml:space="preserve"> to establish a new migration container</w:t>
      </w:r>
      <w:bookmarkStart w:id="43" w:name="fnref5:22"/>
      <w:bookmarkEnd w:id="43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Configure migration set name, region, and other parameters</w:t>
      </w:r>
      <w:bookmarkStart w:id="44" w:name="fnref5:23"/>
      <w:bookmarkEnd w:id="44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Migration Set Configuration in CAM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Extract Key Management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Copy the extraction key from CAM (treat as sensitive information)</w:t>
      </w:r>
      <w:bookmarkStart w:id="45" w:name="fnref5:24"/>
      <w:bookmarkEnd w:id="4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this key to securely connect the source AEM environment to the migration set</w:t>
      </w:r>
      <w:bookmarkStart w:id="46" w:name="fnref5:25"/>
      <w:bookmarkEnd w:id="4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Paste the key into the source AEM Content Transfer Tool interface</w:t>
      </w:r>
      <w:bookmarkStart w:id="47" w:name="fnref5:26"/>
      <w:bookmarkEnd w:id="47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Environment Target Configuration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Specify the target AEM Cloud Service environment</w:t>
      </w:r>
      <w:bookmarkStart w:id="48" w:name="fnref5:27"/>
      <w:bookmarkEnd w:id="48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Configure ingestion settings for Author and/or Publish tiers</w:t>
      </w:r>
      <w:bookmarkStart w:id="49" w:name="fnref5:28"/>
      <w:bookmarkEnd w:id="49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 up validation and reporting preferences</w:t>
      </w:r>
      <w:bookmarkStart w:id="50" w:name="fnref5:29"/>
      <w:bookmarkEnd w:id="50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Operational Workflow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Extraction Phase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extraction phase copies content from the source AEM repository to Adobe's temporary cloud storage</w:t>
      </w:r>
      <w:bookmarkStart w:id="51" w:name="fnref6:1"/>
      <w:bookmarkEnd w:id="51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</w:rPr>
        <w:t xml:space="preserve">. This process: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Creates a migration set containing selected content paths</w:t>
      </w:r>
      <w:bookmarkStart w:id="52" w:name="fnref6:2"/>
      <w:bookmarkEnd w:id="52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Uploads extracted content to temporary cloud storage managed by Adobe</w:t>
      </w:r>
      <w:bookmarkStart w:id="53" w:name="fnref6:3"/>
      <w:bookmarkEnd w:id="53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Generates detailed logs for monitoring and troubleshooting</w:t>
      </w:r>
      <w:bookmarkStart w:id="54" w:name="fnref6:4"/>
      <w:bookmarkEnd w:id="54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Supports differential extraction for subsequent migrations</w:t>
      </w:r>
      <w:bookmarkStart w:id="55" w:name="fnref1:3"/>
      <w:bookmarkEnd w:id="5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Ingestion Phase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ingestion phase transfers content from temporary storage to the target AEM Cloud Service environment</w:t>
      </w:r>
      <w:bookmarkStart w:id="56" w:name="fnref6:5"/>
      <w:bookmarkEnd w:id="56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</w:rPr>
        <w:t xml:space="preserve">. Key features include: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Wipe Mode</w:t>
      </w:r>
      <w:r>
        <w:rPr>
          <w:rFonts w:eastAsia="inter" w:cs="inter" w:ascii="inter" w:hAnsi="inter"/>
          <w:color w:val="000000"/>
          <w:sz w:val="21"/>
        </w:rPr>
        <w:t xml:space="preserve">: Removes existing content before ingestion (recommended for initial migrations)</w:t>
      </w:r>
      <w:bookmarkStart w:id="57" w:name="fnref4:2"/>
      <w:bookmarkEnd w:id="5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Non-Wipe Mode</w:t>
      </w:r>
      <w:r>
        <w:rPr>
          <w:rFonts w:eastAsia="inter" w:cs="inter" w:ascii="inter" w:hAnsi="inter"/>
          <w:color w:val="000000"/>
          <w:sz w:val="21"/>
        </w:rPr>
        <w:t xml:space="preserve">: Applies migration set content on top of existing content</w:t>
      </w:r>
      <w:bookmarkStart w:id="58" w:name="fnref4:3"/>
      <w:bookmarkEnd w:id="5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Environment Selection</w:t>
      </w:r>
      <w:r>
        <w:rPr>
          <w:rFonts w:eastAsia="inter" w:cs="inter" w:ascii="inter" w:hAnsi="inter"/>
          <w:color w:val="000000"/>
          <w:sz w:val="21"/>
        </w:rPr>
        <w:t xml:space="preserve">: Target Author, Publish, or both environments</w:t>
      </w:r>
      <w:bookmarkStart w:id="59" w:name="fnref6:6"/>
      <w:bookmarkEnd w:id="59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Parallel Processing</w:t>
      </w:r>
      <w:r>
        <w:rPr>
          <w:rFonts w:eastAsia="inter" w:cs="inter" w:ascii="inter" w:hAnsi="inter"/>
          <w:color w:val="000000"/>
          <w:sz w:val="21"/>
        </w:rPr>
        <w:t xml:space="preserve">: Supports simultaneous ingestion into multiple environments</w:t>
      </w:r>
      <w:bookmarkStart w:id="60" w:name="fnref1:4"/>
      <w:bookmarkEnd w:id="6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Known Issues and Limitations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 Integrity Issues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Missing Blob IDs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Symptom</w:t>
      </w:r>
      <w:r>
        <w:rPr>
          <w:rFonts w:eastAsia="inter" w:cs="inter" w:ascii="inter" w:hAnsi="inter"/>
          <w:color w:val="000000"/>
          <w:sz w:val="21"/>
        </w:rPr>
        <w:t xml:space="preserve">: Error messages indicating missing blob records</w:t>
      </w:r>
      <w:bookmarkStart w:id="61" w:name="fnref9"/>
      <w:bookmarkEnd w:id="61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Resolution</w:t>
      </w:r>
      <w:r>
        <w:rPr>
          <w:rFonts w:eastAsia="inter" w:cs="inter" w:ascii="inter" w:hAnsi="inter"/>
          <w:color w:val="000000"/>
          <w:sz w:val="21"/>
        </w:rPr>
        <w:t xml:space="preserve">: Execute consistency check using oak-run.jar with appropriate parameters</w:t>
      </w:r>
      <w:bookmarkStart w:id="62" w:name="fnref9:1"/>
      <w:bookmarkEnd w:id="62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Prevention</w:t>
      </w:r>
      <w:r>
        <w:rPr>
          <w:rFonts w:eastAsia="inter" w:cs="inter" w:ascii="inter" w:hAnsi="inter"/>
          <w:color w:val="000000"/>
          <w:sz w:val="21"/>
        </w:rPr>
        <w:t xml:space="preserve">: Perform data store consistency checks before migration</w:t>
      </w:r>
      <w:bookmarkStart w:id="63" w:name="fnref9:2"/>
      <w:bookmarkEnd w:id="63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User Interface Limitations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UI Behavior Variations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Icons may appear differently depending on source AEM version</w:t>
      </w:r>
      <w:bookmarkStart w:id="64" w:name="fnref9:3"/>
      <w:bookmarkEnd w:id="64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Some UI elements may not display correctly across different AEM versions</w:t>
      </w:r>
      <w:bookmarkStart w:id="65" w:name="fnref9:4"/>
      <w:bookmarkEnd w:id="65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Migration Constraints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Content Path Restrictions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Cannot migrate content from immutable paths like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/apps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/libs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/home</w:t>
      </w:r>
      <w:bookmarkStart w:id="66" w:name="fnref3:4"/>
      <w:bookmarkEnd w:id="6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Limited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/etc</w:t>
      </w:r>
      <w:r>
        <w:rPr>
          <w:rFonts w:eastAsia="inter" w:cs="inter" w:ascii="inter" w:hAnsi="inter"/>
          <w:color w:val="000000"/>
          <w:sz w:val="21"/>
        </w:rPr>
        <w:t xml:space="preserve"> path support (only specific paths for AEM Forms integration)</w:t>
      </w:r>
      <w:bookmarkStart w:id="67" w:name="fnref3:5"/>
      <w:bookmarkEnd w:id="67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Performance Considerations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Large extractions may take multiple days without pre-copy optimization</w:t>
      </w:r>
      <w:bookmarkStart w:id="68" w:name="fnref7:4"/>
      <w:bookmarkEnd w:id="68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Pre-copy feature not recommended for top-ups smaller than 200 GB</w:t>
      </w:r>
      <w:bookmarkStart w:id="69" w:name="fnref7:5"/>
      <w:bookmarkEnd w:id="69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Migration sets automatically expire after extended periods of inactivity</w:t>
      </w:r>
      <w:bookmarkStart w:id="70" w:name="fnref5:30"/>
      <w:bookmarkEnd w:id="70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Technical Limitations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Version Management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Version purging conflicts with top-up migrations when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wipe=false</w:t>
      </w:r>
      <w:bookmarkStart w:id="71" w:name="fnref5:31"/>
      <w:bookmarkEnd w:id="71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Requires careful planning for incremental migration strategies</w:t>
      </w:r>
      <w:bookmarkStart w:id="72" w:name="fnref5:32"/>
      <w:bookmarkEnd w:id="72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Resource Requirements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Significant disk space requirements (1.5x repository size recommended)</w:t>
      </w:r>
      <w:bookmarkStart w:id="73" w:name="fnref6:7"/>
      <w:bookmarkEnd w:id="73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Network bandwidth considerations for large content transfers</w:t>
      </w:r>
      <w:bookmarkStart w:id="74" w:name="fnref7:6"/>
      <w:bookmarkEnd w:id="74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Best Practices and Recommendations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Pre-Migration Optimization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Run revision cleanup and compaction on source instances</w:t>
      </w:r>
      <w:bookmarkStart w:id="75" w:name="fnref4:4"/>
      <w:bookmarkEnd w:id="7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Perform data store consistency checks to identify potential issues</w:t>
      </w:r>
      <w:bookmarkStart w:id="76" w:name="fnref4:5"/>
      <w:bookmarkEnd w:id="7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Plan migration during low-traffic periods to minimize performance impact</w:t>
      </w:r>
      <w:bookmarkStart w:id="77" w:name="fnref4:6"/>
      <w:bookmarkEnd w:id="7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Migration Strategy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wipe mode for initial migrations to ensure clean target environment</w:t>
      </w:r>
      <w:bookmarkStart w:id="78" w:name="fnref4:7"/>
      <w:bookmarkEnd w:id="7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 frequent top-up migrations leading to go-live for efficient cutover</w:t>
      </w:r>
      <w:bookmarkStart w:id="79" w:name="fnref6:8"/>
      <w:bookmarkEnd w:id="79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Leverage pre-copy feature for repositories larger than 200 GB</w:t>
      </w:r>
      <w:bookmarkStart w:id="80" w:name="fnref7:7"/>
      <w:bookmarkEnd w:id="80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Monitoring and Validation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Regularly review extraction and ingestion logs for early problem detection</w:t>
      </w:r>
      <w:bookmarkStart w:id="81" w:name="fnref5:33"/>
      <w:bookmarkEnd w:id="81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Utilize validation reports to verify successful content and group migration</w:t>
      </w:r>
      <w:bookmarkStart w:id="82" w:name="fnref1:5"/>
      <w:bookmarkEnd w:id="8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Monitor migration set expiration dates to prevent data loss</w:t>
      </w:r>
      <w:bookmarkStart w:id="83" w:name="fnref5:34"/>
      <w:bookmarkEnd w:id="83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Content Transfer Tool represents a sophisticated solution for AEM content migration, offering comprehensive features for various migration scenarios while requiring careful planning and configuration to ensure successful implementation. Its integration with Cloud Acceleration Manager provides a streamlined approach to moving from traditional AEM deployments to the cloud-native AEM as a Cloud Service platform.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84" w:name="fn1"/>
    <w:bookmarkEnd w:id="84"/>
    <w:p>
      <w:pPr>
        <w:numPr>
          <w:ilvl w:val="0"/>
          <w:numId w:val="32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https://experienceleague.adobe.com/en/docs/experience-manager-cloud-service/content/migration-journey/cloud-migration/content-transfer-tool/overview-content-transfer-tool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5" w:name="fn2"/>
    <w:bookmarkEnd w:id="85"/>
    <w:p>
      <w:pPr>
        <w:numPr>
          <w:ilvl w:val="0"/>
          <w:numId w:val="32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https://www.aemguide.in/2025/01/adobe-experience-managers-content.html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6" w:name="fn3"/>
    <w:bookmarkEnd w:id="86"/>
    <w:p>
      <w:pPr>
        <w:numPr>
          <w:ilvl w:val="0"/>
          <w:numId w:val="32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https://experienceleague.adobe.com/en/docs/experience-manager-cloud-service/content/migration-journey/cloud-migration/content-transfer-tool/prerequisites-content-transfer-tool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7" w:name="fn4"/>
    <w:bookmarkEnd w:id="87"/>
    <w:p>
      <w:pPr>
        <w:numPr>
          <w:ilvl w:val="0"/>
          <w:numId w:val="32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https://help.sap.com/doc/saphelp_tdm40/4.0.11/en-US/17/4ff82295534fc6a7b1ed57009350dd/content.htm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8" w:name="fn5"/>
    <w:bookmarkEnd w:id="88"/>
    <w:p>
      <w:pPr>
        <w:numPr>
          <w:ilvl w:val="0"/>
          <w:numId w:val="32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https://experienceleague.adobe.com/en/docs/experience-manager-cloud-service/content/migration-journey/cloud-migration/content-transfer-tool/getting-started-content-transfer-tool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9" w:name="fn6"/>
    <w:bookmarkEnd w:id="89"/>
    <w:p>
      <w:pPr>
        <w:numPr>
          <w:ilvl w:val="0"/>
          <w:numId w:val="32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https://solutionshub.epam.com/blog/post/content-migration-plan?blog-post-solution=migvisor-by-epam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0" w:name="fn7"/>
    <w:bookmarkEnd w:id="90"/>
    <w:p>
      <w:pPr>
        <w:numPr>
          <w:ilvl w:val="0"/>
          <w:numId w:val="32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https://www.atlassian.com/git/tutorials/big-repositories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1" w:name="fn8"/>
    <w:bookmarkEnd w:id="91"/>
    <w:p>
      <w:pPr>
        <w:numPr>
          <w:ilvl w:val="0"/>
          <w:numId w:val="32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https://www.gspann.com/resources/blogs/aem-as-a-cloud-service-step-by-step-migration-guide/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2" w:name="fn9"/>
    <w:bookmarkEnd w:id="92"/>
    <w:p>
      <w:pPr>
        <w:numPr>
          <w:ilvl w:val="0"/>
          <w:numId w:val="32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https://www.linkedin.com/pulse/ctt-model-its-limitations-simple-words-brian-mumba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1">
    <w:multiLevelType w:val="hybridMultilevel"/>
  </w:abstractNum>
  <w:abstractNum w:abstractNumId="3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e4ae0ff7c515844541ee5a64443b9b0eff9ac5f1.png" TargetMode="Internal"/><Relationship Id="rId6" Type="http://schemas.openxmlformats.org/officeDocument/2006/relationships/hyperlink" Target="https://experienceleague.adobe.com/en/docs/experience-manager-cloud-service/content/migration-journey/cloud-migration/content-transfer-tool/overview-content-transfer-tool" TargetMode="External"/><Relationship Id="rId7" Type="http://schemas.openxmlformats.org/officeDocument/2006/relationships/hyperlink" Target="https://www.aemguide.in/2025/01/adobe-experience-managers-content.html" TargetMode="External"/><Relationship Id="rId8" Type="http://schemas.openxmlformats.org/officeDocument/2006/relationships/hyperlink" Target="https://experienceleague.adobe.com/en/docs/experience-manager-cloud-service/content/migration-journey/cloud-migration/content-transfer-tool/prerequisites-content-transfer-tool" TargetMode="External"/><Relationship Id="rId9" Type="http://schemas.openxmlformats.org/officeDocument/2006/relationships/hyperlink" Target="https://help.sap.com/doc/saphelp_tdm40/4.0.11/en-US/17/4ff82295534fc6a7b1ed57009350dd/content.htm" TargetMode="External"/><Relationship Id="rId10" Type="http://schemas.openxmlformats.org/officeDocument/2006/relationships/hyperlink" Target="https://experienceleague.adobe.com/en/docs/experience-manager-cloud-service/content/migration-journey/cloud-migration/content-transfer-tool/getting-started-content-transfer-tool" TargetMode="External"/><Relationship Id="rId11" Type="http://schemas.openxmlformats.org/officeDocument/2006/relationships/hyperlink" Target="https://solutionshub.epam.com/blog/post/content-migration-plan?blog-post-solution=migvisor-by-epam" TargetMode="External"/><Relationship Id="rId12" Type="http://schemas.openxmlformats.org/officeDocument/2006/relationships/hyperlink" Target="https://www.atlassian.com/git/tutorials/big-repositories" TargetMode="External"/><Relationship Id="rId13" Type="http://schemas.openxmlformats.org/officeDocument/2006/relationships/hyperlink" Target="https://www.gspann.com/resources/blogs/aem-as-a-cloud-service-step-by-step-migration-guide/" TargetMode="External"/><Relationship Id="rId14" Type="http://schemas.openxmlformats.org/officeDocument/2006/relationships/hyperlink" Target="https://www.linkedin.com/pulse/ctt-model-its-limitations-simple-words-brian-mumba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2025-06-27T17:35:48.449Z</dcterms:created>
  <dcterms:modified xsi:type="dcterms:W3CDTF">2025-06-27T17:35:48.449Z</dcterms:modified>
</cp:coreProperties>
</file>