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evaluation methods for enterprise AI systems</w:t>
      </w:r>
    </w:p>
    <w:p>
      <w:pPr>
        <w:pStyle w:val="Heading1"/>
      </w:pPr>
      <w:r>
        <w:t>Literature Review: RAG Evaluation Methods for Enterprise AI Systems</w:t>
      </w:r>
    </w:p>
    <w:p>
      <w:pPr>
        <w:spacing w:after="160"/>
      </w:pPr>
      <w:r>
        <w:t>### Introduction</w:t>
      </w:r>
    </w:p>
    <w:p>
      <w:pPr>
        <w:spacing w:after="160"/>
      </w:pPr>
      <w:r>
        <w:t>Retrieval-Augmented Generation (RAG) has emerged as a foundational technique for grounding large language model (LLM) outputs in verified external knowledge, making it particularly attractive for enterprise and high-stakes deployments. As organizations seek to operationalize these systems, questions of architecture, compliance, and rigorous evaluation become central concerns. The existing literature reflects an early but growing effort to formalize design principles for RAG-based AI in complex, production-grade contexts.</w:t>
      </w:r>
    </w:p>
    <w:p>
      <w:pPr>
        <w:spacing w:after="160"/>
      </w:pPr>
      <w:r>
        <w:t>---</w:t>
      </w:r>
    </w:p>
    <w:p>
      <w:pPr>
        <w:spacing w:after="160"/>
      </w:pPr>
      <w:r>
        <w:t>### Architectural Approaches to Enterprise RAG Deployment</w:t>
      </w:r>
    </w:p>
    <w:p>
      <w:pPr>
        <w:spacing w:after="160"/>
      </w:pPr>
      <w:r>
        <w:t>A key challenge in enterprise AI adoption is coordinating multiple heterogeneous components—models, retrievers, databases, and tools—under real-world production constraints such as latency and accuracy requirements. [2406.00584v1] addresses this by proposing a general-purpose blueprint architecture centered on a *stream* abstraction, which serves as the primary orchestration mechanism for routing data and instructions among agents. Task and data planners decompose high-level objectives and map them to available resources defined in registries, enabling scalable integration with existing enterprise compute and data infrastructure. This blueprint is intentionally broad, designed to accommodate a wide variety of enterprise use cases within a unified coordination framework.</w:t>
      </w:r>
    </w:p>
    <w:p>
      <w:pPr>
        <w:spacing w:after="160"/>
      </w:pPr>
      <w:r>
        <w:t>Where [2406.00584v1] emphasizes horizontal generality, [2511.22858v1] demonstrates how RAG architectures must be substantially redesigned when domain-specific constraints are non-negotiable. In the context of Japanese medical litigation, the system proposed by [2511.22858v1] imposes three binding requirements on the RAG pipeline: a retrieval module constrained to legally appropriate external knowledge, a generation module prohibited from drawing on private or parametric model knowledge, and a timestamp-aware retrieval mechanism that aligns retrieved documents with the temporally relevant legal period. These constraints reflect real compliance obligations rather than optional design choices, illustrating how legal and regulatory norms can fundamentally shape RAG system architecture. Notably, the domain-specific RAG system described in [2511.22858v1] could plausibly be instantiated as a specialized agent or component within the kind of multi-agent enterprise blueprint described in [2406.00584v1], suggesting a natural complementarity between the two approaches.</w:t>
      </w:r>
    </w:p>
    <w:p>
      <w:pPr>
        <w:spacing w:after="160"/>
      </w:pPr>
      <w:r>
        <w:t>---</w:t>
      </w:r>
    </w:p>
    <w:p>
      <w:pPr>
        <w:spacing w:after="160"/>
      </w:pPr>
      <w:r>
        <w:t>### Evaluation Maturity and Empirical Validation</w:t>
      </w:r>
    </w:p>
    <w:p>
      <w:pPr>
        <w:spacing w:after="160"/>
      </w:pPr>
      <w:r>
        <w:t>Despite their architectural contributions, neither paper provides empirical evaluation, quantitative metrics, or experimental datasets. Both [2406.00584v1] and [2511.22858v1] are design and discussion contributions, meaning their claims about system behavior—faithfulness, latency, accuracy, legal compliance—remain unvalidated by reported experiments. [2511.22858v1] is notably more transparent about this limitation, explicitly acknowledging the absence of quantitative evaluation and the narrow geographic and legal applicability of its design. [2406.00584v1] offers no discussion of failure modes or performance boundaries. This shared absence of empirical grounding is a defining characteristic of the current literature surveyed here, underscoring that the field is still in an early, architecture-proposing phase rather than a mature, evaluation-driven one.</w:t>
      </w:r>
    </w:p>
    <w:p>
      <w:pPr>
        <w:spacing w:after="160"/>
      </w:pPr>
      <w:r>
        <w:t>---</w:t>
      </w:r>
    </w:p>
    <w:p>
      <w:pPr>
        <w:spacing w:after="160"/>
      </w:pPr>
      <w:r>
        <w:t>### Research Gaps</w:t>
      </w:r>
    </w:p>
    <w:p>
      <w:pPr>
        <w:spacing w:after="160"/>
      </w:pPr>
      <w:r>
        <w:t>The papers reviewed reveal several critical open problems in the evaluation of RAG systems for enterprise AI:</w:t>
      </w:r>
    </w:p>
    <w:p>
      <w:pPr>
        <w:pStyle w:val="ListBullet"/>
      </w:pPr>
      <w:r>
        <w:t>**Lack of empirical benchmarks**: Neither paper reports experimental results, metrics, or datasets, leaving proposed architectures without quantitative validation. Standardized benchmarks for enterprise RAG evaluation—covering faithfulness, latency, and compliance—remain absent from the reviewed literature.</w:t>
      </w:r>
    </w:p>
    <w:p>
      <w:pPr>
        <w:pStyle w:val="ListBullet"/>
      </w:pPr>
      <w:r>
        <w:t>**Generalizability of domain-specific designs**: The legal RAG system [2511.22858v1] is explicitly limited to the Japanese litigation context; methods for adapting such compliance-oriented architectures to other jurisdictions or regulated industries have not been addressed.</w:t>
      </w:r>
    </w:p>
    <w:p>
      <w:pPr>
        <w:pStyle w:val="ListBullet"/>
      </w:pPr>
      <w:r>
        <w:t>**Failure mode analysis**: [2406.00584v1] provides no discussion of how the proposed orchestration blueprint behaves under degraded conditions or adversarial inputs, leaving robustness evaluation as an open concern.</w:t>
      </w:r>
    </w:p>
    <w:p>
      <w:pPr>
        <w:pStyle w:val="ListBullet"/>
      </w:pPr>
      <w:r>
        <w:t>**Integration of evaluation into architecture**: No reviewed work addresses how evaluation mechanisms might be embedded *within* the enterprise RAG pipeline itself, rather than treated as an external post-hoc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