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evaluation methods for enterprise AI systems</w:t>
      </w:r>
    </w:p>
    <w:p>
      <w:pPr>
        <w:pStyle w:val="Heading1"/>
      </w:pPr>
      <w:r>
        <w:t>RAG Evaluation Methods for Enterprise AI Systems</w:t>
      </w:r>
    </w:p>
    <w:p>
      <w:pPr>
        <w:spacing w:after="160"/>
      </w:pPr>
      <w:r>
        <w:t>### Introduction</w:t>
      </w:r>
    </w:p>
    <w:p>
      <w:pPr>
        <w:spacing w:after="160"/>
      </w:pPr>
      <w:r>
        <w:t>Retrieval-Augmented Generation (RAG) has emerged as a foundational technique for grounding large language model (LLM) outputs in external knowledge, making it particularly relevant for enterprise AI deployments where accuracy, compliance, and reliability are critical. As organizations increasingly adopt compound AI systems that integrate LLMs with retrievers, databases, and domain-specific tools, the question of how to evaluate and validate these systems in production settings becomes essential. The existing literature, however, remains nascent in providing both unified architectural frameworks and rigorous empirical evaluation methodologies.</w:t>
      </w:r>
    </w:p>
    <w:p>
      <w:pPr>
        <w:spacing w:after="160"/>
      </w:pPr>
      <w:r>
        <w:t>---</w:t>
      </w:r>
    </w:p>
    <w:p>
      <w:pPr>
        <w:spacing w:after="160"/>
      </w:pPr>
      <w:r>
        <w:t>### Architectural Frameworks for Enterprise RAG Systems</w:t>
      </w:r>
    </w:p>
    <w:p>
      <w:pPr>
        <w:spacing w:after="160"/>
      </w:pPr>
      <w:r>
        <w:t>#### General-Purpose Orchestration</w:t>
      </w:r>
    </w:p>
    <w:p>
      <w:pPr>
        <w:spacing w:after="160"/>
      </w:pPr>
      <w:r>
        <w:t>One approach to enterprise AI deployment focuses on general-purpose orchestration architectures. [2406.00584v1] proposes a blueprint for compound AI systems centered on a 'stream' abstraction, which coordinates data and instructions among multiple agents, retrievers, and data sources. This architecture incorporates task and data planners that decompose and map tasks to available components defined in registries, while remaining subject to production constraints such as accuracy and latency. The strength of this approach lies in its generalizability: it is designed to integrate seamlessly with existing enterprise compute and data infrastructure without prescribing domain-specific behavior. However, the work does not address how the blueprint would accommodate legally sensitive, temporally critical, or otherwise constrained retrieval scenarios, and it provides no empirical validation of its claimed benefits.</w:t>
      </w:r>
    </w:p>
    <w:p>
      <w:pPr>
        <w:spacing w:after="160"/>
      </w:pPr>
      <w:r>
        <w:t>#### Domain-Specific RAG Design</w:t>
      </w:r>
    </w:p>
    <w:p>
      <w:pPr>
        <w:spacing w:after="160"/>
      </w:pPr>
      <w:r>
        <w:t>A complementary strand of research examines RAG architecture through the lens of strict domain constraints. [2511.22858v1] designs a RAG-based LLM system for supporting Japanese medical litigation, where legal norms impose three hard requirements: prohibition of private knowledge use, faithfulness to retrieved context, and temporal accuracy of referenced materials. The system's timestamp-aware retrieval mechanism and constrained generation module represent design choices driven directly by regulatory compliance needs rather than general performance optimization. While this approach demonstrates how RAG systems can be tailored to high-stakes professional environments, the authors acknowledge limited generalizability beyond the Japanese legal context, and the work lacks empirical evaluation.</w:t>
      </w:r>
    </w:p>
    <w:p>
      <w:pPr>
        <w:spacing w:after="160"/>
      </w:pPr>
      <w:r>
        <w:t>#### Synthesis</w:t>
      </w:r>
    </w:p>
    <w:p>
      <w:pPr>
        <w:spacing w:after="160"/>
      </w:pPr>
      <w:r>
        <w:t>Taken together, these two works suggest a two-tier relationship in enterprise RAG design: general orchestration frameworks [2406.00584v1] may serve as infrastructure layers within which domain-specific agents [2511.22858v1] are deployed. Yet neither paper addresses the full evaluation lifecycle — how such systems are measured, validated, or monitored in real production environments — leaving a critical gap between architectural intent and operational assurance.</w:t>
      </w:r>
    </w:p>
    <w:p>
      <w:pPr>
        <w:spacing w:after="160"/>
      </w:pPr>
      <w:r>
        <w:t>---</w:t>
      </w:r>
    </w:p>
    <w:p>
      <w:pPr>
        <w:spacing w:after="160"/>
      </w:pPr>
      <w:r>
        <w:t>### Research Gaps</w:t>
      </w:r>
    </w:p>
    <w:p>
      <w:pPr>
        <w:spacing w:after="160"/>
      </w:pPr>
      <w:r>
        <w:t>Several important open problems emerge from this body of work:</w:t>
      </w:r>
    </w:p>
    <w:p>
      <w:pPr>
        <w:spacing w:after="160"/>
      </w:pPr>
      <w:r>
        <w:t>1. **Absence of empirical evaluation**: Neither paper reports experiments on named datasets or quantitative metrics. Both contributions are design-oriented, meaning that the real-world effectiveness of the proposed architectures remains empirically unverified.</w:t>
      </w:r>
    </w:p>
    <w:p>
      <w:pPr>
        <w:spacing w:after="160"/>
      </w:pPr>
      <w:r>
        <w:t>2. **Lack of standardized RAG evaluation benchmarks for enterprise settings**: No shared metrics or evaluation protocols are proposed or referenced, making it difficult to compare systems or assess progress in the field.</w:t>
      </w:r>
    </w:p>
    <w:p>
      <w:pPr>
        <w:spacing w:after="160"/>
      </w:pPr>
      <w:r>
        <w:t>3. **Unaddressed tension between generality and domain constraints**: [2406.00584v1] does not discuss how a general blueprint handles domain-specific legal, temporal, or compliance constraints, while [2511.22858v1] does not generalize beyond a narrow context. A unified evaluation framework capable of spanning both general and constrained deployments remains absent.</w:t>
      </w:r>
    </w:p>
    <w:p>
      <w:pPr>
        <w:spacing w:after="160"/>
      </w:pPr>
      <w:r>
        <w:t>4. **Production monitoring and dynamic evaluation**: Neither work addresses how RAG systems should be continuously evaluated post-deployment, particularly as knowledge sources, legal norms, or enterprise data evolve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