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RAG evaluation methods for enterprise AI systems</w:t>
      </w:r>
    </w:p>
    <w:p>
      <w:pPr>
        <w:pStyle w:val="Heading1"/>
      </w:pPr>
      <w:r>
        <w:t>Literature Review: RAG Evaluation Methods for Enterprise AI Systems</w:t>
      </w:r>
    </w:p>
    <w:p>
      <w:pPr>
        <w:spacing w:after="160"/>
      </w:pPr>
      <w:r>
        <w:t>### Introduction</w:t>
      </w:r>
    </w:p>
    <w:p>
      <w:pPr>
        <w:spacing w:after="160"/>
      </w:pPr>
      <w:r>
        <w:t>The integration of Retrieval-Augmented Generation (RAG) into enterprise AI systems has emerged as a prominent strategy for grounding large language model (LLM) outputs in verified, domain-specific knowledge. As organizations seek to deploy these systems in high-stakes and regulated environments, questions of architectural design, compliance, and performance evaluation have become central concerns. The existing literature, however, remains largely at the conceptual stage, with empirical validation of proposed frameworks representing a significant open challenge.</w:t>
      </w:r>
    </w:p>
    <w:p>
      <w:pPr>
        <w:spacing w:after="160"/>
      </w:pPr>
      <w:r>
        <w:t>### Architectural Frameworks for Enterprise AI</w:t>
      </w:r>
    </w:p>
    <w:p>
      <w:pPr>
        <w:spacing w:after="160"/>
      </w:pPr>
      <w:r>
        <w:t>A foundational challenge in enterprise AI deployment is the coordination of heterogeneous components — including LLMs, retrievers, databases, and tools — within a unified, production-ready architecture. [2406.00584v1] addresses this by proposing a blueprint architecture centered on a "stream" abstraction, which orchestrates data and instructions across agents through task planners and data planners. These planners map operations to available agents and data sources via registries, while respecting production constraints such as accuracy and latency. This horizontal orchestration framework is notable for its explicit attention to cost-effectiveness and feasibility in real enterprise compute and data environments, positioning it as a generalized infrastructure layer upon which domain-specific AI capabilities could be deployed.</w:t>
      </w:r>
    </w:p>
    <w:p>
      <w:pPr>
        <w:spacing w:after="160"/>
      </w:pPr>
      <w:r>
        <w:t>### Domain-Specific RAG Design and Legal Compliance</w:t>
      </w:r>
    </w:p>
    <w:p>
      <w:pPr>
        <w:spacing w:after="160"/>
      </w:pPr>
      <w:r>
        <w:t>Complementing broad architectural blueprints, a separate line of work focuses on the vertical design of RAG systems tailored to highly regulated domains. [2511.22858v1] presents a RAG-based LLM system designed to support Japanese medical litigation procedures, where strict legal norms impose requirements that go beyond typical performance considerations. The system incorporates three key components: a retrieval module constrained by the legal prohibition on using private knowledge, a generation module designed to produce responses faithful exclusively to retrieved context, and a timestamp-aware retrieval mechanism ensuring temporal appropriateness of referenced sources. This design can be understood as a concrete instantiation of the kind of domain-specific agent that the enterprise orchestration blueprint in [2406.00584v1] envisions registering and coordinating within its broader architecture. Together, the two works illustrate complementary levels of abstraction: one providing enterprise-wide orchestration logic, the other specifying domain-level retrieval and generation constraints.</w:t>
      </w:r>
    </w:p>
    <w:p>
      <w:pPr>
        <w:spacing w:after="160"/>
      </w:pPr>
      <w:r>
        <w:t>### Convergence and Contrast</w:t>
      </w:r>
    </w:p>
    <w:p>
      <w:pPr>
        <w:spacing w:after="160"/>
      </w:pPr>
      <w:r>
        <w:t>Despite their different scopes, both frameworks share a methodological orientation toward architectural prescription rather than empirical measurement. Neither paper reports experiments, datasets, or quantitative metrics, and neither directly addresses performance benchmarking or scalability testing. This makes direct comparison difficult but also reveals a structural similarity: both treat system design as the primary contribution, deferring questions of real-world validation to future work.</w:t>
      </w:r>
    </w:p>
    <w:p>
      <w:pPr>
        <w:spacing w:after="160"/>
      </w:pPr>
      <w:r>
        <w:t>### Research Gaps</w:t>
      </w:r>
    </w:p>
    <w:p>
      <w:pPr>
        <w:spacing w:after="160"/>
      </w:pPr>
      <w:r>
        <w:t>The most significant gap in this area is the **absence of empirical evaluation**. Both [2406.00584v1] and [2511.22858v1] present design-level frameworks without benchmarking against real-world data or measurable outcomes. Key open questions include:</w:t>
      </w:r>
    </w:p>
    <w:p>
      <w:pPr>
        <w:pStyle w:val="ListBullet"/>
      </w:pPr>
      <w:r>
        <w:t>**Performance validation**: How do these architectures perform under realistic enterprise workloads in terms of retrieval accuracy, response faithfulness, and latency?</w:t>
      </w:r>
    </w:p>
    <w:p>
      <w:pPr>
        <w:pStyle w:val="ListBullet"/>
      </w:pPr>
      <w:r>
        <w:t>**Scalability**: Neither framework addresses how its design holds up as the number of agents, data sources, or query volumes increases.</w:t>
      </w:r>
    </w:p>
    <w:p>
      <w:pPr>
        <w:pStyle w:val="ListBullet"/>
      </w:pPr>
      <w:r>
        <w:t>**Deployment challenges**: Practical obstacles such as data privacy, system integration, and failure modes in production remain unaddressed.</w:t>
      </w:r>
    </w:p>
    <w:p>
      <w:pPr>
        <w:pStyle w:val="ListBullet"/>
      </w:pPr>
      <w:r>
        <w:t>**Cross-domain generalizability**: The domain-specific compliance mechanisms in [2511.22858v1] have not been tested for adaptability to other regulated industries.</w:t>
      </w:r>
    </w:p>
    <w:p>
      <w:pPr>
        <w:spacing w:after="160"/>
      </w:pPr>
      <w:r>
        <w:t>Future research must move beyond conceptual blueprints to provide rigorous, empirical assessments of RAG systems in enterprise settings, establishing shared benchmarks and evaluation protocols suited to the unique demands of production deployment.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