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evaluation methods for enterprise AI systems</w:t>
      </w:r>
    </w:p>
    <w:p>
      <w:pPr>
        <w:pStyle w:val="Heading1"/>
      </w:pPr>
      <w:r>
        <w:t>Literature Review: RAG Evaluation Methods for Enterprise AI Systems</w:t>
      </w:r>
    </w:p>
    <w:p>
      <w:pPr>
        <w:spacing w:after="160"/>
      </w:pPr>
      <w:r>
        <w:t>### Introduction</w:t>
      </w:r>
    </w:p>
    <w:p>
      <w:pPr>
        <w:spacing w:after="160"/>
      </w:pPr>
      <w:r>
        <w:t>Retrieval-Augmented Generation (RAG) systems have emerged as a critical architecture for enterprise AI deployments, yet robust evaluation frameworks for these systems remain underdeveloped. Understanding how to assess RAG performance in organizational contexts requires attending not only to technical metrics but also to the governance structures and ethical commitments that shape how AI systems are designed, monitored, and held accountable. The literature reviewed here examines two complementary dimensions of this challenge: the design of intervention mechanisms for complex AI system behavior, and the rhetorical and institutional framing of AI ethics by major developers.</w:t>
      </w:r>
    </w:p>
    <w:p>
      <w:pPr>
        <w:spacing w:after="160"/>
      </w:pPr>
      <w:r>
        <w:t>### Governance Frameworks and Behavioral Oversight</w:t>
      </w:r>
    </w:p>
    <w:p>
      <w:pPr>
        <w:spacing w:after="160"/>
      </w:pPr>
      <w:r>
        <w:t>One strand of relevant work addresses how multi-agent AI systems—including the retrieval and generation components underlying RAG architectures—can be governed when they exhibit emergent or potentially misaligned behavior. [2601.00360v3] constructs a taxonomy of human anti-collusion mechanisms drawn from institutional economics and regulatory practice, mapping categories such as sanctions, monitoring and auditing, and market design onto multi-agent AI contexts. This framework is notable for its systematic scope, offering a structured vocabulary for enterprise teams seeking to design oversight regimes for AI pipelines. However, the authors candidly acknowledge several open challenges unique to AI settings, including the attribution problem (difficulty in assigning responsibility for emergent system behavior), identity fluidity of agents, and the risk of adversarial adaptation by systems trained to evade detection. Crucially, none of these proposed mappings have been empirically validated, limiting their immediate applicability to enterprise RAG evaluation practice.</w:t>
      </w:r>
    </w:p>
    <w:p>
      <w:pPr>
        <w:spacing w:after="160"/>
      </w:pPr>
      <w:r>
        <w:t>### Institutional Ethics and Rhetorical Framing</w:t>
      </w:r>
    </w:p>
    <w:p>
      <w:pPr>
        <w:spacing w:after="160"/>
      </w:pPr>
      <w:r>
        <w:t>A second strand examines how AI developers publicly construct and communicate ethical commitments—a dimension highly relevant to enterprise procurement and governance decisions. [2601.16513v1] employs a mixed-methods approach combining qualitative content analysis with NLP-based topic modeling to analyze the evolution of OpenAI's public documentation across general and academic audiences. The findings reveal that safety and risk discourse dominate public communication while established academic ethics frameworks are largely absent, suggesting what the authors characterize as ethics-washing. For enterprise practitioners evaluating RAG systems, this raises important questions about the reliability of vendor-supplied ethical frameworks and whether publicly stated commitments reflect internal development practices. The study is constrained, however, by its single-company scope and exclusive reliance on public-facing documentation, limiting inferences about the broader industry.</w:t>
      </w:r>
    </w:p>
    <w:p>
      <w:pPr>
        <w:spacing w:after="160"/>
      </w:pPr>
      <w:r>
        <w:t>### Synthesis</w:t>
      </w:r>
    </w:p>
    <w:p>
      <w:pPr>
        <w:spacing w:after="160"/>
      </w:pPr>
      <w:r>
        <w:t>Together, these papers illuminate a tension between theoretical governance design and real-world institutional practice. [2601.00360v3] proposes forward-looking mechanisms for constraining problematic AI behavior, while [2601.16513v1] retrospectively surfaces the gap between ethical rhetoric and substantive accountability in AI organizations. For enterprise RAG evaluation, this suggests that technical performance benchmarks must be situated within broader governance and accountability structures—neither of which, according to the reviewed literature, currently rests on solid empirical foundations.</w:t>
      </w:r>
    </w:p>
    <w:p>
      <w:pPr>
        <w:spacing w:after="160"/>
      </w:pPr>
      <w:r>
        <w:t>### Research Gaps</w:t>
      </w:r>
    </w:p>
    <w:p>
      <w:pPr>
        <w:spacing w:after="160"/>
      </w:pPr>
      <w:r>
        <w:t>Several significant gaps emerge from this body of work. First, **both papers lack empirical validation**: the intervention taxonomy proposed by [2601.00360v3] remains untested in real deployment scenarios, and the rhetorical analysis in [2601.16513v1] does not examine whether public ethical framings correspond to measurable system design choices [2601.00360v3, 2601.16513v1]. Second, **generalizability is substantially limited**: the conceptual nature of [2601.00360v3] leaves its open challenges—attribution, boundary definition, adversarial adaptation—unresolved, while [2601.16513v1]'s single-company case study cannot support industry-wide conclusions [2601.00360v3, 2601.16513v1]. These gaps collectively point to a pressing need for empirically grounded, multi-organizational research that connects governance theory with measurable evaluation outcomes in enterprise RAG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