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evaluation methods for enterprise AI systems</w:t>
      </w:r>
    </w:p>
    <w:p>
      <w:pPr>
        <w:pStyle w:val="Heading1"/>
      </w:pPr>
      <w:r>
        <w:t>RAG Evaluation Methods for Enterprise AI Systems</w:t>
      </w:r>
    </w:p>
    <w:p>
      <w:pPr>
        <w:spacing w:after="160"/>
      </w:pPr>
      <w:r>
        <w:t>### Introduction</w:t>
      </w:r>
    </w:p>
    <w:p>
      <w:pPr>
        <w:spacing w:after="160"/>
      </w:pPr>
      <w:r>
        <w:t>Retrieval-augmented generation (RAG) has emerged as a central paradigm for grounding large language model (LLM) outputs in external knowledge, making it particularly relevant for enterprise AI deployments where reliability and accuracy are critical. Evaluating RAG systems in enterprise contexts, however, requires navigating complex trade-offs between technical performance, trustworthiness, and operational feasibility. The literature in this space spans from high-level architectural proposals to concrete empirical benchmarks, reflecting a field still maturing toward standardized evaluation practice.</w:t>
      </w:r>
    </w:p>
    <w:p>
      <w:pPr>
        <w:spacing w:after="160"/>
      </w:pPr>
      <w:r>
        <w:t>---</w:t>
      </w:r>
    </w:p>
    <w:p>
      <w:pPr>
        <w:spacing w:after="160"/>
      </w:pPr>
      <w:r>
        <w:t>### Architectural Foundations and Theoretical Grounding</w:t>
      </w:r>
    </w:p>
    <w:p>
      <w:pPr>
        <w:spacing w:after="160"/>
      </w:pPr>
      <w:r>
        <w:t>A foundational challenge in enterprise RAG deployment is the lack of structured blueprints for integrating retrieval components within broader compound AI systems. [2406.00584v1] addresses this by proposing a blueprint architecture centered on a "stream" abstraction to orchestrate data and instructions across agents, task planners, and data registries. While this framework explicitly targets production constraints such as accuracy and latency, it remains a conceptual proposal without empirical validation or performance benchmarks, leaving open questions about practical implementation.</w:t>
      </w:r>
    </w:p>
    <w:p>
      <w:pPr>
        <w:spacing w:after="160"/>
      </w:pPr>
      <w:r>
        <w:t>Complementing this architectural perspective, [2501.02842v1] surveys the generative AI foundations underlying modern information access systems, identifying two key paradigms: *information generation*, which produces tailored content directly, and *information synthesis*, which integrates existing information to ground responses and mitigate hallucination. This theoretical framing provides important vocabulary for understanding where RAG sits within the broader enterprise AI landscape, though as a survey it similarly offers no empirical evaluation of the challenges it identifies — including hallucination, precision requirements, and external knowledge integration.</w:t>
      </w:r>
    </w:p>
    <w:p>
      <w:pPr>
        <w:spacing w:after="160"/>
      </w:pPr>
      <w:r>
        <w:t>Together, these two works establish the conceptual scaffolding within which RAG evaluation must operate, but neither bridges the gap to measurable, reproducible outcomes.</w:t>
      </w:r>
    </w:p>
    <w:p>
      <w:pPr>
        <w:spacing w:after="160"/>
      </w:pPr>
      <w:r>
        <w:t>---</w:t>
      </w:r>
    </w:p>
    <w:p>
      <w:pPr>
        <w:spacing w:after="160"/>
      </w:pPr>
      <w:r>
        <w:t>### Empirical Evaluation of Multimodal RAG Systems</w:t>
      </w:r>
    </w:p>
    <w:p>
      <w:pPr>
        <w:spacing w:after="160"/>
      </w:pPr>
      <w:r>
        <w:t>In contrast to the theoretical contributions above, [2506.21604v1] takes a concrete empirical stance by introducing a systematic quantitative benchmarking framework for VisualRAG systems in enterprise document understanding. The study measures trustworthiness by progressively integrating cross-modal inputs — text, images, captions, and OCR — and identifies an optimal modality weighting (30% text, 15% image, 25% caption, 30% OCR) that achieves a 57.3% performance improvement over text-only baselines while maintaining computational efficiency. Notably, this is the only paper among the reviewed works to report quantitative, comparable outcomes, making it the most operationally grounded contribution in this set.</w:t>
      </w:r>
    </w:p>
    <w:p>
      <w:pPr>
        <w:spacing w:after="160"/>
      </w:pPr>
      <w:r>
        <w:t>However, [2506.21604v1] also surfaces important methodological limitations: the specific enterprise domains tested are not disclosed, the generalizability of the optimal modality weights is explicitly uncertain, and the definition of "user-centric trust measures" — a central construct — is left underspecified. This limits reproducibility and cross-study comparison, concerns that echo the broader evaluation transparency problems present across the literature.</w:t>
      </w:r>
    </w:p>
    <w:p>
      <w:pPr>
        <w:spacing w:after="160"/>
      </w:pPr>
      <w:r>
        <w:t>---</w:t>
      </w:r>
    </w:p>
    <w:p>
      <w:pPr>
        <w:spacing w:after="160"/>
      </w:pPr>
      <w:r>
        <w:t>### Research Gaps</w:t>
      </w:r>
    </w:p>
    <w:p>
      <w:pPr>
        <w:spacing w:after="160"/>
      </w:pPr>
      <w:r>
        <w:t>Several critical gaps emerge from this body of work:</w:t>
      </w:r>
    </w:p>
    <w:p>
      <w:pPr>
        <w:spacing w:after="160"/>
      </w:pPr>
      <w:r>
        <w:t>1. **Absence of empirical validation for architectural proposals.** Conceptual frameworks such as those in [2406.00584v1] and [2501.02842v1] are not accompanied by benchmarks or performance data, making it impossible to assess whether proposed designs meet real-world enterprise requirements.</w:t>
      </w:r>
    </w:p>
    <w:p>
      <w:pPr>
        <w:spacing w:after="160"/>
      </w:pPr>
      <w:r>
        <w:t>2. **Generalizability across enterprise domains.** Neither architectural blueprints [2406.00584v1] nor empirically derived modality weights [2506.21604v1] have been tested across diverse document types or industry domains, leaving transferability an open question.</w:t>
      </w:r>
    </w:p>
    <w:p>
      <w:pPr>
        <w:spacing w:after="160"/>
      </w:pPr>
      <w:r>
        <w:t>3. **Persistent hallucination and knowledge integration challenges.** Both [2501.02842v1] and [2506.21604v1] identify hallucination and external knowledge grounding as unresolved problems, yet neither provides a systematic solution or evaluation protocol for addressing them.</w:t>
      </w:r>
    </w:p>
    <w:p>
      <w:pPr>
        <w:spacing w:after="160"/>
      </w:pPr>
      <w:r>
        <w:t>4. **Underspecified evaluation methodology.** Across the reviewed papers, key metrics — including trust measures [2506.21604v1] and production constraints like accuracy [2406.00584v1] — lack precise operational definitions, impeding reproducibility and cross-study comparison.</w:t>
      </w:r>
    </w:p>
    <w:p>
      <w:pPr>
        <w:spacing w:after="160"/>
      </w:pPr>
      <w:r>
        <w:t>Collectively, these gaps indicate that RAG evaluation for enterprise AI remains in a framework-building phase. Rigorous, domain-specific empirical benchmarks and transparent evaluation methodologies are urgently needed to move the field toward validated, deployable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