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Family Portfolio Tracker</w:t>
      </w:r>
    </w:p>
    <w:p>
      <w:pPr>
        <w:spacing w:after="140"/>
        <w:rPr>
          <w:color w:val="555555"/>
          <w:sz w:val="28"/>
          <w:szCs w:val="28"/>
        </w:rPr>
      </w:pPr>
      <w:r>
        <w:rPr>
          <w:color w:val="555555"/>
          <w:sz w:val="28"/>
          <w:szCs w:val="28"/>
        </w:rPr>
        <w:t xml:space="preserve">Feasibility study</w:t>
      </w:r>
    </w:p>
    <w:p>
      <w:pPr>
        <w:pBdr>
          <w:bottom w:val="single" w:color="1F3B5C" w:sz="6" w:space="6"/>
        </w:pBdr>
        <w:spacing w:after="140"/>
        <w:rPr>
          <w:color w:val="777777"/>
          <w:sz w:val="19"/>
          <w:szCs w:val="19"/>
        </w:rPr>
      </w:pPr>
      <w:r>
        <w:rPr>
          <w:color w:val="777777"/>
          <w:sz w:val="19"/>
          <w:szCs w:val="19"/>
        </w:rPr>
        <w:t xml:space="preserve">Prepared for Ondrej · 23 August 2026 · based on app_description.rtf, rodina_portfolia.xlsm and broker_printscreen.png</w:t>
      </w:r>
    </w:p>
    <w:p>
      <w:pPr>
        <w:pStyle w:val="Heading1"/>
        <w:spacing w:after="120" w:before="320"/>
      </w:pPr>
      <w:r>
        <w:t xml:space="preserve">1. Verdict</w:t>
      </w:r>
    </w:p>
    <w:p>
      <w:pPr>
        <w:spacing w:after="140"/>
      </w:pPr>
      <w:r>
        <w:t xml:space="preserve">The app is feasible, low-risk and small. Everything you asked for can be built with a static distribution key, free end-of-day price data and a simple “virtual units” calculation. Under the simplifying assumptions you already accepted (zero fees, instant investment of each deposit, static key, no batching) the whole thing is essentially one calculation applied to three short deposit tables. The only part that needs real care is the price feed, because it is the one external dependency, and it is solvable with a cache-first design.</w:t>
      </w:r>
    </w:p>
    <w:p>
      <w:pPr>
        <w:spacing w:after="140"/>
      </w:pPr>
      <w:r>
        <w:t xml:space="preserve">Recommended shape: a tiny Python service that refreshes daily prices once a day and stores them in SQLite or a CSV; a static-ish web page per family member behind a private link; and a “yearly summary” export (PDF or a shareable page) generated from the same data. Realistic effort for a working first version is 2–4 evenings, and running cost can be zero.</w:t>
      </w:r>
    </w:p>
    <w:p>
      <w:pPr>
        <w:pStyle w:val="Heading1"/>
        <w:spacing w:after="120" w:before="320"/>
      </w:pPr>
      <w:r>
        <w:t xml:space="preserve">2. What we are starting from</w:t>
      </w:r>
    </w:p>
    <w:p>
      <w:pPr>
        <w:pStyle w:val="Heading2"/>
        <w:spacing w:after="100" w:before="220"/>
      </w:pPr>
      <w:r>
        <w:t xml:space="preserve">2.1 The model portfolio (Degiro screenshot, 21 Aug 2026)</w:t>
      </w:r>
    </w:p>
    <w:p>
      <w:pPr>
        <w:spacing w:after="140"/>
      </w:pPr>
      <w:r>
        <w:t xml:space="preserve">Five accumulating UCITS ETFs, all traded on Borsa Italiana (MIL) in EUR. Because they are accumulating there are no dividends to model, which removes a whole class of complexity. The current weights derived from the screenshot become the static distribution key: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100"/>
        <w:gridCol w:w="1500"/>
        <w:gridCol w:w="1200"/>
      </w:tblGrid>
      <w:tr>
        <w:trPr>
          <w:tblHeader/>
        </w:trPr>
        <w:tc>
          <w:tcPr>
            <w:tcW w:type="dxa" w:w="2900"/>
            <w:shd w:fill="E8EEF4" w:color="auto" w:val="clear"/>
            <w:tcMar>
              <w:top w:type="dxa" w:w="60"/>
              <w:left w:type="dxa" w:w="100"/>
              <w:bottom w:type="dxa" w:w="60"/>
              <w:right w:type="dxa" w:w="100"/>
            </w:tcMar>
          </w:tcPr>
          <w:p>
            <w:r>
              <w:rPr>
                <w:b/>
                <w:bCs/>
                <w:sz w:val="19"/>
                <w:szCs w:val="19"/>
              </w:rPr>
              <w:t xml:space="preserve">ETF</w:t>
            </w:r>
          </w:p>
        </w:tc>
        <w:tc>
          <w:tcPr>
            <w:tcW w:type="dxa" w:w="1500"/>
            <w:shd w:fill="E8EEF4" w:color="auto" w:val="clear"/>
            <w:tcMar>
              <w:top w:type="dxa" w:w="60"/>
              <w:left w:type="dxa" w:w="100"/>
              <w:bottom w:type="dxa" w:w="60"/>
              <w:right w:type="dxa" w:w="100"/>
            </w:tcMar>
          </w:tcPr>
          <w:p>
            <w:r>
              <w:rPr>
                <w:b/>
                <w:bCs/>
                <w:sz w:val="19"/>
                <w:szCs w:val="19"/>
              </w:rPr>
              <w:t xml:space="preserve">Symbol</w:t>
            </w:r>
          </w:p>
        </w:tc>
        <w:tc>
          <w:tcPr>
            <w:tcW w:type="dxa" w:w="2100"/>
            <w:shd w:fill="E8EEF4" w:color="auto" w:val="clear"/>
            <w:tcMar>
              <w:top w:type="dxa" w:w="60"/>
              <w:left w:type="dxa" w:w="100"/>
              <w:bottom w:type="dxa" w:w="60"/>
              <w:right w:type="dxa" w:w="100"/>
            </w:tcMar>
          </w:tcPr>
          <w:p>
            <w:r>
              <w:rPr>
                <w:b/>
                <w:bCs/>
                <w:sz w:val="19"/>
                <w:szCs w:val="19"/>
              </w:rPr>
              <w:t xml:space="preserve">ISIN</w:t>
            </w:r>
          </w:p>
        </w:tc>
        <w:tc>
          <w:tcPr>
            <w:tcW w:type="dxa" w:w="1500"/>
            <w:shd w:fill="E8EEF4" w:color="auto" w:val="clear"/>
            <w:tcMar>
              <w:top w:type="dxa" w:w="60"/>
              <w:left w:type="dxa" w:w="100"/>
              <w:bottom w:type="dxa" w:w="60"/>
              <w:right w:type="dxa" w:w="100"/>
            </w:tcMar>
          </w:tcPr>
          <w:p>
            <w:r>
              <w:rPr>
                <w:b/>
                <w:bCs/>
                <w:sz w:val="19"/>
                <w:szCs w:val="19"/>
              </w:rPr>
              <w:t xml:space="preserve">Value (€)</w:t>
            </w:r>
          </w:p>
        </w:tc>
        <w:tc>
          <w:tcPr>
            <w:tcW w:type="dxa" w:w="1200"/>
            <w:shd w:fill="E8EEF4" w:color="auto" w:val="clear"/>
            <w:tcMar>
              <w:top w:type="dxa" w:w="60"/>
              <w:left w:type="dxa" w:w="100"/>
              <w:bottom w:type="dxa" w:w="60"/>
              <w:right w:type="dxa" w:w="100"/>
            </w:tcMar>
          </w:tcPr>
          <w:p>
            <w:r>
              <w:rPr>
                <w:b/>
                <w:bCs/>
                <w:sz w:val="19"/>
                <w:szCs w:val="19"/>
              </w:rPr>
              <w:t xml:space="preserve">Key</w:t>
            </w:r>
          </w:p>
        </w:tc>
      </w:tr>
      <w:tr>
        <w:trPr>
          <w:tblHeader w:val="false"/>
        </w:trPr>
        <w:tc>
          <w:tcPr>
            <w:tcW w:type="dxa" w:w="2900"/>
            <w:tcMar>
              <w:top w:type="dxa" w:w="60"/>
              <w:left w:type="dxa" w:w="100"/>
              <w:bottom w:type="dxa" w:w="60"/>
              <w:right w:type="dxa" w:w="100"/>
            </w:tcMar>
          </w:tcPr>
          <w:p>
            <w:r>
              <w:rPr>
                <w:b w:val="false"/>
                <w:bCs w:val="false"/>
                <w:sz w:val="19"/>
                <w:szCs w:val="19"/>
              </w:rPr>
              <w:t xml:space="preserve">iShares Core S&amp;P 500 UCITS</w:t>
            </w:r>
          </w:p>
        </w:tc>
        <w:tc>
          <w:tcPr>
            <w:tcW w:type="dxa" w:w="1500"/>
            <w:tcMar>
              <w:top w:type="dxa" w:w="60"/>
              <w:left w:type="dxa" w:w="100"/>
              <w:bottom w:type="dxa" w:w="60"/>
              <w:right w:type="dxa" w:w="100"/>
            </w:tcMar>
          </w:tcPr>
          <w:p>
            <w:r>
              <w:rPr>
                <w:b w:val="false"/>
                <w:bCs w:val="false"/>
                <w:sz w:val="19"/>
                <w:szCs w:val="19"/>
              </w:rPr>
              <w:t xml:space="preserve">CSSPX</w:t>
            </w:r>
          </w:p>
        </w:tc>
        <w:tc>
          <w:tcPr>
            <w:tcW w:type="dxa" w:w="2100"/>
            <w:tcMar>
              <w:top w:type="dxa" w:w="60"/>
              <w:left w:type="dxa" w:w="100"/>
              <w:bottom w:type="dxa" w:w="60"/>
              <w:right w:type="dxa" w:w="100"/>
            </w:tcMar>
          </w:tcPr>
          <w:p>
            <w:r>
              <w:rPr>
                <w:b w:val="false"/>
                <w:bCs w:val="false"/>
                <w:sz w:val="19"/>
                <w:szCs w:val="19"/>
              </w:rPr>
              <w:t xml:space="preserve">IE00B5BMR087</w:t>
            </w:r>
          </w:p>
        </w:tc>
        <w:tc>
          <w:tcPr>
            <w:tcW w:type="dxa" w:w="1500"/>
            <w:tcMar>
              <w:top w:type="dxa" w:w="60"/>
              <w:left w:type="dxa" w:w="100"/>
              <w:bottom w:type="dxa" w:w="60"/>
              <w:right w:type="dxa" w:w="100"/>
            </w:tcMar>
          </w:tcPr>
          <w:p>
            <w:r>
              <w:rPr>
                <w:b w:val="false"/>
                <w:bCs w:val="false"/>
                <w:sz w:val="19"/>
                <w:szCs w:val="19"/>
              </w:rPr>
              <w:t xml:space="preserve">44,673</w:t>
            </w:r>
          </w:p>
        </w:tc>
        <w:tc>
          <w:tcPr>
            <w:tcW w:type="dxa" w:w="1200"/>
            <w:tcMar>
              <w:top w:type="dxa" w:w="60"/>
              <w:left w:type="dxa" w:w="100"/>
              <w:bottom w:type="dxa" w:w="60"/>
              <w:right w:type="dxa" w:w="100"/>
            </w:tcMar>
          </w:tcPr>
          <w:p>
            <w:r>
              <w:rPr>
                <w:b w:val="false"/>
                <w:bCs w:val="false"/>
                <w:sz w:val="19"/>
                <w:szCs w:val="19"/>
              </w:rPr>
              <w:t xml:space="preserve">40.2 %</w:t>
            </w:r>
          </w:p>
        </w:tc>
      </w:tr>
      <w:tr>
        <w:trPr>
          <w:tblHeader w:val="false"/>
        </w:trPr>
        <w:tc>
          <w:tcPr>
            <w:tcW w:type="dxa" w:w="2900"/>
            <w:tcMar>
              <w:top w:type="dxa" w:w="60"/>
              <w:left w:type="dxa" w:w="100"/>
              <w:bottom w:type="dxa" w:w="60"/>
              <w:right w:type="dxa" w:w="100"/>
            </w:tcMar>
          </w:tcPr>
          <w:p>
            <w:r>
              <w:rPr>
                <w:b w:val="false"/>
                <w:bCs w:val="false"/>
                <w:sz w:val="19"/>
                <w:szCs w:val="19"/>
              </w:rPr>
              <w:t xml:space="preserve">SPDR Russell 2000 US Small Cap</w:t>
            </w:r>
          </w:p>
        </w:tc>
        <w:tc>
          <w:tcPr>
            <w:tcW w:type="dxa" w:w="1500"/>
            <w:tcMar>
              <w:top w:type="dxa" w:w="60"/>
              <w:left w:type="dxa" w:w="100"/>
              <w:bottom w:type="dxa" w:w="60"/>
              <w:right w:type="dxa" w:w="100"/>
            </w:tcMar>
          </w:tcPr>
          <w:p>
            <w:r>
              <w:rPr>
                <w:b w:val="false"/>
                <w:bCs w:val="false"/>
                <w:sz w:val="19"/>
                <w:szCs w:val="19"/>
              </w:rPr>
              <w:t xml:space="preserve">R2US</w:t>
            </w:r>
          </w:p>
        </w:tc>
        <w:tc>
          <w:tcPr>
            <w:tcW w:type="dxa" w:w="2100"/>
            <w:tcMar>
              <w:top w:type="dxa" w:w="60"/>
              <w:left w:type="dxa" w:w="100"/>
              <w:bottom w:type="dxa" w:w="60"/>
              <w:right w:type="dxa" w:w="100"/>
            </w:tcMar>
          </w:tcPr>
          <w:p>
            <w:r>
              <w:rPr>
                <w:b w:val="false"/>
                <w:bCs w:val="false"/>
                <w:sz w:val="19"/>
                <w:szCs w:val="19"/>
              </w:rPr>
              <w:t xml:space="preserve">IE00BJ38QD84</w:t>
            </w:r>
          </w:p>
        </w:tc>
        <w:tc>
          <w:tcPr>
            <w:tcW w:type="dxa" w:w="1500"/>
            <w:tcMar>
              <w:top w:type="dxa" w:w="60"/>
              <w:left w:type="dxa" w:w="100"/>
              <w:bottom w:type="dxa" w:w="60"/>
              <w:right w:type="dxa" w:w="100"/>
            </w:tcMar>
          </w:tcPr>
          <w:p>
            <w:r>
              <w:rPr>
                <w:b w:val="false"/>
                <w:bCs w:val="false"/>
                <w:sz w:val="19"/>
                <w:szCs w:val="19"/>
              </w:rPr>
              <w:t xml:space="preserve">11,441</w:t>
            </w:r>
          </w:p>
        </w:tc>
        <w:tc>
          <w:tcPr>
            <w:tcW w:type="dxa" w:w="1200"/>
            <w:tcMar>
              <w:top w:type="dxa" w:w="60"/>
              <w:left w:type="dxa" w:w="100"/>
              <w:bottom w:type="dxa" w:w="60"/>
              <w:right w:type="dxa" w:w="100"/>
            </w:tcMar>
          </w:tcPr>
          <w:p>
            <w:r>
              <w:rPr>
                <w:b w:val="false"/>
                <w:bCs w:val="false"/>
                <w:sz w:val="19"/>
                <w:szCs w:val="19"/>
              </w:rPr>
              <w:t xml:space="preserve">10.3 %</w:t>
            </w:r>
          </w:p>
        </w:tc>
      </w:tr>
      <w:tr>
        <w:trPr>
          <w:tblHeader w:val="false"/>
        </w:trPr>
        <w:tc>
          <w:tcPr>
            <w:tcW w:type="dxa" w:w="2900"/>
            <w:tcMar>
              <w:top w:type="dxa" w:w="60"/>
              <w:left w:type="dxa" w:w="100"/>
              <w:bottom w:type="dxa" w:w="60"/>
              <w:right w:type="dxa" w:w="100"/>
            </w:tcMar>
          </w:tcPr>
          <w:p>
            <w:r>
              <w:rPr>
                <w:b w:val="false"/>
                <w:bCs w:val="false"/>
                <w:sz w:val="19"/>
                <w:szCs w:val="19"/>
              </w:rPr>
              <w:t xml:space="preserve">SPDR S&amp;P 400 US Mid Cap</w:t>
            </w:r>
          </w:p>
        </w:tc>
        <w:tc>
          <w:tcPr>
            <w:tcW w:type="dxa" w:w="1500"/>
            <w:tcMar>
              <w:top w:type="dxa" w:w="60"/>
              <w:left w:type="dxa" w:w="100"/>
              <w:bottom w:type="dxa" w:w="60"/>
              <w:right w:type="dxa" w:w="100"/>
            </w:tcMar>
          </w:tcPr>
          <w:p>
            <w:r>
              <w:rPr>
                <w:b w:val="false"/>
                <w:bCs w:val="false"/>
                <w:sz w:val="19"/>
                <w:szCs w:val="19"/>
              </w:rPr>
              <w:t xml:space="preserve">SPY4</w:t>
            </w:r>
          </w:p>
        </w:tc>
        <w:tc>
          <w:tcPr>
            <w:tcW w:type="dxa" w:w="2100"/>
            <w:tcMar>
              <w:top w:type="dxa" w:w="60"/>
              <w:left w:type="dxa" w:w="100"/>
              <w:bottom w:type="dxa" w:w="60"/>
              <w:right w:type="dxa" w:w="100"/>
            </w:tcMar>
          </w:tcPr>
          <w:p>
            <w:r>
              <w:rPr>
                <w:b w:val="false"/>
                <w:bCs w:val="false"/>
                <w:sz w:val="19"/>
                <w:szCs w:val="19"/>
              </w:rPr>
              <w:t xml:space="preserve">IE00B4YBJ215</w:t>
            </w:r>
          </w:p>
        </w:tc>
        <w:tc>
          <w:tcPr>
            <w:tcW w:type="dxa" w:w="1500"/>
            <w:tcMar>
              <w:top w:type="dxa" w:w="60"/>
              <w:left w:type="dxa" w:w="100"/>
              <w:bottom w:type="dxa" w:w="60"/>
              <w:right w:type="dxa" w:w="100"/>
            </w:tcMar>
          </w:tcPr>
          <w:p>
            <w:r>
              <w:rPr>
                <w:b w:val="false"/>
                <w:bCs w:val="false"/>
                <w:sz w:val="19"/>
                <w:szCs w:val="19"/>
              </w:rPr>
              <w:t xml:space="preserve">15,202</w:t>
            </w:r>
          </w:p>
        </w:tc>
        <w:tc>
          <w:tcPr>
            <w:tcW w:type="dxa" w:w="1200"/>
            <w:tcMar>
              <w:top w:type="dxa" w:w="60"/>
              <w:left w:type="dxa" w:w="100"/>
              <w:bottom w:type="dxa" w:w="60"/>
              <w:right w:type="dxa" w:w="100"/>
            </w:tcMar>
          </w:tcPr>
          <w:p>
            <w:r>
              <w:rPr>
                <w:b w:val="false"/>
                <w:bCs w:val="false"/>
                <w:sz w:val="19"/>
                <w:szCs w:val="19"/>
              </w:rPr>
              <w:t xml:space="preserve">13.7 %</w:t>
            </w:r>
          </w:p>
        </w:tc>
      </w:tr>
      <w:tr>
        <w:trPr>
          <w:tblHeader w:val="false"/>
        </w:trPr>
        <w:tc>
          <w:tcPr>
            <w:tcW w:type="dxa" w:w="2900"/>
            <w:tcMar>
              <w:top w:type="dxa" w:w="60"/>
              <w:left w:type="dxa" w:w="100"/>
              <w:bottom w:type="dxa" w:w="60"/>
              <w:right w:type="dxa" w:w="100"/>
            </w:tcMar>
          </w:tcPr>
          <w:p>
            <w:r>
              <w:rPr>
                <w:b w:val="false"/>
                <w:bCs w:val="false"/>
                <w:sz w:val="19"/>
                <w:szCs w:val="19"/>
              </w:rPr>
              <w:t xml:space="preserve">Xtrackers MSCI Europe Small Cap</w:t>
            </w:r>
          </w:p>
        </w:tc>
        <w:tc>
          <w:tcPr>
            <w:tcW w:type="dxa" w:w="1500"/>
            <w:tcMar>
              <w:top w:type="dxa" w:w="60"/>
              <w:left w:type="dxa" w:w="100"/>
              <w:bottom w:type="dxa" w:w="60"/>
              <w:right w:type="dxa" w:w="100"/>
            </w:tcMar>
          </w:tcPr>
          <w:p>
            <w:r>
              <w:rPr>
                <w:b w:val="false"/>
                <w:bCs w:val="false"/>
                <w:sz w:val="19"/>
                <w:szCs w:val="19"/>
              </w:rPr>
              <w:t xml:space="preserve">XXSC</w:t>
            </w:r>
          </w:p>
        </w:tc>
        <w:tc>
          <w:tcPr>
            <w:tcW w:type="dxa" w:w="2100"/>
            <w:tcMar>
              <w:top w:type="dxa" w:w="60"/>
              <w:left w:type="dxa" w:w="100"/>
              <w:bottom w:type="dxa" w:w="60"/>
              <w:right w:type="dxa" w:w="100"/>
            </w:tcMar>
          </w:tcPr>
          <w:p>
            <w:r>
              <w:rPr>
                <w:b w:val="false"/>
                <w:bCs w:val="false"/>
                <w:sz w:val="19"/>
                <w:szCs w:val="19"/>
              </w:rPr>
              <w:t xml:space="preserve">LU0322253906</w:t>
            </w:r>
          </w:p>
        </w:tc>
        <w:tc>
          <w:tcPr>
            <w:tcW w:type="dxa" w:w="1500"/>
            <w:tcMar>
              <w:top w:type="dxa" w:w="60"/>
              <w:left w:type="dxa" w:w="100"/>
              <w:bottom w:type="dxa" w:w="60"/>
              <w:right w:type="dxa" w:w="100"/>
            </w:tcMar>
          </w:tcPr>
          <w:p>
            <w:r>
              <w:rPr>
                <w:b w:val="false"/>
                <w:bCs w:val="false"/>
                <w:sz w:val="19"/>
                <w:szCs w:val="19"/>
              </w:rPr>
              <w:t xml:space="preserve">5,870</w:t>
            </w:r>
          </w:p>
        </w:tc>
        <w:tc>
          <w:tcPr>
            <w:tcW w:type="dxa" w:w="1200"/>
            <w:tcMar>
              <w:top w:type="dxa" w:w="60"/>
              <w:left w:type="dxa" w:w="100"/>
              <w:bottom w:type="dxa" w:w="60"/>
              <w:right w:type="dxa" w:w="100"/>
            </w:tcMar>
          </w:tcPr>
          <w:p>
            <w:r>
              <w:rPr>
                <w:b w:val="false"/>
                <w:bCs w:val="false"/>
                <w:sz w:val="19"/>
                <w:szCs w:val="19"/>
              </w:rPr>
              <w:t xml:space="preserve">5.3 %</w:t>
            </w:r>
          </w:p>
        </w:tc>
      </w:tr>
      <w:tr>
        <w:trPr>
          <w:tblHeader w:val="false"/>
        </w:trPr>
        <w:tc>
          <w:tcPr>
            <w:tcW w:type="dxa" w:w="2900"/>
            <w:tcMar>
              <w:top w:type="dxa" w:w="60"/>
              <w:left w:type="dxa" w:w="100"/>
              <w:bottom w:type="dxa" w:w="60"/>
              <w:right w:type="dxa" w:w="100"/>
            </w:tcMar>
          </w:tcPr>
          <w:p>
            <w:r>
              <w:rPr>
                <w:b w:val="false"/>
                <w:bCs w:val="false"/>
                <w:sz w:val="19"/>
                <w:szCs w:val="19"/>
              </w:rPr>
              <w:t xml:space="preserve">Xtrackers STOXX Europe 600</w:t>
            </w:r>
          </w:p>
        </w:tc>
        <w:tc>
          <w:tcPr>
            <w:tcW w:type="dxa" w:w="1500"/>
            <w:tcMar>
              <w:top w:type="dxa" w:w="60"/>
              <w:left w:type="dxa" w:w="100"/>
              <w:bottom w:type="dxa" w:w="60"/>
              <w:right w:type="dxa" w:w="100"/>
            </w:tcMar>
          </w:tcPr>
          <w:p>
            <w:r>
              <w:rPr>
                <w:b w:val="false"/>
                <w:bCs w:val="false"/>
                <w:sz w:val="19"/>
                <w:szCs w:val="19"/>
              </w:rPr>
              <w:t xml:space="preserve">XSX6</w:t>
            </w:r>
          </w:p>
        </w:tc>
        <w:tc>
          <w:tcPr>
            <w:tcW w:type="dxa" w:w="2100"/>
            <w:tcMar>
              <w:top w:type="dxa" w:w="60"/>
              <w:left w:type="dxa" w:w="100"/>
              <w:bottom w:type="dxa" w:w="60"/>
              <w:right w:type="dxa" w:w="100"/>
            </w:tcMar>
          </w:tcPr>
          <w:p>
            <w:r>
              <w:rPr>
                <w:b w:val="false"/>
                <w:bCs w:val="false"/>
                <w:sz w:val="19"/>
                <w:szCs w:val="19"/>
              </w:rPr>
              <w:t xml:space="preserve">LU0328475792</w:t>
            </w:r>
          </w:p>
        </w:tc>
        <w:tc>
          <w:tcPr>
            <w:tcW w:type="dxa" w:w="1500"/>
            <w:tcMar>
              <w:top w:type="dxa" w:w="60"/>
              <w:left w:type="dxa" w:w="100"/>
              <w:bottom w:type="dxa" w:w="60"/>
              <w:right w:type="dxa" w:w="100"/>
            </w:tcMar>
          </w:tcPr>
          <w:p>
            <w:r>
              <w:rPr>
                <w:b w:val="false"/>
                <w:bCs w:val="false"/>
                <w:sz w:val="19"/>
                <w:szCs w:val="19"/>
              </w:rPr>
              <w:t xml:space="preserve">33,906</w:t>
            </w:r>
          </w:p>
        </w:tc>
        <w:tc>
          <w:tcPr>
            <w:tcW w:type="dxa" w:w="1200"/>
            <w:tcMar>
              <w:top w:type="dxa" w:w="60"/>
              <w:left w:type="dxa" w:w="100"/>
              <w:bottom w:type="dxa" w:w="60"/>
              <w:right w:type="dxa" w:w="100"/>
            </w:tcMar>
          </w:tcPr>
          <w:p>
            <w:r>
              <w:rPr>
                <w:b w:val="false"/>
                <w:bCs w:val="false"/>
                <w:sz w:val="19"/>
                <w:szCs w:val="19"/>
              </w:rPr>
              <w:t xml:space="preserve">30.5 %</w:t>
            </w:r>
          </w:p>
        </w:tc>
      </w:tr>
    </w:tbl>
    <w:p>
      <w:pPr>
        <w:spacing w:after="60"/>
      </w:pPr>
      <w:r>
        <w:t xml:space="preserve"/>
      </w:r>
    </w:p>
    <w:p>
      <w:pPr>
        <w:spacing w:after="140"/>
      </w:pPr>
      <w:r>
        <w:t xml:space="preserve">Note that these weights are the drifted current values, not the original purchase key. Since you said the key is static and approximate, the simplest honest choice is to pick one round key (e.g. 40/10/15/5/30) and state it on the page. Any single key will reproduce the shape of your real returns closely because all five ETFs are broad equity indices that moved largely together over 2021–2026.</w:t>
      </w:r>
    </w:p>
    <w:p>
      <w:pPr>
        <w:pStyle w:val="Heading2"/>
        <w:spacing w:after="100" w:before="220"/>
      </w:pPr>
      <w:r>
        <w:t xml:space="preserve">2.2 The deposit ledger (rodina_portfolia.xlsm)</w:t>
      </w:r>
    </w:p>
    <w:p>
      <w:pPr>
        <w:spacing w:after="140"/>
      </w:pPr>
      <w:r>
        <w:t xml:space="preserve">The workbook contains three sheets with identical structure: a date in YYYYMMDD form, a note on who sent the money, and the amount in EUR. There is a VBA project inside but the data itself is plain and can be read directly without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700"/>
      </w:tblGrid>
      <w:tr>
        <w:trPr>
          <w:tblHeader/>
        </w:trPr>
        <w:tc>
          <w:tcPr>
            <w:tcW w:type="dxa" w:w="2200"/>
            <w:shd w:fill="E8EEF4" w:color="auto" w:val="clear"/>
            <w:tcMar>
              <w:top w:type="dxa" w:w="60"/>
              <w:left w:type="dxa" w:w="100"/>
              <w:bottom w:type="dxa" w:w="60"/>
              <w:right w:type="dxa" w:w="100"/>
            </w:tcMar>
          </w:tcPr>
          <w:p>
            <w:r>
              <w:rPr>
                <w:b/>
                <w:bCs/>
                <w:sz w:val="19"/>
                <w:szCs w:val="19"/>
              </w:rPr>
              <w:t xml:space="preserve">Sheet</w:t>
            </w:r>
          </w:p>
        </w:tc>
        <w:tc>
          <w:tcPr>
            <w:tcW w:type="dxa" w:w="1500"/>
            <w:shd w:fill="E8EEF4" w:color="auto" w:val="clear"/>
            <w:tcMar>
              <w:top w:type="dxa" w:w="60"/>
              <w:left w:type="dxa" w:w="100"/>
              <w:bottom w:type="dxa" w:w="60"/>
              <w:right w:type="dxa" w:w="100"/>
            </w:tcMar>
          </w:tcPr>
          <w:p>
            <w:r>
              <w:rPr>
                <w:b/>
                <w:bCs/>
                <w:sz w:val="19"/>
                <w:szCs w:val="19"/>
              </w:rPr>
              <w:t xml:space="preserve">Deposits</w:t>
            </w:r>
          </w:p>
        </w:tc>
        <w:tc>
          <w:tcPr>
            <w:tcW w:type="dxa" w:w="1800"/>
            <w:shd w:fill="E8EEF4" w:color="auto" w:val="clear"/>
            <w:tcMar>
              <w:top w:type="dxa" w:w="60"/>
              <w:left w:type="dxa" w:w="100"/>
              <w:bottom w:type="dxa" w:w="60"/>
              <w:right w:type="dxa" w:w="100"/>
            </w:tcMar>
          </w:tcPr>
          <w:p>
            <w:r>
              <w:rPr>
                <w:b/>
                <w:bCs/>
                <w:sz w:val="19"/>
                <w:szCs w:val="19"/>
              </w:rPr>
              <w:t xml:space="preserve">Total (€)</w:t>
            </w:r>
          </w:p>
        </w:tc>
        <w:tc>
          <w:tcPr>
            <w:tcW w:type="dxa" w:w="3700"/>
            <w:shd w:fill="E8EEF4" w:color="auto" w:val="clear"/>
            <w:tcMar>
              <w:top w:type="dxa" w:w="60"/>
              <w:left w:type="dxa" w:w="100"/>
              <w:bottom w:type="dxa" w:w="60"/>
              <w:right w:type="dxa" w:w="100"/>
            </w:tcMar>
          </w:tcPr>
          <w:p>
            <w:r>
              <w:rPr>
                <w:b/>
                <w:bCs/>
                <w:sz w:val="19"/>
                <w:szCs w:val="19"/>
              </w:rPr>
              <w:t xml:space="preserve">Period</w:t>
            </w:r>
          </w:p>
        </w:tc>
      </w:tr>
      <w:tr>
        <w:trPr>
          <w:tblHeader w:val="false"/>
        </w:trPr>
        <w:tc>
          <w:tcPr>
            <w:tcW w:type="dxa" w:w="2200"/>
            <w:tcMar>
              <w:top w:type="dxa" w:w="60"/>
              <w:left w:type="dxa" w:w="100"/>
              <w:bottom w:type="dxa" w:w="60"/>
              <w:right w:type="dxa" w:w="100"/>
            </w:tcMar>
          </w:tcPr>
          <w:p>
            <w:r>
              <w:rPr>
                <w:b w:val="false"/>
                <w:bCs w:val="false"/>
                <w:sz w:val="19"/>
                <w:szCs w:val="19"/>
              </w:rPr>
              <w:t xml:space="preserve">tana_nina (nieces, ×2)</w:t>
            </w:r>
          </w:p>
        </w:tc>
        <w:tc>
          <w:tcPr>
            <w:tcW w:type="dxa" w:w="1500"/>
            <w:tcMar>
              <w:top w:type="dxa" w:w="60"/>
              <w:left w:type="dxa" w:w="100"/>
              <w:bottom w:type="dxa" w:w="60"/>
              <w:right w:type="dxa" w:w="100"/>
            </w:tcMar>
          </w:tcPr>
          <w:p>
            <w:r>
              <w:rPr>
                <w:b w:val="false"/>
                <w:bCs w:val="false"/>
                <w:sz w:val="19"/>
                <w:szCs w:val="19"/>
              </w:rPr>
              <w:t xml:space="preserve">29</w:t>
            </w:r>
          </w:p>
        </w:tc>
        <w:tc>
          <w:tcPr>
            <w:tcW w:type="dxa" w:w="1800"/>
            <w:tcMar>
              <w:top w:type="dxa" w:w="60"/>
              <w:left w:type="dxa" w:w="100"/>
              <w:bottom w:type="dxa" w:w="60"/>
              <w:right w:type="dxa" w:w="100"/>
            </w:tcMar>
          </w:tcPr>
          <w:p>
            <w:r>
              <w:rPr>
                <w:b w:val="false"/>
                <w:bCs w:val="false"/>
                <w:sz w:val="19"/>
                <w:szCs w:val="19"/>
              </w:rPr>
              <w:t xml:space="preserve">2,600 each</w:t>
            </w:r>
          </w:p>
        </w:tc>
        <w:tc>
          <w:tcPr>
            <w:tcW w:type="dxa" w:w="3700"/>
            <w:tcMar>
              <w:top w:type="dxa" w:w="60"/>
              <w:left w:type="dxa" w:w="100"/>
              <w:bottom w:type="dxa" w:w="60"/>
              <w:right w:type="dxa" w:w="100"/>
            </w:tcMar>
          </w:tcPr>
          <w:p>
            <w:r>
              <w:rPr>
                <w:b w:val="false"/>
                <w:bCs w:val="false"/>
                <w:sz w:val="19"/>
                <w:szCs w:val="19"/>
              </w:rPr>
              <w:t xml:space="preserve">Dec 2021 – Jul 2026</w:t>
            </w:r>
          </w:p>
        </w:tc>
      </w:tr>
      <w:tr>
        <w:trPr>
          <w:tblHeader w:val="false"/>
        </w:trPr>
        <w:tc>
          <w:tcPr>
            <w:tcW w:type="dxa" w:w="2200"/>
            <w:tcMar>
              <w:top w:type="dxa" w:w="60"/>
              <w:left w:type="dxa" w:w="100"/>
              <w:bottom w:type="dxa" w:w="60"/>
              <w:right w:type="dxa" w:w="100"/>
            </w:tcMar>
          </w:tcPr>
          <w:p>
            <w:r>
              <w:rPr>
                <w:b w:val="false"/>
                <w:bCs w:val="false"/>
                <w:sz w:val="19"/>
                <w:szCs w:val="19"/>
              </w:rPr>
              <w:t xml:space="preserve">filip_riso (nephews, ×2)</w:t>
            </w:r>
          </w:p>
        </w:tc>
        <w:tc>
          <w:tcPr>
            <w:tcW w:type="dxa" w:w="1500"/>
            <w:tcMar>
              <w:top w:type="dxa" w:w="60"/>
              <w:left w:type="dxa" w:w="100"/>
              <w:bottom w:type="dxa" w:w="60"/>
              <w:right w:type="dxa" w:w="100"/>
            </w:tcMar>
          </w:tcPr>
          <w:p>
            <w:r>
              <w:rPr>
                <w:b w:val="false"/>
                <w:bCs w:val="false"/>
                <w:sz w:val="19"/>
                <w:szCs w:val="19"/>
              </w:rPr>
              <w:t xml:space="preserve">13</w:t>
            </w:r>
          </w:p>
        </w:tc>
        <w:tc>
          <w:tcPr>
            <w:tcW w:type="dxa" w:w="1800"/>
            <w:tcMar>
              <w:top w:type="dxa" w:w="60"/>
              <w:left w:type="dxa" w:w="100"/>
              <w:bottom w:type="dxa" w:w="60"/>
              <w:right w:type="dxa" w:w="100"/>
            </w:tcMar>
          </w:tcPr>
          <w:p>
            <w:r>
              <w:rPr>
                <w:b w:val="false"/>
                <w:bCs w:val="false"/>
                <w:sz w:val="19"/>
                <w:szCs w:val="19"/>
              </w:rPr>
              <w:t xml:space="preserve">1,700 each</w:t>
            </w:r>
          </w:p>
        </w:tc>
        <w:tc>
          <w:tcPr>
            <w:tcW w:type="dxa" w:w="3700"/>
            <w:tcMar>
              <w:top w:type="dxa" w:w="60"/>
              <w:left w:type="dxa" w:w="100"/>
              <w:bottom w:type="dxa" w:w="60"/>
              <w:right w:type="dxa" w:w="100"/>
            </w:tcMar>
          </w:tcPr>
          <w:p>
            <w:r>
              <w:rPr>
                <w:b w:val="false"/>
                <w:bCs w:val="false"/>
                <w:sz w:val="19"/>
                <w:szCs w:val="19"/>
              </w:rPr>
              <w:t xml:space="preserve">Dec 2021 – Jun 2026</w:t>
            </w:r>
          </w:p>
        </w:tc>
      </w:tr>
      <w:tr>
        <w:trPr>
          <w:tblHeader w:val="false"/>
        </w:trPr>
        <w:tc>
          <w:tcPr>
            <w:tcW w:type="dxa" w:w="2200"/>
            <w:tcMar>
              <w:top w:type="dxa" w:w="60"/>
              <w:left w:type="dxa" w:w="100"/>
              <w:bottom w:type="dxa" w:w="60"/>
              <w:right w:type="dxa" w:w="100"/>
            </w:tcMar>
          </w:tcPr>
          <w:p>
            <w:r>
              <w:rPr>
                <w:b w:val="false"/>
                <w:bCs w:val="false"/>
                <w:sz w:val="19"/>
                <w:szCs w:val="19"/>
              </w:rPr>
              <w:t xml:space="preserve">pali (brother-in-law)</w:t>
            </w:r>
          </w:p>
        </w:tc>
        <w:tc>
          <w:tcPr>
            <w:tcW w:type="dxa" w:w="1500"/>
            <w:tcMar>
              <w:top w:type="dxa" w:w="60"/>
              <w:left w:type="dxa" w:w="100"/>
              <w:bottom w:type="dxa" w:w="60"/>
              <w:right w:type="dxa" w:w="100"/>
            </w:tcMar>
          </w:tcPr>
          <w:p>
            <w:r>
              <w:rPr>
                <w:b w:val="false"/>
                <w:bCs w:val="false"/>
                <w:sz w:val="19"/>
                <w:szCs w:val="19"/>
              </w:rPr>
              <w:t xml:space="preserve">4</w:t>
            </w:r>
          </w:p>
        </w:tc>
        <w:tc>
          <w:tcPr>
            <w:tcW w:type="dxa" w:w="1800"/>
            <w:tcMar>
              <w:top w:type="dxa" w:w="60"/>
              <w:left w:type="dxa" w:w="100"/>
              <w:bottom w:type="dxa" w:w="60"/>
              <w:right w:type="dxa" w:w="100"/>
            </w:tcMar>
          </w:tcPr>
          <w:p>
            <w:r>
              <w:rPr>
                <w:b w:val="false"/>
                <w:bCs w:val="false"/>
                <w:sz w:val="19"/>
                <w:szCs w:val="19"/>
              </w:rPr>
              <w:t xml:space="preserve">1,200</w:t>
            </w:r>
          </w:p>
        </w:tc>
        <w:tc>
          <w:tcPr>
            <w:tcW w:type="dxa" w:w="3700"/>
            <w:tcMar>
              <w:top w:type="dxa" w:w="60"/>
              <w:left w:type="dxa" w:w="100"/>
              <w:bottom w:type="dxa" w:w="60"/>
              <w:right w:type="dxa" w:w="100"/>
            </w:tcMar>
          </w:tcPr>
          <w:p>
            <w:r>
              <w:rPr>
                <w:b w:val="false"/>
                <w:bCs w:val="false"/>
                <w:sz w:val="19"/>
                <w:szCs w:val="19"/>
              </w:rPr>
              <w:t xml:space="preserve">Oct 2025 – Jul 2026</w:t>
            </w:r>
          </w:p>
        </w:tc>
      </w:tr>
    </w:tbl>
    <w:p>
      <w:pPr>
        <w:spacing w:after="60"/>
      </w:pPr>
      <w:r>
        <w:t xml:space="preserve"/>
      </w:r>
    </w:p>
    <w:p>
      <w:pPr>
        <w:spacing w:after="140"/>
      </w:pPr>
      <w:r>
        <w:t xml:space="preserve">That is 46 deposits in total, roughly €9,100 of family money across five people. This is a very small dataset; performance and storage are non-issues, and the spreadsheet can remain the source of truth if you prefer to keep entering deposits there.</w:t>
      </w:r>
    </w:p>
    <w:p>
      <w:pPr>
        <w:pStyle w:val="Heading1"/>
        <w:spacing w:after="120" w:before="320"/>
      </w:pPr>
      <w:r>
        <w:t xml:space="preserve">3. Requirements restated</w:t>
      </w:r>
    </w:p>
    <w:p>
      <w:pPr>
        <w:pStyle w:val="ListParagraph"/>
        <w:numPr>
          <w:ilvl w:val="0"/>
          <w:numId w:val="2"/>
        </w:numPr>
        <w:spacing w:after="80"/>
      </w:pPr>
      <w:r>
        <w:t xml:space="preserve">Per-person page showing total deposited, current value, absolute and percentage profit/loss.</w:t>
      </w:r>
    </w:p>
    <w:p>
      <w:pPr>
        <w:pStyle w:val="ListParagraph"/>
        <w:numPr>
          <w:ilvl w:val="0"/>
          <w:numId w:val="2"/>
        </w:numPr>
        <w:spacing w:after="80"/>
      </w:pPr>
      <w:r>
        <w:t xml:space="preserve">Per-deposit view: what each individual deposit is worth today and how it has appreciated over time (a line per deposit or a stacked chart).</w:t>
      </w:r>
    </w:p>
    <w:p>
      <w:pPr>
        <w:pStyle w:val="ListParagraph"/>
        <w:numPr>
          <w:ilvl w:val="0"/>
          <w:numId w:val="2"/>
        </w:numPr>
        <w:spacing w:after="80"/>
      </w:pPr>
      <w:r>
        <w:t xml:space="preserve">Live-ish valuation using real ETF price action; end-of-day precision is enough.</w:t>
      </w:r>
    </w:p>
    <w:p>
      <w:pPr>
        <w:pStyle w:val="ListParagraph"/>
        <w:numPr>
          <w:ilvl w:val="0"/>
          <w:numId w:val="2"/>
        </w:numPr>
        <w:spacing w:after="80"/>
      </w:pPr>
      <w:r>
        <w:t xml:space="preserve">Yearly export summarising the year’s performance for the newsletter.</w:t>
      </w:r>
    </w:p>
    <w:p>
      <w:pPr>
        <w:pStyle w:val="ListParagraph"/>
        <w:numPr>
          <w:ilvl w:val="0"/>
          <w:numId w:val="2"/>
        </w:numPr>
        <w:spacing w:after="80"/>
      </w:pPr>
      <w:r>
        <w:t xml:space="preserve">Explicitly out of scope: real batches, fees, dynamic key, cent-level accuracy.</w:t>
      </w:r>
    </w:p>
    <w:p>
      <w:pPr>
        <w:pStyle w:val="Heading1"/>
        <w:spacing w:after="120" w:before="320"/>
      </w:pPr>
      <w:r>
        <w:t xml:space="preserve">4. Core calculation — the “virtual units” model</w:t>
      </w:r>
    </w:p>
    <w:p>
      <w:pPr>
        <w:spacing w:after="140"/>
      </w:pPr>
      <w:r>
        <w:t xml:space="preserve">Every deposit D on date t is split by the key into five EUR amounts. Each amount buys a fractional number of virtual units at that ETF’s closing price on t (or the next trading day if t is a weekend or holiday): units = amount × weight ÷ close(t). From then on the value of that deposit on any day d is simply the sum over the five ETFs of units × close(d). The person’s total value is the sum over deposits, and profit is value minus deposits.</w:t>
      </w:r>
    </w:p>
    <w:p>
      <w:pPr>
        <w:spacing w:after="140"/>
      </w:pPr>
      <w:r>
        <w:t xml:space="preserve">This single formula produces every number the pages need: current value, per-deposit appreciation, the full value-over-time curve, and any yearly slice. Fractional units make the “no batching, invested instantly” assumption exact rather than approximate. For the newsletter, the year’s performance can be reported both as simple gain (end value − start value − deposits in year) and as a money-weighted return (XIRR), which is the fairer figure when deposits arrive mid-year; both are trivial to compute from the same table.</w:t>
      </w:r>
    </w:p>
    <w:p>
      <w:pPr>
        <w:spacing w:after="140"/>
      </w:pPr>
      <w:r>
        <w:t xml:space="preserve">One subtlety worth deciding up front: the nieces and nephews share a sheet today but may diverge later. Storing deposits per person from day one (with the shared rows duplicated) costs nothing now and avoids a migration later.</w:t>
      </w:r>
    </w:p>
    <w:p>
      <w:pPr>
        <w:pStyle w:val="Heading1"/>
        <w:spacing w:after="120" w:before="320"/>
      </w:pPr>
      <w:r>
        <w:t xml:space="preserve">5. Price data — the one real dependency</w:t>
      </w:r>
    </w:p>
    <w:p>
      <w:pPr>
        <w:spacing w:after="140"/>
      </w:pPr>
      <w:r>
        <w:t xml:space="preserve">All five funds are listed on Milan and have well-established tickers on the free sources, so historical closes back to December 2021 are available. Three options, in order of preference: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300"/>
      </w:tblGrid>
      <w:tr>
        <w:trPr>
          <w:tblHeader/>
        </w:trPr>
        <w:tc>
          <w:tcPr>
            <w:tcW w:type="dxa" w:w="2000"/>
            <w:shd w:fill="E8EEF4" w:color="auto" w:val="clear"/>
            <w:tcMar>
              <w:top w:type="dxa" w:w="60"/>
              <w:left w:type="dxa" w:w="100"/>
              <w:bottom w:type="dxa" w:w="60"/>
              <w:right w:type="dxa" w:w="100"/>
            </w:tcMar>
          </w:tcPr>
          <w:p>
            <w:r>
              <w:rPr>
                <w:b/>
                <w:bCs/>
                <w:sz w:val="19"/>
                <w:szCs w:val="19"/>
              </w:rPr>
              <w:t xml:space="preserve">Source</w:t>
            </w:r>
          </w:p>
        </w:tc>
        <w:tc>
          <w:tcPr>
            <w:tcW w:type="dxa" w:w="3900"/>
            <w:shd w:fill="E8EEF4" w:color="auto" w:val="clear"/>
            <w:tcMar>
              <w:top w:type="dxa" w:w="60"/>
              <w:left w:type="dxa" w:w="100"/>
              <w:bottom w:type="dxa" w:w="60"/>
              <w:right w:type="dxa" w:w="100"/>
            </w:tcMar>
          </w:tcPr>
          <w:p>
            <w:r>
              <w:rPr>
                <w:b/>
                <w:bCs/>
                <w:sz w:val="19"/>
                <w:szCs w:val="19"/>
              </w:rPr>
              <w:t xml:space="preserve">Pros</w:t>
            </w:r>
          </w:p>
        </w:tc>
        <w:tc>
          <w:tcPr>
            <w:tcW w:type="dxa" w:w="3300"/>
            <w:shd w:fill="E8EEF4" w:color="auto" w:val="clear"/>
            <w:tcMar>
              <w:top w:type="dxa" w:w="60"/>
              <w:left w:type="dxa" w:w="100"/>
              <w:bottom w:type="dxa" w:w="60"/>
              <w:right w:type="dxa" w:w="100"/>
            </w:tcMar>
          </w:tcPr>
          <w:p>
            <w:r>
              <w:rPr>
                <w:b/>
                <w:bCs/>
                <w:sz w:val="19"/>
                <w:szCs w:val="19"/>
              </w:rPr>
              <w:t xml:space="preserve">Cons</w:t>
            </w:r>
          </w:p>
        </w:tc>
      </w:tr>
      <w:tr>
        <w:trPr>
          <w:tblHeader w:val="false"/>
        </w:trPr>
        <w:tc>
          <w:tcPr>
            <w:tcW w:type="dxa" w:w="2000"/>
            <w:tcMar>
              <w:top w:type="dxa" w:w="60"/>
              <w:left w:type="dxa" w:w="100"/>
              <w:bottom w:type="dxa" w:w="60"/>
              <w:right w:type="dxa" w:w="100"/>
            </w:tcMar>
          </w:tcPr>
          <w:p>
            <w:r>
              <w:rPr>
                <w:b w:val="false"/>
                <w:bCs w:val="false"/>
                <w:sz w:val="19"/>
                <w:szCs w:val="19"/>
              </w:rPr>
              <w:t xml:space="preserve">Yahoo Finance via yfinance (CSSPX.MI, R2US.MI, SPY4.MI, XXSC.MI, XSX6.MI)</w:t>
            </w:r>
          </w:p>
        </w:tc>
        <w:tc>
          <w:tcPr>
            <w:tcW w:type="dxa" w:w="3900"/>
            <w:tcMar>
              <w:top w:type="dxa" w:w="60"/>
              <w:left w:type="dxa" w:w="100"/>
              <w:bottom w:type="dxa" w:w="60"/>
              <w:right w:type="dxa" w:w="100"/>
            </w:tcMar>
          </w:tcPr>
          <w:p>
            <w:r>
              <w:rPr>
                <w:b w:val="false"/>
                <w:bCs w:val="false"/>
                <w:sz w:val="19"/>
                <w:szCs w:val="19"/>
              </w:rPr>
              <w:t xml:space="preserve">Free, full history, EUR prices from the same exchange you trade on, one-line Python.</w:t>
            </w:r>
          </w:p>
        </w:tc>
        <w:tc>
          <w:tcPr>
            <w:tcW w:type="dxa" w:w="3300"/>
            <w:tcMar>
              <w:top w:type="dxa" w:w="60"/>
              <w:left w:type="dxa" w:w="100"/>
              <w:bottom w:type="dxa" w:w="60"/>
              <w:right w:type="dxa" w:w="100"/>
            </w:tcMar>
          </w:tcPr>
          <w:p>
            <w:r>
              <w:rPr>
                <w:b w:val="false"/>
                <w:bCs w:val="false"/>
                <w:sz w:val="19"/>
                <w:szCs w:val="19"/>
              </w:rPr>
              <w:t xml:space="preserve">Unofficial API; rate-limits and occasional breakage are widely reported in 2025–2026. Fine at 5 tickers once a day, but must not be called on every page view.</w:t>
            </w:r>
          </w:p>
        </w:tc>
      </w:tr>
      <w:tr>
        <w:trPr>
          <w:tblHeader w:val="false"/>
        </w:trPr>
        <w:tc>
          <w:tcPr>
            <w:tcW w:type="dxa" w:w="2000"/>
            <w:tcMar>
              <w:top w:type="dxa" w:w="60"/>
              <w:left w:type="dxa" w:w="100"/>
              <w:bottom w:type="dxa" w:w="60"/>
              <w:right w:type="dxa" w:w="100"/>
            </w:tcMar>
          </w:tcPr>
          <w:p>
            <w:r>
              <w:rPr>
                <w:b w:val="false"/>
                <w:bCs w:val="false"/>
                <w:sz w:val="19"/>
                <w:szCs w:val="19"/>
              </w:rPr>
              <w:t xml:space="preserve">Stooq (csspx.it, xsx6.it, …)</w:t>
            </w:r>
          </w:p>
        </w:tc>
        <w:tc>
          <w:tcPr>
            <w:tcW w:type="dxa" w:w="3900"/>
            <w:tcMar>
              <w:top w:type="dxa" w:w="60"/>
              <w:left w:type="dxa" w:w="100"/>
              <w:bottom w:type="dxa" w:w="60"/>
              <w:right w:type="dxa" w:w="100"/>
            </w:tcMar>
          </w:tcPr>
          <w:p>
            <w:r>
              <w:rPr>
                <w:b w:val="false"/>
                <w:bCs w:val="false"/>
                <w:sz w:val="19"/>
                <w:szCs w:val="19"/>
              </w:rPr>
              <w:t xml:space="preserve">Free daily CSV download, no key, stable for years, popular with Portfolio Performance users.</w:t>
            </w:r>
          </w:p>
        </w:tc>
        <w:tc>
          <w:tcPr>
            <w:tcW w:type="dxa" w:w="3300"/>
            <w:tcMar>
              <w:top w:type="dxa" w:w="60"/>
              <w:left w:type="dxa" w:w="100"/>
              <w:bottom w:type="dxa" w:w="60"/>
              <w:right w:type="dxa" w:w="100"/>
            </w:tcMar>
          </w:tcPr>
          <w:p>
            <w:r>
              <w:rPr>
                <w:b w:val="false"/>
                <w:bCs w:val="false"/>
                <w:sz w:val="19"/>
                <w:szCs w:val="19"/>
              </w:rPr>
              <w:t xml:space="preserve">Some ETFs can have gaps; needs a one-time check that all five are covered.</w:t>
            </w:r>
          </w:p>
        </w:tc>
      </w:tr>
      <w:tr>
        <w:trPr>
          <w:tblHeader w:val="false"/>
        </w:trPr>
        <w:tc>
          <w:tcPr>
            <w:tcW w:type="dxa" w:w="2000"/>
            <w:tcMar>
              <w:top w:type="dxa" w:w="60"/>
              <w:left w:type="dxa" w:w="100"/>
              <w:bottom w:type="dxa" w:w="60"/>
              <w:right w:type="dxa" w:w="100"/>
            </w:tcMar>
          </w:tcPr>
          <w:p>
            <w:r>
              <w:rPr>
                <w:b w:val="false"/>
                <w:bCs w:val="false"/>
                <w:sz w:val="19"/>
                <w:szCs w:val="19"/>
              </w:rPr>
              <w:t xml:space="preserve">Paid EOD API (EODHD, Twelve Data, Alpha Vantage)</w:t>
            </w:r>
          </w:p>
        </w:tc>
        <w:tc>
          <w:tcPr>
            <w:tcW w:type="dxa" w:w="3900"/>
            <w:tcMar>
              <w:top w:type="dxa" w:w="60"/>
              <w:left w:type="dxa" w:w="100"/>
              <w:bottom w:type="dxa" w:w="60"/>
              <w:right w:type="dxa" w:w="100"/>
            </w:tcMar>
          </w:tcPr>
          <w:p>
            <w:r>
              <w:rPr>
                <w:b w:val="false"/>
                <w:bCs w:val="false"/>
                <w:sz w:val="19"/>
                <w:szCs w:val="19"/>
              </w:rPr>
              <w:t xml:space="preserve">Contractual reliability, proper ISIN lookup.</w:t>
            </w:r>
          </w:p>
        </w:tc>
        <w:tc>
          <w:tcPr>
            <w:tcW w:type="dxa" w:w="3300"/>
            <w:tcMar>
              <w:top w:type="dxa" w:w="60"/>
              <w:left w:type="dxa" w:w="100"/>
              <w:bottom w:type="dxa" w:w="60"/>
              <w:right w:type="dxa" w:w="100"/>
            </w:tcMar>
          </w:tcPr>
          <w:p>
            <w:r>
              <w:rPr>
                <w:b w:val="false"/>
                <w:bCs w:val="false"/>
                <w:sz w:val="19"/>
                <w:szCs w:val="19"/>
              </w:rPr>
              <w:t xml:space="preserve">Costs money for something a family app does not need; keep as fallback only.</w:t>
            </w:r>
          </w:p>
        </w:tc>
      </w:tr>
    </w:tbl>
    <w:p>
      <w:pPr>
        <w:spacing w:after="60"/>
      </w:pPr>
      <w:r>
        <w:t xml:space="preserve"/>
      </w:r>
    </w:p>
    <w:p>
      <w:pPr>
        <w:spacing w:after="140"/>
      </w:pPr>
      <w:r>
        <w:t xml:space="preserve">The design that makes any of these safe is cache-first: one scheduled job per day pulls the latest close for five tickers and appends it to a local price table; the web pages read only from that table and never hit the internet. If the feed fails one day, the pages simply show yesterday’s valuation with a “prices as of” date. A backfill script run once seeds the history from 2021. With two sources wired in (Yahoo primary, Stooq fallback) the risk of an outage affecting the family is negligible.</w:t>
      </w:r>
    </w:p>
    <w:p>
      <w:pPr>
        <w:spacing w:after="140"/>
      </w:pPr>
      <w:r>
        <w:t xml:space="preserve">Verification note: I could not pull live quotes from this sandbox (outbound requests to Yahoo are blocked here), but the Yahoo pages for the Milan tickers exist and the sandbox is not representative of your machine or a normal server. The first concrete step of the build should be a 10-minute script that fetches all five histories and checks for gaps.</w:t>
      </w:r>
    </w:p>
    <w:p>
      <w:pPr>
        <w:pStyle w:val="Heading1"/>
        <w:spacing w:after="120" w:before="320"/>
      </w:pPr>
      <w:r>
        <w:t xml:space="preserve">6. Architecture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200"/>
        <w:gridCol w:w="2100"/>
      </w:tblGrid>
      <w:tr>
        <w:trPr>
          <w:tblHeader/>
        </w:trPr>
        <w:tc>
          <w:tcPr>
            <w:tcW w:type="dxa" w:w="1900"/>
            <w:shd w:fill="E8EEF4" w:color="auto" w:val="clear"/>
            <w:tcMar>
              <w:top w:type="dxa" w:w="60"/>
              <w:left w:type="dxa" w:w="100"/>
              <w:bottom w:type="dxa" w:w="60"/>
              <w:right w:type="dxa" w:w="100"/>
            </w:tcMar>
          </w:tcPr>
          <w:p>
            <w:r>
              <w:rPr>
                <w:b/>
                <w:bCs/>
                <w:sz w:val="19"/>
                <w:szCs w:val="19"/>
              </w:rPr>
              <w:t xml:space="preserve">Option</w:t>
            </w:r>
          </w:p>
        </w:tc>
        <w:tc>
          <w:tcPr>
            <w:tcW w:type="dxa" w:w="3000"/>
            <w:shd w:fill="E8EEF4" w:color="auto" w:val="clear"/>
            <w:tcMar>
              <w:top w:type="dxa" w:w="60"/>
              <w:left w:type="dxa" w:w="100"/>
              <w:bottom w:type="dxa" w:w="60"/>
              <w:right w:type="dxa" w:w="100"/>
            </w:tcMar>
          </w:tcPr>
          <w:p>
            <w:r>
              <w:rPr>
                <w:b/>
                <w:bCs/>
                <w:sz w:val="19"/>
                <w:szCs w:val="19"/>
              </w:rPr>
              <w:t xml:space="preserve">Description</w:t>
            </w:r>
          </w:p>
        </w:tc>
        <w:tc>
          <w:tcPr>
            <w:tcW w:type="dxa" w:w="2200"/>
            <w:shd w:fill="E8EEF4" w:color="auto" w:val="clear"/>
            <w:tcMar>
              <w:top w:type="dxa" w:w="60"/>
              <w:left w:type="dxa" w:w="100"/>
              <w:bottom w:type="dxa" w:w="60"/>
              <w:right w:type="dxa" w:w="100"/>
            </w:tcMar>
          </w:tcPr>
          <w:p>
            <w:r>
              <w:rPr>
                <w:b/>
                <w:bCs/>
                <w:sz w:val="19"/>
                <w:szCs w:val="19"/>
              </w:rPr>
              <w:t xml:space="preserve">Fits when</w:t>
            </w:r>
          </w:p>
        </w:tc>
        <w:tc>
          <w:tcPr>
            <w:tcW w:type="dxa" w:w="2100"/>
            <w:shd w:fill="E8EEF4" w:color="auto" w:val="clear"/>
            <w:tcMar>
              <w:top w:type="dxa" w:w="60"/>
              <w:left w:type="dxa" w:w="100"/>
              <w:bottom w:type="dxa" w:w="60"/>
              <w:right w:type="dxa" w:w="100"/>
            </w:tcMar>
          </w:tcPr>
          <w:p>
            <w:r>
              <w:rPr>
                <w:b/>
                <w:bCs/>
                <w:sz w:val="19"/>
                <w:szCs w:val="19"/>
              </w:rPr>
              <w:t xml:space="preserve">Effort</w:t>
            </w:r>
          </w:p>
        </w:tc>
      </w:tr>
      <w:tr>
        <w:trPr>
          <w:tblHeader w:val="false"/>
        </w:trPr>
        <w:tc>
          <w:tcPr>
            <w:tcW w:type="dxa" w:w="1900"/>
            <w:tcMar>
              <w:top w:type="dxa" w:w="60"/>
              <w:left w:type="dxa" w:w="100"/>
              <w:bottom w:type="dxa" w:w="60"/>
              <w:right w:type="dxa" w:w="100"/>
            </w:tcMar>
          </w:tcPr>
          <w:p>
            <w:r>
              <w:rPr>
                <w:b w:val="false"/>
                <w:bCs w:val="false"/>
                <w:sz w:val="19"/>
                <w:szCs w:val="19"/>
              </w:rPr>
              <w:t xml:space="preserve">A. Static site generator</w:t>
            </w:r>
          </w:p>
        </w:tc>
        <w:tc>
          <w:tcPr>
            <w:tcW w:type="dxa" w:w="3000"/>
            <w:tcMar>
              <w:top w:type="dxa" w:w="60"/>
              <w:left w:type="dxa" w:w="100"/>
              <w:bottom w:type="dxa" w:w="60"/>
              <w:right w:type="dxa" w:w="100"/>
            </w:tcMar>
          </w:tcPr>
          <w:p>
            <w:r>
              <w:rPr>
                <w:b w:val="false"/>
                <w:bCs w:val="false"/>
                <w:sz w:val="19"/>
                <w:szCs w:val="19"/>
              </w:rPr>
              <w:t xml:space="preserve">A Python script runs daily (cron / GitHub Actions), fetches prices, recomputes everything and writes one HTML page per person plus JSON; hosted on GitHub Pages, Netlify or Cloudflare Pages behind unguessable URLs.</w:t>
            </w:r>
          </w:p>
        </w:tc>
        <w:tc>
          <w:tcPr>
            <w:tcW w:type="dxa" w:w="2200"/>
            <w:tcMar>
              <w:top w:type="dxa" w:w="60"/>
              <w:left w:type="dxa" w:w="100"/>
              <w:bottom w:type="dxa" w:w="60"/>
              <w:right w:type="dxa" w:w="100"/>
            </w:tcMar>
          </w:tcPr>
          <w:p>
            <w:r>
              <w:rPr>
                <w:b w:val="false"/>
                <w:bCs w:val="false"/>
                <w:sz w:val="19"/>
                <w:szCs w:val="19"/>
              </w:rPr>
              <w:t xml:space="preserve">You want zero servers, zero cost and the least to maintain.</w:t>
            </w:r>
          </w:p>
        </w:tc>
        <w:tc>
          <w:tcPr>
            <w:tcW w:type="dxa" w:w="2100"/>
            <w:tcMar>
              <w:top w:type="dxa" w:w="60"/>
              <w:left w:type="dxa" w:w="100"/>
              <w:bottom w:type="dxa" w:w="60"/>
              <w:right w:type="dxa" w:w="100"/>
            </w:tcMar>
          </w:tcPr>
          <w:p>
            <w:r>
              <w:rPr>
                <w:b w:val="false"/>
                <w:bCs w:val="false"/>
                <w:sz w:val="19"/>
                <w:szCs w:val="19"/>
              </w:rPr>
              <w:t xml:space="preserve">2–3 evenings</w:t>
            </w:r>
          </w:p>
        </w:tc>
      </w:tr>
      <w:tr>
        <w:trPr>
          <w:tblHeader w:val="false"/>
        </w:trPr>
        <w:tc>
          <w:tcPr>
            <w:tcW w:type="dxa" w:w="1900"/>
            <w:tcMar>
              <w:top w:type="dxa" w:w="60"/>
              <w:left w:type="dxa" w:w="100"/>
              <w:bottom w:type="dxa" w:w="60"/>
              <w:right w:type="dxa" w:w="100"/>
            </w:tcMar>
          </w:tcPr>
          <w:p>
            <w:r>
              <w:rPr>
                <w:b w:val="false"/>
                <w:bCs w:val="false"/>
                <w:sz w:val="19"/>
                <w:szCs w:val="19"/>
              </w:rPr>
              <w:t xml:space="preserve">B. Small web app</w:t>
            </w:r>
          </w:p>
        </w:tc>
        <w:tc>
          <w:tcPr>
            <w:tcW w:type="dxa" w:w="3000"/>
            <w:tcMar>
              <w:top w:type="dxa" w:w="60"/>
              <w:left w:type="dxa" w:w="100"/>
              <w:bottom w:type="dxa" w:w="60"/>
              <w:right w:type="dxa" w:w="100"/>
            </w:tcMar>
          </w:tcPr>
          <w:p>
            <w:r>
              <w:rPr>
                <w:b w:val="false"/>
                <w:bCs w:val="false"/>
                <w:sz w:val="19"/>
                <w:szCs w:val="19"/>
              </w:rPr>
              <w:t xml:space="preserve">FastAPI/Flask (or Next.js) with SQLite, a daily price job, a simple login or magic links, an admin form to add deposits, and PDF export.</w:t>
            </w:r>
          </w:p>
        </w:tc>
        <w:tc>
          <w:tcPr>
            <w:tcW w:type="dxa" w:w="2200"/>
            <w:tcMar>
              <w:top w:type="dxa" w:w="60"/>
              <w:left w:type="dxa" w:w="100"/>
              <w:bottom w:type="dxa" w:w="60"/>
              <w:right w:type="dxa" w:w="100"/>
            </w:tcMar>
          </w:tcPr>
          <w:p>
            <w:r>
              <w:rPr>
                <w:b w:val="false"/>
                <w:bCs w:val="false"/>
                <w:sz w:val="19"/>
                <w:szCs w:val="19"/>
              </w:rPr>
              <w:t xml:space="preserve">You want to add deposits in the browser and give proper per-person logins.</w:t>
            </w:r>
          </w:p>
        </w:tc>
        <w:tc>
          <w:tcPr>
            <w:tcW w:type="dxa" w:w="2100"/>
            <w:tcMar>
              <w:top w:type="dxa" w:w="60"/>
              <w:left w:type="dxa" w:w="100"/>
              <w:bottom w:type="dxa" w:w="60"/>
              <w:right w:type="dxa" w:w="100"/>
            </w:tcMar>
          </w:tcPr>
          <w:p>
            <w:r>
              <w:rPr>
                <w:b w:val="false"/>
                <w:bCs w:val="false"/>
                <w:sz w:val="19"/>
                <w:szCs w:val="19"/>
              </w:rPr>
              <w:t xml:space="preserve">4–6 evenings</w:t>
            </w:r>
          </w:p>
        </w:tc>
      </w:tr>
      <w:tr>
        <w:trPr>
          <w:tblHeader w:val="false"/>
        </w:trPr>
        <w:tc>
          <w:tcPr>
            <w:tcW w:type="dxa" w:w="1900"/>
            <w:tcMar>
              <w:top w:type="dxa" w:w="60"/>
              <w:left w:type="dxa" w:w="100"/>
              <w:bottom w:type="dxa" w:w="60"/>
              <w:right w:type="dxa" w:w="100"/>
            </w:tcMar>
          </w:tcPr>
          <w:p>
            <w:r>
              <w:rPr>
                <w:b w:val="false"/>
                <w:bCs w:val="false"/>
                <w:sz w:val="19"/>
                <w:szCs w:val="19"/>
              </w:rPr>
              <w:t xml:space="preserve">C. Spreadsheet-only</w:t>
            </w:r>
          </w:p>
        </w:tc>
        <w:tc>
          <w:tcPr>
            <w:tcW w:type="dxa" w:w="3000"/>
            <w:tcMar>
              <w:top w:type="dxa" w:w="60"/>
              <w:left w:type="dxa" w:w="100"/>
              <w:bottom w:type="dxa" w:w="60"/>
              <w:right w:type="dxa" w:w="100"/>
            </w:tcMar>
          </w:tcPr>
          <w:p>
            <w:r>
              <w:rPr>
                <w:b w:val="false"/>
                <w:bCs w:val="false"/>
                <w:sz w:val="19"/>
                <w:szCs w:val="19"/>
              </w:rPr>
              <w:t xml:space="preserve">Google Sheets with GOOGLEFINANCE() for the five tickers and per-person tabs shared read-only.</w:t>
            </w:r>
          </w:p>
        </w:tc>
        <w:tc>
          <w:tcPr>
            <w:tcW w:type="dxa" w:w="2200"/>
            <w:tcMar>
              <w:top w:type="dxa" w:w="60"/>
              <w:left w:type="dxa" w:w="100"/>
              <w:bottom w:type="dxa" w:w="60"/>
              <w:right w:type="dxa" w:w="100"/>
            </w:tcMar>
          </w:tcPr>
          <w:p>
            <w:r>
              <w:rPr>
                <w:b w:val="false"/>
                <w:bCs w:val="false"/>
                <w:sz w:val="19"/>
                <w:szCs w:val="19"/>
              </w:rPr>
              <w:t xml:space="preserve">You want it this weekend and are OK with a sheet instead of a page.</w:t>
            </w:r>
          </w:p>
        </w:tc>
        <w:tc>
          <w:tcPr>
            <w:tcW w:type="dxa" w:w="2100"/>
            <w:tcMar>
              <w:top w:type="dxa" w:w="60"/>
              <w:left w:type="dxa" w:w="100"/>
              <w:bottom w:type="dxa" w:w="60"/>
              <w:right w:type="dxa" w:w="100"/>
            </w:tcMar>
          </w:tcPr>
          <w:p>
            <w:r>
              <w:rPr>
                <w:b w:val="false"/>
                <w:bCs w:val="false"/>
                <w:sz w:val="19"/>
                <w:szCs w:val="19"/>
              </w:rPr>
              <w:t xml:space="preserve">A few hours</w:t>
            </w:r>
          </w:p>
        </w:tc>
      </w:tr>
    </w:tbl>
    <w:p>
      <w:pPr>
        <w:spacing w:after="60"/>
      </w:pPr>
      <w:r>
        <w:t xml:space="preserve"/>
      </w:r>
    </w:p>
    <w:p>
      <w:pPr>
        <w:spacing w:after="140"/>
      </w:pPr>
      <w:r>
        <w:t xml:space="preserve">Option A is the recommendation. It meets every stated requirement, has no running cost, cannot be “down” in any interesting way, and the yearly export is just another rendered page (or a PDF produced from it) for a chosen year. Deposits keep being entered in your existing workbook or a CSV in the repo, which the build script reads. If later you want logins or self-service entry, A upgrades naturally into B because the calculation module is identical.</w:t>
      </w:r>
    </w:p>
    <w:p>
      <w:pPr>
        <w:spacing w:after="140"/>
      </w:pPr>
      <w:r>
        <w:t xml:space="preserve">Option C is worth knowing about as a fallback: GOOGLEFINANCE covers Milan-listed ETFs and would give you current values inside a sheet with almost no work, but it does not produce the clean per-person page you described and its history function is flaky.</w:t>
      </w:r>
    </w:p>
    <w:p>
      <w:pPr>
        <w:pStyle w:val="Heading1"/>
        <w:spacing w:after="120" w:before="320"/>
      </w:pPr>
      <w:r>
        <w:t xml:space="preserve">7. Access and privacy</w:t>
      </w:r>
    </w:p>
    <w:p>
      <w:pPr>
        <w:spacing w:after="140"/>
      </w:pPr>
      <w:r>
        <w:t xml:space="preserve">Amounts are small and the audience is five relatives, so a private, unguessable URL per person (a long random token in the path) is a proportionate level of protection for Option A, with the site excluded from search engines. If you would rather have real logins, Cloudflare Access or Netlify Identity add email-based sign-in to a static site for free without writing auth code. Nothing about the Degiro account needs to be exposed; the app only ever holds deposit dates, amounts and public ETF prices.</w:t>
      </w:r>
    </w:p>
    <w:p>
      <w:pPr>
        <w:pStyle w:val="Heading1"/>
        <w:spacing w:after="120" w:before="320"/>
      </w:pPr>
      <w:r>
        <w:t xml:space="preserve">8. Yearly newsletter export</w:t>
      </w:r>
    </w:p>
    <w:p>
      <w:pPr>
        <w:spacing w:after="140"/>
      </w:pPr>
      <w:r>
        <w:t xml:space="preserve">Because the price table holds full history, a “year in review” for person X and year Y is a filter: opening value on 1 January, deposits during the year, closing value on 31 December, gain in EUR and percent, and the ETF-by-ETF contribution. Rendering that to a page and printing it to PDF (or generating the PDF directly with WeasyPrint/ReportLab) is a small addition on top of Option A. A combined “family” version for your own overview is the same template looped over everyone.</w:t>
      </w:r>
    </w:p>
    <w:p>
      <w:pPr>
        <w:pStyle w:val="Heading1"/>
        <w:spacing w:after="120" w:before="320"/>
      </w:pPr>
      <w:r>
        <w:t xml:space="preserve">9. Risks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E8EEF4" w:color="auto" w:val="clear"/>
            <w:tcMar>
              <w:top w:type="dxa" w:w="60"/>
              <w:left w:type="dxa" w:w="100"/>
              <w:bottom w:type="dxa" w:w="60"/>
              <w:right w:type="dxa" w:w="100"/>
            </w:tcMar>
          </w:tcPr>
          <w:p>
            <w:r>
              <w:rPr>
                <w:b/>
                <w:bCs/>
                <w:sz w:val="19"/>
                <w:szCs w:val="19"/>
              </w:rPr>
              <w:t xml:space="preserve">Risk</w:t>
            </w:r>
          </w:p>
        </w:tc>
        <w:tc>
          <w:tcPr>
            <w:tcW w:type="dxa" w:w="2200"/>
            <w:shd w:fill="E8EEF4" w:color="auto" w:val="clear"/>
            <w:tcMar>
              <w:top w:type="dxa" w:w="60"/>
              <w:left w:type="dxa" w:w="100"/>
              <w:bottom w:type="dxa" w:w="60"/>
              <w:right w:type="dxa" w:w="100"/>
            </w:tcMar>
          </w:tcPr>
          <w:p>
            <w:r>
              <w:rPr>
                <w:b/>
                <w:bCs/>
                <w:sz w:val="19"/>
                <w:szCs w:val="19"/>
              </w:rPr>
              <w:t xml:space="preserve">Likelihood / impact</w:t>
            </w:r>
          </w:p>
        </w:tc>
        <w:tc>
          <w:tcPr>
            <w:tcW w:type="dxa" w:w="4400"/>
            <w:shd w:fill="E8EEF4" w:color="auto" w:val="clear"/>
            <w:tcMar>
              <w:top w:type="dxa" w:w="60"/>
              <w:left w:type="dxa" w:w="100"/>
              <w:bottom w:type="dxa" w:w="60"/>
              <w:right w:type="dxa" w:w="100"/>
            </w:tcMar>
          </w:tcPr>
          <w:p>
            <w:r>
              <w:rPr>
                <w:b/>
                <w:bCs/>
                <w:sz w:val="19"/>
                <w:szCs w:val="19"/>
              </w:rPr>
              <w:t xml:space="preserve">Mitigation</w:t>
            </w:r>
          </w:p>
        </w:tc>
      </w:tr>
      <w:tr>
        <w:trPr>
          <w:tblHeader w:val="false"/>
        </w:trPr>
        <w:tc>
          <w:tcPr>
            <w:tcW w:type="dxa" w:w="2600"/>
            <w:tcMar>
              <w:top w:type="dxa" w:w="60"/>
              <w:left w:type="dxa" w:w="100"/>
              <w:bottom w:type="dxa" w:w="60"/>
              <w:right w:type="dxa" w:w="100"/>
            </w:tcMar>
          </w:tcPr>
          <w:p>
            <w:r>
              <w:rPr>
                <w:b w:val="false"/>
                <w:bCs w:val="false"/>
                <w:sz w:val="19"/>
                <w:szCs w:val="19"/>
              </w:rPr>
              <w:t xml:space="preserve">Yahoo feed breaks or rate-limits</w:t>
            </w:r>
          </w:p>
        </w:tc>
        <w:tc>
          <w:tcPr>
            <w:tcW w:type="dxa" w:w="2200"/>
            <w:tcMar>
              <w:top w:type="dxa" w:w="60"/>
              <w:left w:type="dxa" w:w="100"/>
              <w:bottom w:type="dxa" w:w="60"/>
              <w:right w:type="dxa" w:w="100"/>
            </w:tcMar>
          </w:tcPr>
          <w:p>
            <w:r>
              <w:rPr>
                <w:b w:val="false"/>
                <w:bCs w:val="false"/>
                <w:sz w:val="19"/>
                <w:szCs w:val="19"/>
              </w:rPr>
              <w:t xml:space="preserve">Medium / low</w:t>
            </w:r>
          </w:p>
        </w:tc>
        <w:tc>
          <w:tcPr>
            <w:tcW w:type="dxa" w:w="4400"/>
            <w:tcMar>
              <w:top w:type="dxa" w:w="60"/>
              <w:left w:type="dxa" w:w="100"/>
              <w:bottom w:type="dxa" w:w="60"/>
              <w:right w:type="dxa" w:w="100"/>
            </w:tcMar>
          </w:tcPr>
          <w:p>
            <w:r>
              <w:rPr>
                <w:b w:val="false"/>
                <w:bCs w:val="false"/>
                <w:sz w:val="19"/>
                <w:szCs w:val="19"/>
              </w:rPr>
              <w:t xml:space="preserve">Daily cache; Stooq as automatic fallback; pages always show “prices as of” date.</w:t>
            </w:r>
          </w:p>
        </w:tc>
      </w:tr>
      <w:tr>
        <w:trPr>
          <w:tblHeader w:val="false"/>
        </w:trPr>
        <w:tc>
          <w:tcPr>
            <w:tcW w:type="dxa" w:w="2600"/>
            <w:tcMar>
              <w:top w:type="dxa" w:w="60"/>
              <w:left w:type="dxa" w:w="100"/>
              <w:bottom w:type="dxa" w:w="60"/>
              <w:right w:type="dxa" w:w="100"/>
            </w:tcMar>
          </w:tcPr>
          <w:p>
            <w:r>
              <w:rPr>
                <w:b w:val="false"/>
                <w:bCs w:val="false"/>
                <w:sz w:val="19"/>
                <w:szCs w:val="19"/>
              </w:rPr>
              <w:t xml:space="preserve">Numbers diverge visibly from real Degiro values</w:t>
            </w:r>
          </w:p>
        </w:tc>
        <w:tc>
          <w:tcPr>
            <w:tcW w:type="dxa" w:w="2200"/>
            <w:tcMar>
              <w:top w:type="dxa" w:w="60"/>
              <w:left w:type="dxa" w:w="100"/>
              <w:bottom w:type="dxa" w:w="60"/>
              <w:right w:type="dxa" w:w="100"/>
            </w:tcMar>
          </w:tcPr>
          <w:p>
            <w:r>
              <w:rPr>
                <w:b w:val="false"/>
                <w:bCs w:val="false"/>
                <w:sz w:val="19"/>
                <w:szCs w:val="19"/>
              </w:rPr>
              <w:t xml:space="preserve">Certain but small</w:t>
            </w:r>
          </w:p>
        </w:tc>
        <w:tc>
          <w:tcPr>
            <w:tcW w:type="dxa" w:w="4400"/>
            <w:tcMar>
              <w:top w:type="dxa" w:w="60"/>
              <w:left w:type="dxa" w:w="100"/>
              <w:bottom w:type="dxa" w:w="60"/>
              <w:right w:type="dxa" w:w="100"/>
            </w:tcMar>
          </w:tcPr>
          <w:p>
            <w:r>
              <w:rPr>
                <w:b w:val="false"/>
                <w:bCs w:val="false"/>
                <w:sz w:val="19"/>
                <w:szCs w:val="19"/>
              </w:rPr>
              <w:t xml:space="preserve">It is by design (static key, no fees). State the assumptions on the page; a once-a-year manual comparison keeps you honest.</w:t>
            </w:r>
          </w:p>
        </w:tc>
      </w:tr>
      <w:tr>
        <w:trPr>
          <w:tblHeader w:val="false"/>
        </w:trPr>
        <w:tc>
          <w:tcPr>
            <w:tcW w:type="dxa" w:w="2600"/>
            <w:tcMar>
              <w:top w:type="dxa" w:w="60"/>
              <w:left w:type="dxa" w:w="100"/>
              <w:bottom w:type="dxa" w:w="60"/>
              <w:right w:type="dxa" w:w="100"/>
            </w:tcMar>
          </w:tcPr>
          <w:p>
            <w:r>
              <w:rPr>
                <w:b w:val="false"/>
                <w:bCs w:val="false"/>
                <w:sz w:val="19"/>
                <w:szCs w:val="19"/>
              </w:rPr>
              <w:t xml:space="preserve">A fund changes ticker, merges or is delisted</w:t>
            </w:r>
          </w:p>
        </w:tc>
        <w:tc>
          <w:tcPr>
            <w:tcW w:type="dxa" w:w="2200"/>
            <w:tcMar>
              <w:top w:type="dxa" w:w="60"/>
              <w:left w:type="dxa" w:w="100"/>
              <w:bottom w:type="dxa" w:w="60"/>
              <w:right w:type="dxa" w:w="100"/>
            </w:tcMar>
          </w:tcPr>
          <w:p>
            <w:r>
              <w:rPr>
                <w:b w:val="false"/>
                <w:bCs w:val="false"/>
                <w:sz w:val="19"/>
                <w:szCs w:val="19"/>
              </w:rPr>
              <w:t xml:space="preserve">Low / medium</w:t>
            </w:r>
          </w:p>
        </w:tc>
        <w:tc>
          <w:tcPr>
            <w:tcW w:type="dxa" w:w="4400"/>
            <w:tcMar>
              <w:top w:type="dxa" w:w="60"/>
              <w:left w:type="dxa" w:w="100"/>
              <w:bottom w:type="dxa" w:w="60"/>
              <w:right w:type="dxa" w:w="100"/>
            </w:tcMar>
          </w:tcPr>
          <w:p>
            <w:r>
              <w:rPr>
                <w:b w:val="false"/>
                <w:bCs w:val="false"/>
                <w:sz w:val="19"/>
                <w:szCs w:val="19"/>
              </w:rPr>
              <w:t xml:space="preserve">Store ISINs alongside tickers; the price job fails loudly (email) rather than silently.</w:t>
            </w:r>
          </w:p>
        </w:tc>
      </w:tr>
      <w:tr>
        <w:trPr>
          <w:tblHeader w:val="false"/>
        </w:trPr>
        <w:tc>
          <w:tcPr>
            <w:tcW w:type="dxa" w:w="2600"/>
            <w:tcMar>
              <w:top w:type="dxa" w:w="60"/>
              <w:left w:type="dxa" w:w="100"/>
              <w:bottom w:type="dxa" w:w="60"/>
              <w:right w:type="dxa" w:w="100"/>
            </w:tcMar>
          </w:tcPr>
          <w:p>
            <w:r>
              <w:rPr>
                <w:b w:val="false"/>
                <w:bCs w:val="false"/>
                <w:sz w:val="19"/>
                <w:szCs w:val="19"/>
              </w:rPr>
              <w:t xml:space="preserve">Deposit entry errors</w:t>
            </w:r>
          </w:p>
        </w:tc>
        <w:tc>
          <w:tcPr>
            <w:tcW w:type="dxa" w:w="2200"/>
            <w:tcMar>
              <w:top w:type="dxa" w:w="60"/>
              <w:left w:type="dxa" w:w="100"/>
              <w:bottom w:type="dxa" w:w="60"/>
              <w:right w:type="dxa" w:w="100"/>
            </w:tcMar>
          </w:tcPr>
          <w:p>
            <w:r>
              <w:rPr>
                <w:b w:val="false"/>
                <w:bCs w:val="false"/>
                <w:sz w:val="19"/>
                <w:szCs w:val="19"/>
              </w:rPr>
              <w:t xml:space="preserve">Low / low</w:t>
            </w:r>
          </w:p>
        </w:tc>
        <w:tc>
          <w:tcPr>
            <w:tcW w:type="dxa" w:w="4400"/>
            <w:tcMar>
              <w:top w:type="dxa" w:w="60"/>
              <w:left w:type="dxa" w:w="100"/>
              <w:bottom w:type="dxa" w:w="60"/>
              <w:right w:type="dxa" w:w="100"/>
            </w:tcMar>
          </w:tcPr>
          <w:p>
            <w:r>
              <w:rPr>
                <w:b w:val="false"/>
                <w:bCs w:val="false"/>
                <w:sz w:val="19"/>
                <w:szCs w:val="19"/>
              </w:rPr>
              <w:t xml:space="preserve">Keep the spreadsheet as the single source; the build validates dates and totals and refuses to publish on parse errors.</w:t>
            </w:r>
          </w:p>
        </w:tc>
      </w:tr>
      <w:tr>
        <w:trPr>
          <w:tblHeader w:val="false"/>
        </w:trPr>
        <w:tc>
          <w:tcPr>
            <w:tcW w:type="dxa" w:w="2600"/>
            <w:tcMar>
              <w:top w:type="dxa" w:w="60"/>
              <w:left w:type="dxa" w:w="100"/>
              <w:bottom w:type="dxa" w:w="60"/>
              <w:right w:type="dxa" w:w="100"/>
            </w:tcMar>
          </w:tcPr>
          <w:p>
            <w:r>
              <w:rPr>
                <w:b w:val="false"/>
                <w:bCs w:val="false"/>
                <w:sz w:val="19"/>
                <w:szCs w:val="19"/>
              </w:rPr>
              <w:t xml:space="preserve">Nieces/nephews portfolios diverge later</w:t>
            </w:r>
          </w:p>
        </w:tc>
        <w:tc>
          <w:tcPr>
            <w:tcW w:type="dxa" w:w="2200"/>
            <w:tcMar>
              <w:top w:type="dxa" w:w="60"/>
              <w:left w:type="dxa" w:w="100"/>
              <w:bottom w:type="dxa" w:w="60"/>
              <w:right w:type="dxa" w:w="100"/>
            </w:tcMar>
          </w:tcPr>
          <w:p>
            <w:r>
              <w:rPr>
                <w:b w:val="false"/>
                <w:bCs w:val="false"/>
                <w:sz w:val="19"/>
                <w:szCs w:val="19"/>
              </w:rPr>
              <w:t xml:space="preserve">Likely eventually / none</w:t>
            </w:r>
          </w:p>
        </w:tc>
        <w:tc>
          <w:tcPr>
            <w:tcW w:type="dxa" w:w="4400"/>
            <w:tcMar>
              <w:top w:type="dxa" w:w="60"/>
              <w:left w:type="dxa" w:w="100"/>
              <w:bottom w:type="dxa" w:w="60"/>
              <w:right w:type="dxa" w:w="100"/>
            </w:tcMar>
          </w:tcPr>
          <w:p>
            <w:r>
              <w:rPr>
                <w:b w:val="false"/>
                <w:bCs w:val="false"/>
                <w:sz w:val="19"/>
                <w:szCs w:val="19"/>
              </w:rPr>
              <w:t xml:space="preserve">Per-person deposit tables from day one.</w:t>
            </w:r>
          </w:p>
        </w:tc>
      </w:tr>
    </w:tbl>
    <w:p>
      <w:pPr>
        <w:pStyle w:val="Heading1"/>
        <w:spacing w:after="120" w:before="320"/>
      </w:pPr>
      <w:r>
        <w:t xml:space="preserve">10. Suggested plan</w:t>
      </w:r>
    </w:p>
    <w:p>
      <w:pPr>
        <w:pStyle w:val="ListParagraph"/>
        <w:numPr>
          <w:ilvl w:val="0"/>
          <w:numId w:val="2"/>
        </w:numPr>
        <w:spacing w:after="80"/>
      </w:pPr>
      <w:r>
        <w:t xml:space="preserve">Step 0 (30 min): fetch 2021–2026 daily closes for the five tickers from Yahoo and Stooq; confirm coverage. This is the go/no-go check.</w:t>
      </w:r>
    </w:p>
    <w:p>
      <w:pPr>
        <w:pStyle w:val="ListParagraph"/>
        <w:numPr>
          <w:ilvl w:val="0"/>
          <w:numId w:val="2"/>
        </w:numPr>
        <w:spacing w:after="80"/>
      </w:pPr>
      <w:r>
        <w:t xml:space="preserve">Step 1 (1 evening): calculation core in Python — read the workbook, apply the key, produce per-person and per-deposit valuations; unit-test against a hand-calculated example.</w:t>
      </w:r>
    </w:p>
    <w:p>
      <w:pPr>
        <w:pStyle w:val="ListParagraph"/>
        <w:numPr>
          <w:ilvl w:val="0"/>
          <w:numId w:val="2"/>
        </w:numPr>
        <w:spacing w:after="80"/>
      </w:pPr>
      <w:r>
        <w:t xml:space="preserve">Step 2 (1 evening): HTML templates with charts (value vs. deposits over time, per-deposit table, ETF breakdown); static build; publish on GitHub Pages with token URLs.</w:t>
      </w:r>
    </w:p>
    <w:p>
      <w:pPr>
        <w:pStyle w:val="ListParagraph"/>
        <w:numPr>
          <w:ilvl w:val="0"/>
          <w:numId w:val="2"/>
        </w:numPr>
        <w:spacing w:after="80"/>
      </w:pPr>
      <w:r>
        <w:t xml:space="preserve">Step 3 (half evening): daily scheduled job (GitHub Actions) for price refresh and rebuild; failure notification.</w:t>
      </w:r>
    </w:p>
    <w:p>
      <w:pPr>
        <w:pStyle w:val="ListParagraph"/>
        <w:numPr>
          <w:ilvl w:val="0"/>
          <w:numId w:val="2"/>
        </w:numPr>
        <w:spacing w:after="80"/>
      </w:pPr>
      <w:r>
        <w:t xml:space="preserve">Step 4 (1 evening): yearly-summary page and PDF export; run it for 2025 as a dry run against your last newsletter.</w:t>
      </w:r>
    </w:p>
    <w:p>
      <w:pPr>
        <w:spacing w:after="140"/>
      </w:pPr>
      <w:r>
        <w:t xml:space="preserve">Total: roughly 3–4 evenings for a complete, maintenance-free version. If you want, the next session can start with Step 0 and Step 1 directly from the workbook you already have.</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5C"/>
      <w:sz w:val="32"/>
      <w:szCs w:val="32"/>
    </w:rPr>
  </w:style>
  <w:style w:type="paragraph" w:styleId="Heading2">
    <w:name w:val="Heading 2"/>
    <w:basedOn w:val="Normal"/>
    <w:next w:val="Normal"/>
    <w:qFormat/>
    <w:rPr>
      <w:b/>
      <w:bCs/>
      <w:color w:val="2E5A88"/>
      <w:sz w:val="25"/>
      <w:szCs w:val="25"/>
    </w:rPr>
  </w:style>
  <w:style w:type="paragraph" w:styleId="Title">
    <w:name w:val="Title"/>
    <w:basedOn w:val="Normal"/>
    <w:rPr>
      <w:b/>
      <w:bCs/>
      <w:color w:val="1F3B5C"/>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2026-08-23T20:11:10.016Z</dcterms:created>
  <dcterms:modified xsi:type="dcterms:W3CDTF">2026-08-23T20:11:10.029Z</dcterms:modified>
</cp:coreProperties>
</file>

<file path=docProps/custom.xml><?xml version="1.0" encoding="utf-8"?>
<Properties xmlns="http://schemas.openxmlformats.org/officeDocument/2006/custom-properties" xmlns:vt="http://schemas.openxmlformats.org/officeDocument/2006/docPropsVTypes"/>
</file>