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Propuesta de sesiones síncronas en Soflia Hub</w:t>
      </w:r>
    </w:p>
    <w:p>
      <w:pPr>
        <w:pStyle w:val="Subtitle"/>
      </w:pPr>
      <w:r>
        <w:t>Resumen para Dirección sobre la decisión y la entrega</w:t>
      </w:r>
    </w:p>
    <w:p>
      <w:r>
        <w:t>10 de octubre de 2026  |  Versión 2  |  Sesiones en Soflia Hub de escritorio</w:t>
      </w:r>
    </w:p>
    <w:p>
      <w:r>
        <w:t>La decisión adoptada es realizar las sesiones síncronas en Soflia Hub de escritorio. Learning conservará la administración y mostrará las reuniones o webinars al usuario, junto con su aprendizaje. Al pulsar la tarjeta, se abrirá Hub y continuará el acceso a la sesión autorizada. Las sesiones y el panel de instructor son funciones permanentes, disponibles según los permisos del usuario.</w:t>
      </w:r>
    </w:p>
    <w:p>
      <w:r>
        <w:t>El refactor local elimina el aula multimedia de Learning y conecta ambos productos. Esta propuesta informa qué cambia, qué se ha implementado y qué debe verificarse antes del lanzamiento. No vuelve a plantear la ubicación del aula como una decisión pendiente.</w:t>
      </w:r>
    </w:p>
    <w:p>
      <w:pPr>
        <w:pStyle w:val="Heading2"/>
      </w:pPr>
      <w:r>
        <w:t>1 Experiencia esperada</w:t>
      </w:r>
    </w:p>
    <w:p>
      <w:r>
        <w:t>1. El docente administra la sesión y sus alumnos desde Learning.</w:t>
      </w:r>
    </w:p>
    <w:p>
      <w:r>
        <w:t>2. El alumno encuentra la tarjeta con tipo, horario y estado de la sesión.</w:t>
      </w:r>
    </w:p>
    <w:p>
      <w:r>
        <w:t>3. Al pulsar Abrir Soflia Hub, el sistema abre la aplicación de escritorio.</w:t>
      </w:r>
    </w:p>
    <w:p>
      <w:r>
        <w:t>4. Si necesita iniciar sesión, Hub conserva la clase solicitada durante ese paso.</w:t>
      </w:r>
    </w:p>
    <w:p>
      <w:r>
        <w:t>5. Hub verifica acceso y muestra la reunión o webinar en su navegador integrado.</w:t>
      </w:r>
    </w:p>
    <w:p>
      <w:pPr>
        <w:pStyle w:val="Heading2"/>
      </w:pPr>
      <w:r>
        <w:t>Beneficio del cambio</w:t>
      </w:r>
    </w:p>
    <w:p>
      <w:r>
        <w:t>La experiencia síncrona se concentra en el producto de escritorio y Learning conserva su función de aprendizaje y administración. Esto evita mantener dos aulas y permite ampliar las herramientas de sesión directamente en Hub.</w:t>
      </w:r>
    </w:p>
    <w:p>
      <w:r>
        <w:t>La apertura de la aplicación puede requerir confirmación del navegador. Zoom conservará admisión y permisos de micrófono, cámara y pantalla. Esos pasos son parte del flujo real y deben comprobarse durante el piloto.</w:t>
      </w:r>
    </w:p>
    <w:p>
      <w:r>
        <w:br w:type="page"/>
      </w:r>
    </w:p>
    <w:p>
      <w:pPr>
        <w:pStyle w:val="Heading1"/>
      </w:pPr>
      <w:r>
        <w:t>2 Alcance de cada producto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Permanece en Learning</w:t>
            </w:r>
          </w:p>
        </w:tc>
        <w:tc>
          <w:tcPr>
            <w:tcW w:type="dxa" w:w="4997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Se realiza en Hub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Cursos, alumnos y asignaciones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Inicio de sesión del escritorio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Administración de reuniones/webinars</w:t>
            </w:r>
          </w:p>
        </w:tc>
        <w:tc>
          <w:tcPr>
            <w:tcW w:type="dxa" w:w="499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Recepción de la sesión seleccionada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Agenda, tarjetas y ficha de detalles</w:t>
            </w:r>
          </w:p>
        </w:tc>
        <w:tc>
          <w:tcPr>
            <w:tcW w:type="dxa" w:w="4997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Ingreso autorizado a Zoom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Cancelación, cierre y estado administrativo</w:t>
            </w:r>
          </w:p>
        </w:tc>
        <w:tc>
          <w:tcPr>
            <w:tcW w:type="dxa" w:w="4997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Audio, video, pantalla y chat Zoom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Qué se elimina de Learning</w:t>
      </w:r>
    </w:p>
    <w:p>
      <w:r>
        <w:t>Se retiran la página de aula en vivo, el reproductor integrado, el chat de la sala, actividades en vivo y captura de transcripción/presencia del navegador. La ficha de sesión conserva el acceso al escritorio y sus datos administrativos. Los cursos asíncronos y sus herramientas actuales siguen funcionando.</w:t>
      </w:r>
    </w:p>
    <w:p>
      <w:pPr>
        <w:pStyle w:val="Heading2"/>
      </w:pPr>
      <w:r>
        <w:t>Qué se conserva de la historia</w:t>
      </w:r>
    </w:p>
    <w:p>
      <w:r>
        <w:t>Retirar la funcionalidad no exige borrar los registros anteriores. Las tablas y materiales históricos se conservan con control de acceso. Se definirá por separado su retención y destino si se necesita trasladarlos a Hub.</w:t>
      </w:r>
    </w:p>
    <w:p>
      <w:pPr>
        <w:pStyle w:val="Heading2"/>
      </w:pPr>
      <w:r>
        <w:t>Primera entrega y ampliaciones</w:t>
      </w:r>
    </w:p>
    <w:p>
      <w:r>
        <w:t>La conexión implementada abre la experiencia Zoom disponible dentro del navegador Hub. Una sala educativa con chat propio de Soflia, quizzes, materiales y contexto continuo de IA sería una entrega adicional en Hub. No debe presentarse como parte ya terminada del refactor.</w:t>
      </w:r>
    </w:p>
    <w:p>
      <w:r>
        <w:t>La administración REST de Zoom permanece en Learning. Hub recibe el resultado autorizado para entrar; no incorpora credenciales administrativas de Zoom ni claves privadas del servidor.</w:t>
      </w:r>
    </w:p>
    <w:p>
      <w:r>
        <w:br w:type="page"/>
      </w:r>
    </w:p>
    <w:p>
      <w:pPr>
        <w:pStyle w:val="Heading1"/>
      </w:pPr>
      <w:r>
        <w:t>3 Validación y condiciones de lanzamiento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3038"/>
        <w:gridCol w:w="6955"/>
      </w:tblGrid>
      <w:tr>
        <w:trPr>
          <w:tblHeader w:val="true"/>
          <w:cantSplit/>
        </w:trPr>
        <w:tc>
          <w:tcPr>
            <w:tcW w:type="dxa" w:w="3038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Condición</w:t>
            </w:r>
          </w:p>
        </w:tc>
        <w:tc>
          <w:tcPr>
            <w:tcW w:type="dxa" w:w="6955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Validación requerida</w:t>
            </w:r>
          </w:p>
        </w:tc>
      </w:tr>
      <w:tr>
        <w:trPr>
          <w:cantSplit/>
        </w:trPr>
        <w:tc>
          <w:tcPr>
            <w:tcW w:type="dxa" w:w="303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Usuario autorizado</w:t>
            </w:r>
          </w:p>
        </w:tc>
        <w:tc>
          <w:tcPr>
            <w:tcW w:type="dxa" w:w="695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Cuenta activa y curso asignado; revocaciones respetadas</w:t>
            </w:r>
          </w:p>
        </w:tc>
      </w:tr>
      <w:tr>
        <w:trPr>
          <w:cantSplit/>
        </w:trPr>
        <w:tc>
          <w:tcPr>
            <w:tcW w:type="dxa" w:w="303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Desktop instalado</w:t>
            </w:r>
          </w:p>
        </w:tc>
        <w:tc>
          <w:tcPr>
            <w:tcW w:type="dxa" w:w="695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Nuevo protocolo registrado en el build distribuido</w:t>
            </w:r>
          </w:p>
        </w:tc>
      </w:tr>
      <w:tr>
        <w:trPr>
          <w:cantSplit/>
        </w:trPr>
        <w:tc>
          <w:tcPr>
            <w:tcW w:type="dxa" w:w="303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Identidad compartida</w:t>
            </w:r>
          </w:p>
        </w:tc>
        <w:tc>
          <w:tcPr>
            <w:tcW w:type="dxa" w:w="695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Login Learning y sesión SOFIA resuelven la misma persona</w:t>
            </w:r>
          </w:p>
        </w:tc>
      </w:tr>
      <w:tr>
        <w:trPr>
          <w:cantSplit/>
        </w:trPr>
        <w:tc>
          <w:tcPr>
            <w:tcW w:type="dxa" w:w="303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Reunión y webinar</w:t>
            </w:r>
          </w:p>
        </w:tc>
        <w:tc>
          <w:tcPr>
            <w:tcW w:type="dxa" w:w="695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Licencia/scopes y acceso correcto para cada tipo</w:t>
            </w:r>
          </w:p>
        </w:tc>
      </w:tr>
      <w:tr>
        <w:trPr>
          <w:cantSplit/>
        </w:trPr>
        <w:tc>
          <w:tcPr>
            <w:tcW w:type="dxa" w:w="3038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Multimedia</w:t>
            </w:r>
          </w:p>
        </w:tc>
        <w:tc>
          <w:tcPr>
            <w:tcW w:type="dxa" w:w="6955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Cámara, audio, pantalla, admisión y chat en Hub</w:t>
            </w:r>
          </w:p>
        </w:tc>
      </w:tr>
      <w:tr>
        <w:trPr>
          <w:cantSplit/>
        </w:trPr>
        <w:tc>
          <w:tcPr>
            <w:tcW w:type="dxa" w:w="3038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Operación</w:t>
            </w:r>
          </w:p>
        </w:tc>
        <w:tc>
          <w:tcPr>
            <w:tcW w:type="dxa" w:w="6955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Soporte, mensajes de fallo, nueva apertura y rollback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Avance de implementación</w:t>
      </w:r>
    </w:p>
    <w:p>
      <w:r>
        <w:t>Learning ya tiene catálogo y ficha orientados a Hub, retirada del aula y endpoint de acceso protegido. Hub incorpora recepción del enlace, continuidad de login, validación desde main y apertura privada. Learning aprobó 73 pruebas focalizadas; los resultados del escritorio y los checks globales se registran en el reporte técnico.</w:t>
      </w:r>
    </w:p>
    <w:p>
      <w:pPr>
        <w:pStyle w:val="Heading2"/>
      </w:pPr>
      <w:r>
        <w:t>Límites que Dirección debe conocer</w:t>
      </w:r>
    </w:p>
    <w:p>
      <w:r>
        <w:t>Abrir Zoom no certifica asistencia ni asegura admisión automática. Si se necesitan certificados, grabaciones o reportes de participación, deben definirse los registros válidos y sus entregas. Copiar un enlace genérico Zoom tampoco equivale a revocación individual; ese requisito necesita controles adicionales del proveedor.</w:t>
      </w:r>
    </w:p>
    <w:p>
      <w:r>
        <w:t>No se publicaron builds ni se modificó la base remota. El despliegue será coordinado: migración y Learning primero, escritorio compatible después, y piloto antes de ampliar usuarios.</w:t>
      </w:r>
    </w:p>
    <w:p>
      <w:r>
        <w:br w:type="page"/>
      </w:r>
    </w:p>
    <w:p>
      <w:pPr>
        <w:pStyle w:val="Heading1"/>
      </w:pPr>
      <w:r>
        <w:t>4 Complementos y registro de revisión</w:t>
      </w:r>
    </w:p>
    <w:p>
      <w:r>
        <w:t>La ubicación en Hub de escritorio está confirmada. La revisión de Dirección se centra ahora en condiciones de lanzamiento y herramientas educativas adicionales.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  <w:tblCellMar>
          <w:top w:w="90" w:type="dxa"/>
          <w:bottom w:w="90" w:type="dxa"/>
          <w:left w:w="110" w:type="dxa"/>
          <w:right w:w="110" w:type="dxa"/>
        </w:tblCellMar>
      </w:tblPr>
      <w:tblGrid>
        <w:gridCol w:w="4752"/>
        <w:gridCol w:w="5242"/>
      </w:tblGrid>
      <w:tr>
        <w:trPr>
          <w:tblHeader w:val="true"/>
          <w:cantSplit/>
        </w:trPr>
        <w:tc>
          <w:tcPr>
            <w:tcW w:type="dxa" w:w="4752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Tema de revisión</w:t>
            </w:r>
          </w:p>
        </w:tc>
        <w:tc>
          <w:tcPr>
            <w:tcW w:type="dxa" w:w="5242"/>
            <w:vAlign w:val="center"/>
            <w:shd w:fill="233E54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/>
                <w:color w:val="FFFFFF"/>
                <w:sz w:val="19"/>
              </w:rPr>
              <w:t>Decisión o complemento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Primer curso y grupo piloto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Distribución e instalación de Hub</w:t>
            </w:r>
          </w:p>
        </w:tc>
        <w:tc>
          <w:tcPr>
            <w:tcW w:type="dxa" w:w="5242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Chat Soflia y actividades dentro de Hub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Asistencia, certificados y reportes</w:t>
            </w:r>
          </w:p>
        </w:tc>
        <w:tc>
          <w:tcPr>
            <w:tcW w:type="dxa" w:w="5242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Grabación, transcripción y conservación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Revocación de enlaces Zoom individuales</w:t>
            </w:r>
          </w:p>
        </w:tc>
        <w:tc>
          <w:tcPr>
            <w:tcW w:type="dxa" w:w="5242"/>
            <w:vAlign w:val="center"/>
            <w:shd w:fill="F2F5F7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  <w:tr>
        <w:trPr>
          <w:cantSplit/>
        </w:trPr>
        <w:tc>
          <w:tcPr>
            <w:tcW w:type="dxa" w:w="475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Licencias, volumen y soporte docente</w:t>
            </w:r>
          </w:p>
        </w:tc>
        <w:tc>
          <w:tcPr>
            <w:tcW w:type="dxa" w:w="5242"/>
            <w:vAlign w:val="center"/>
            <w:shd w:fill="FFFFFF"/>
          </w:tcPr>
          <w:p>
            <w:pPr>
              <w:keepNext w:val="0"/>
              <w:spacing w:after="40" w:before="20" w:line="250" w:lineRule="auto"/>
            </w:pPr>
            <w:r>
              <w:rPr>
                <w:rFonts w:ascii="Calibri" w:hAnsi="Calibri"/>
                <w:b w:val="0"/>
                <w:color w:val="000000"/>
                <w:sz w:val="19"/>
              </w:rPr>
              <w:t>Por completar</w:t>
            </w:r>
          </w:p>
        </w:tc>
      </w:tr>
    </w:tbl>
    <w:p>
      <w:pPr>
        <w:spacing w:after="40" w:before="0" w:line="40" w:lineRule="exact"/>
      </w:pPr>
      <w:r>
        <w:rPr>
          <w:sz w:val="4"/>
        </w:rPr>
      </w:r>
    </w:p>
    <w:p>
      <w:pPr>
        <w:pStyle w:val="Heading2"/>
      </w:pPr>
      <w:r>
        <w:t>Resultado de la revisión</w:t>
      </w:r>
    </w:p>
    <w:p>
      <w:r>
        <w:t>Seleccionar: aceptar la entrega para validación / solicitar complementos / diferir el piloto.</w:t>
      </w:r>
    </w:p>
    <w:p>
      <w:r>
        <w:t>Decisión seleccionada: __________________________________________________</w:t>
      </w:r>
    </w:p>
    <w:p>
      <w:r>
        <w:t>Complementos y prioridad: _______________________________________________</w:t>
      </w:r>
    </w:p>
    <w:p>
      <w:r>
        <w:t>______________________________________________________________________</w:t>
      </w:r>
    </w:p>
    <w:p>
      <w:r>
        <w:t>Responsable del piloto: __________________  Fecha de revisión: ________________</w:t>
      </w:r>
    </w:p>
    <w:p>
      <w:r>
        <w:t>Responsable de release: _________________  Grupo inicial: ____________________</w:t>
      </w:r>
    </w:p>
    <w:p>
      <w:pPr>
        <w:pStyle w:val="Heading2"/>
      </w:pPr>
      <w:r>
        <w:t>Documento de ejecución</w:t>
      </w:r>
    </w:p>
    <w:p>
      <w:r>
        <w:t>El plan técnico Learning Hub v2 contiene el contrato entre repositorios, la migración, los criterios de acceso, la retirada del aula y las pruebas de aceptación. Se actualizará con los complementos aprobados sin reintroducir el aula en Learning.</w:t>
      </w:r>
    </w:p>
    <w:sectPr w:rsidR="00FC693F" w:rsidRPr="0006063C" w:rsidSect="00034616">
      <w:footerReference w:type="default" r:id="rId9"/>
      <w:pgSz w:w="12240" w:h="15840"/>
      <w:pgMar w:top="965" w:right="1123" w:bottom="965" w:left="1123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000000"/>
        <w:sz w:val="16"/>
      </w:rPr>
      <w:t xml:space="preserve">Soflia  Propuesta directiva v2  |  </w:t>
    </w:r>
    <w:r>
      <w:rPr>
        <w:rFonts w:ascii="Calibri" w:hAnsi="Calibri"/>
        <w:color w:val="000000"/>
        <w:sz w:val="16"/>
      </w:rPr>
      <w:fldChar w:fldCharType="begin"/>
      <w:instrText>PAGE</w:instrText>
      <w:fldChar w:fldCharType="end"/>
    </w:r>
    <w:r>
      <w:rPr>
        <w:rFonts w:ascii="Calibri" w:hAnsi="Calibri"/>
        <w:color w:val="000000"/>
        <w:sz w:val="16"/>
      </w:rPr>
      <w:t xml:space="preserve"> de </w:t>
    </w:r>
    <w:r>
      <w:rPr>
        <w:rFonts w:ascii="Calibri" w:hAnsi="Calibri"/>
        <w:color w:val="000000"/>
        <w:sz w:val="16"/>
      </w:rPr>
      <w:fldChar w:fldCharType="begin"/>
      <w:instrText>NUMPAGES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4" w:lineRule="auto"/>
    </w:pPr>
    <w:rPr>
      <w:rFonts w:ascii="Calibri" w:hAnsi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40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14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0"/>
      <w:contextualSpacing/>
    </w:pPr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20" w:after="14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sesiones síncronas en Soflia Hub</dc:title>
  <dc:subject>Resumen para Dirección sobre la decisión y la entrega</dc:subject>
  <dc:creator>Soflia</dc:creator>
  <cp:keywords>Zoom, Soflia, sesiones síncronas, plan</cp:keywords>
  <dc:description>generated by python-docx</dc:description>
  <cp:lastModifiedBy/>
  <cp:revision>1</cp:revision>
  <dcterms:created xsi:type="dcterms:W3CDTF">2026-10-10T16:00:00Z</dcterms:created>
  <dcterms:modified xsi:type="dcterms:W3CDTF">2026-10-10T16:00:00Z</dcterms:modified>
  <cp:category/>
</cp:coreProperties>
</file>