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técnico de sesiones entre Learning y Hub</w:t>
      </w:r>
    </w:p>
    <w:p>
      <w:pPr>
        <w:pStyle w:val="Subtitle"/>
      </w:pPr>
      <w:r>
        <w:t>Administración en Learning y ejecución en Soflia Hub</w:t>
      </w:r>
    </w:p>
    <w:p>
      <w:r>
        <w:t>10 de octubre de 2026  |  Versión 2  |  Sesiones en Soflia Hub de escritorio</w:t>
      </w:r>
    </w:p>
    <w:p>
      <w:r>
        <w:t>La decisión vigente traslada la experiencia síncrona a Soflia Hub de escritorio. Learning conserva administración, catálogo y autorización académica. Las sesiones y el panel de instructor permanecen activos sin variable de activación. Al pulsar una tarjeta, Hub recibe la referencia, autentica al usuario y abre la reunión o webinar autorizado dentro de su navegador integrado.</w:t>
      </w:r>
    </w:p>
    <w:p>
      <w:r>
        <w:t>Esta versión reemplaza el alcance del aula integrada en Learning. El refactor local retira esa aula y conecta ambos repositorios. Las tareas de despliegue, configuración y comprobación multimedia real permanecen identificadas antes de publicar producción.</w:t>
      </w:r>
    </w:p>
    <w:p>
      <w:pPr>
        <w:pStyle w:val="Heading2"/>
      </w:pPr>
      <w:r>
        <w:t>1 Frontera entre los productos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4997"/>
        <w:gridCol w:w="4997"/>
      </w:tblGrid>
      <w:tr>
        <w:trPr>
          <w:tblHeader w:val="true"/>
          <w:cantSplit/>
        </w:trPr>
        <w:tc>
          <w:tcPr>
            <w:tcW w:type="dxa" w:w="4997"/>
            <w:vAlign w:val="center"/>
            <w:shd w:fill="233E54"/>
          </w:tcPr>
          <w:p>
            <w:pPr>
              <w:keepNext w:val="0"/>
              <w:spacing w:after="40" w:before="20" w:line="250" w:lineRule="auto"/>
            </w:pPr>
            <w:r>
              <w:rPr>
                <w:rFonts w:ascii="Calibri" w:hAnsi="Calibri"/>
                <w:b/>
                <w:color w:val="FFFFFF"/>
                <w:sz w:val="19"/>
              </w:rPr>
              <w:t>Learning</w:t>
            </w:r>
          </w:p>
        </w:tc>
        <w:tc>
          <w:tcPr>
            <w:tcW w:type="dxa" w:w="4997"/>
            <w:vAlign w:val="center"/>
            <w:shd w:fill="233E54"/>
          </w:tcPr>
          <w:p>
            <w:pPr>
              <w:keepNext w:val="0"/>
              <w:spacing w:after="40" w:before="20" w:line="250" w:lineRule="auto"/>
            </w:pPr>
            <w:r>
              <w:rPr>
                <w:rFonts w:ascii="Calibri" w:hAnsi="Calibri"/>
                <w:b/>
                <w:color w:val="FFFFFF"/>
                <w:sz w:val="19"/>
              </w:rPr>
              <w:t>Soflia Hub de escritorio</w:t>
            </w:r>
          </w:p>
        </w:tc>
      </w:tr>
      <w:tr>
        <w:trPr>
          <w:cantSplit/>
        </w:trPr>
        <w:tc>
          <w:tcPr>
            <w:tcW w:type="dxa" w:w="4997"/>
            <w:vAlign w:val="center"/>
            <w:shd w:fill="FFFFFF"/>
          </w:tcPr>
          <w:p>
            <w:pPr>
              <w:keepNext w:val="0"/>
              <w:spacing w:after="40" w:before="20" w:line="250" w:lineRule="auto"/>
            </w:pPr>
            <w:r>
              <w:rPr>
                <w:rFonts w:ascii="Calibri" w:hAnsi="Calibri"/>
                <w:b w:val="0"/>
                <w:color w:val="000000"/>
                <w:sz w:val="19"/>
              </w:rPr>
              <w:t>Cursos, organización y asignación vigente</w:t>
            </w:r>
          </w:p>
        </w:tc>
        <w:tc>
          <w:tcPr>
            <w:tcW w:type="dxa" w:w="4997"/>
            <w:vAlign w:val="center"/>
            <w:shd w:fill="FFFFFF"/>
          </w:tcPr>
          <w:p>
            <w:pPr>
              <w:keepNext w:val="0"/>
              <w:spacing w:after="40" w:before="20" w:line="250" w:lineRule="auto"/>
            </w:pPr>
            <w:r>
              <w:rPr>
                <w:rFonts w:ascii="Calibri" w:hAnsi="Calibri"/>
                <w:b w:val="0"/>
                <w:color w:val="000000"/>
                <w:sz w:val="19"/>
              </w:rPr>
              <w:t>Identidad SOFIA del usuario y login federado existente</w:t>
            </w:r>
          </w:p>
        </w:tc>
      </w:tr>
      <w:tr>
        <w:trPr>
          <w:cantSplit/>
        </w:trPr>
        <w:tc>
          <w:tcPr>
            <w:tcW w:type="dxa" w:w="4997"/>
            <w:vAlign w:val="center"/>
            <w:shd w:fill="F2F5F7"/>
          </w:tcPr>
          <w:p>
            <w:pPr>
              <w:keepNext w:val="0"/>
              <w:spacing w:after="40" w:before="20" w:line="250" w:lineRule="auto"/>
            </w:pPr>
            <w:r>
              <w:rPr>
                <w:rFonts w:ascii="Calibri" w:hAnsi="Calibri"/>
                <w:b w:val="0"/>
                <w:color w:val="000000"/>
                <w:sz w:val="19"/>
              </w:rPr>
              <w:t>Programación de reuniones y webinars</w:t>
            </w:r>
          </w:p>
        </w:tc>
        <w:tc>
          <w:tcPr>
            <w:tcW w:type="dxa" w:w="4997"/>
            <w:vAlign w:val="center"/>
            <w:shd w:fill="F2F5F7"/>
          </w:tcPr>
          <w:p>
            <w:pPr>
              <w:keepNext w:val="0"/>
              <w:spacing w:after="40" w:before="20" w:line="250" w:lineRule="auto"/>
            </w:pPr>
            <w:r>
              <w:rPr>
                <w:rFonts w:ascii="Calibri" w:hAnsi="Calibri"/>
                <w:b w:val="0"/>
                <w:color w:val="000000"/>
                <w:sz w:val="19"/>
              </w:rPr>
              <w:t>Recepción de la sesión solicitada por protocolo</w:t>
            </w:r>
          </w:p>
        </w:tc>
      </w:tr>
      <w:tr>
        <w:trPr>
          <w:cantSplit/>
        </w:trPr>
        <w:tc>
          <w:tcPr>
            <w:tcW w:type="dxa" w:w="4997"/>
            <w:vAlign w:val="center"/>
            <w:shd w:fill="FFFFFF"/>
          </w:tcPr>
          <w:p>
            <w:pPr>
              <w:keepNext w:val="0"/>
              <w:spacing w:after="40" w:before="20" w:line="250" w:lineRule="auto"/>
            </w:pPr>
            <w:r>
              <w:rPr>
                <w:rFonts w:ascii="Calibri" w:hAnsi="Calibri"/>
                <w:b w:val="0"/>
                <w:color w:val="000000"/>
                <w:sz w:val="19"/>
              </w:rPr>
              <w:t>Agenda y tarjetas en el dashboard</w:t>
            </w:r>
          </w:p>
        </w:tc>
        <w:tc>
          <w:tcPr>
            <w:tcW w:type="dxa" w:w="4997"/>
            <w:vAlign w:val="center"/>
            <w:shd w:fill="FFFFFF"/>
          </w:tcPr>
          <w:p>
            <w:pPr>
              <w:keepNext w:val="0"/>
              <w:spacing w:after="40" w:before="20" w:line="250" w:lineRule="auto"/>
            </w:pPr>
            <w:r>
              <w:rPr>
                <w:rFonts w:ascii="Calibri" w:hAnsi="Calibri"/>
                <w:b w:val="0"/>
                <w:color w:val="000000"/>
                <w:sz w:val="19"/>
              </w:rPr>
              <w:t>Autorización de entrada solicitada a Learning</w:t>
            </w:r>
          </w:p>
        </w:tc>
      </w:tr>
      <w:tr>
        <w:trPr>
          <w:cantSplit/>
        </w:trPr>
        <w:tc>
          <w:tcPr>
            <w:tcW w:type="dxa" w:w="4997"/>
            <w:vAlign w:val="center"/>
            <w:shd w:fill="F2F5F7"/>
          </w:tcPr>
          <w:p>
            <w:pPr>
              <w:keepNext w:val="0"/>
              <w:spacing w:after="40" w:before="20" w:line="250" w:lineRule="auto"/>
            </w:pPr>
            <w:r>
              <w:rPr>
                <w:rFonts w:ascii="Calibri" w:hAnsi="Calibri"/>
                <w:b w:val="0"/>
                <w:color w:val="000000"/>
                <w:sz w:val="19"/>
              </w:rPr>
              <w:t>Cancelación, cierre y webhook Zoom</w:t>
            </w:r>
          </w:p>
        </w:tc>
        <w:tc>
          <w:tcPr>
            <w:tcW w:type="dxa" w:w="4997"/>
            <w:vAlign w:val="center"/>
            <w:shd w:fill="F2F5F7"/>
          </w:tcPr>
          <w:p>
            <w:pPr>
              <w:keepNext w:val="0"/>
              <w:spacing w:after="40" w:before="20" w:line="250" w:lineRule="auto"/>
            </w:pPr>
            <w:r>
              <w:rPr>
                <w:rFonts w:ascii="Calibri" w:hAnsi="Calibri"/>
                <w:b w:val="0"/>
                <w:color w:val="000000"/>
                <w:sz w:val="19"/>
              </w:rPr>
              <w:t>Navegación Zoom con audio, video, pantalla y chat</w:t>
            </w:r>
          </w:p>
        </w:tc>
      </w:tr>
      <w:tr>
        <w:trPr>
          <w:cantSplit/>
        </w:trPr>
        <w:tc>
          <w:tcPr>
            <w:tcW w:type="dxa" w:w="4997"/>
            <w:vAlign w:val="center"/>
            <w:shd w:fill="FFFFFF"/>
          </w:tcPr>
          <w:p>
            <w:pPr>
              <w:keepNext w:val="0"/>
              <w:spacing w:after="40" w:before="20" w:line="250" w:lineRule="auto"/>
            </w:pPr>
            <w:r>
              <w:rPr>
                <w:rFonts w:ascii="Calibri" w:hAnsi="Calibri"/>
                <w:b w:val="0"/>
                <w:color w:val="000000"/>
                <w:sz w:val="19"/>
              </w:rPr>
              <w:t>Ficha administrativa y estado de sesión</w:t>
            </w:r>
          </w:p>
        </w:tc>
        <w:tc>
          <w:tcPr>
            <w:tcW w:type="dxa" w:w="4997"/>
            <w:vAlign w:val="center"/>
            <w:shd w:fill="FFFFFF"/>
          </w:tcPr>
          <w:p>
            <w:pPr>
              <w:keepNext w:val="0"/>
              <w:spacing w:after="40" w:before="20" w:line="250" w:lineRule="auto"/>
            </w:pPr>
            <w:r>
              <w:rPr>
                <w:rFonts w:ascii="Calibri" w:hAnsi="Calibri"/>
                <w:b w:val="0"/>
                <w:color w:val="000000"/>
                <w:sz w:val="19"/>
              </w:rPr>
              <w:t>Permisos multimedia e interacción en el cliente Zoom</w:t>
            </w:r>
          </w:p>
        </w:tc>
      </w:tr>
    </w:tbl>
    <w:p>
      <w:pPr>
        <w:spacing w:after="40" w:before="0" w:line="40" w:lineRule="exact"/>
      </w:pPr>
      <w:r>
        <w:rPr>
          <w:sz w:val="4"/>
        </w:rPr>
      </w:r>
    </w:p>
    <w:p>
      <w:pPr>
        <w:pStyle w:val="Heading2"/>
      </w:pPr>
      <w:r>
        <w:t>Qué cambia para el usuario</w:t>
      </w:r>
    </w:p>
    <w:p>
      <w:r>
        <w:t>El alumno encuentra la sesión junto a su aprendizaje, pulsa Abrir Soflia Hub y continúa en el escritorio. Si necesita autenticarse, Hub conserva la referencia durante el login. Learning mantiene una ficha con horario, estado y botón para reabrir. No renderiza cámara, audio, chat ni actividades de una sala en vivo.</w:t>
      </w:r>
    </w:p>
    <w:p>
      <w:r>
        <w:t>El navegador y el sistema operativo pueden solicitar confirmación para abrir Hub. Zoom conserva los pasos de admisión y permisos. Abrir una página de Zoom no equivale a certificar que el usuario fue admitido a la reunión.</w:t>
      </w:r>
    </w:p>
    <w:p>
      <w:r>
        <w:br w:type="page"/>
      </w:r>
    </w:p>
    <w:p>
      <w:pPr>
        <w:pStyle w:val="Heading1"/>
      </w:pPr>
      <w:r>
        <w:t>2 Retirada del aula y administración conservada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995"/>
        <w:gridCol w:w="6998"/>
      </w:tblGrid>
      <w:tr>
        <w:trPr>
          <w:tblHeader w:val="true"/>
          <w:cantSplit/>
        </w:trPr>
        <w:tc>
          <w:tcPr>
            <w:tcW w:type="dxa" w:w="2995"/>
            <w:vAlign w:val="center"/>
            <w:shd w:fill="233E54"/>
          </w:tcPr>
          <w:p>
            <w:pPr>
              <w:keepNext w:val="0"/>
              <w:spacing w:after="40" w:before="20" w:line="250" w:lineRule="auto"/>
            </w:pPr>
            <w:r>
              <w:rPr>
                <w:rFonts w:ascii="Calibri" w:hAnsi="Calibri"/>
                <w:b/>
                <w:color w:val="FFFFFF"/>
                <w:sz w:val="19"/>
              </w:rPr>
              <w:t>Área</w:t>
            </w:r>
          </w:p>
        </w:tc>
        <w:tc>
          <w:tcPr>
            <w:tcW w:type="dxa" w:w="6998"/>
            <w:vAlign w:val="center"/>
            <w:shd w:fill="233E54"/>
          </w:tcPr>
          <w:p>
            <w:pPr>
              <w:keepNext w:val="0"/>
              <w:spacing w:after="40" w:before="20" w:line="250" w:lineRule="auto"/>
            </w:pPr>
            <w:r>
              <w:rPr>
                <w:rFonts w:ascii="Calibri" w:hAnsi="Calibri"/>
                <w:b/>
                <w:color w:val="FFFFFF"/>
                <w:sz w:val="19"/>
              </w:rPr>
              <w:t>Cambio local</w:t>
            </w:r>
          </w:p>
        </w:tc>
      </w:tr>
      <w:tr>
        <w:trPr>
          <w:cantSplit/>
        </w:trPr>
        <w:tc>
          <w:tcPr>
            <w:tcW w:type="dxa" w:w="2995"/>
            <w:vAlign w:val="center"/>
            <w:shd w:fill="FFFFFF"/>
          </w:tcPr>
          <w:p>
            <w:pPr>
              <w:keepNext w:val="0"/>
              <w:spacing w:after="40" w:before="20" w:line="250" w:lineRule="auto"/>
            </w:pPr>
            <w:r>
              <w:rPr>
                <w:rFonts w:ascii="Calibri" w:hAnsi="Calibri"/>
                <w:b w:val="0"/>
                <w:color w:val="000000"/>
                <w:sz w:val="19"/>
              </w:rPr>
              <w:t>LiveRoom y ZoomStage</w:t>
            </w:r>
          </w:p>
        </w:tc>
        <w:tc>
          <w:tcPr>
            <w:tcW w:type="dxa" w:w="6998"/>
            <w:vAlign w:val="center"/>
            <w:shd w:fill="FFFFFF"/>
          </w:tcPr>
          <w:p>
            <w:pPr>
              <w:keepNext w:val="0"/>
              <w:spacing w:after="40" w:before="20" w:line="250" w:lineRule="auto"/>
            </w:pPr>
            <w:r>
              <w:rPr>
                <w:rFonts w:ascii="Calibri" w:hAnsi="Calibri"/>
                <w:b w:val="0"/>
                <w:color w:val="000000"/>
                <w:sz w:val="19"/>
              </w:rPr>
              <w:t>Retirados; la ruta de sesión muestra LiveSessionDetails</w:t>
            </w:r>
          </w:p>
        </w:tc>
      </w:tr>
      <w:tr>
        <w:trPr>
          <w:cantSplit/>
        </w:trPr>
        <w:tc>
          <w:tcPr>
            <w:tcW w:type="dxa" w:w="2995"/>
            <w:vAlign w:val="center"/>
            <w:shd w:fill="F2F5F7"/>
          </w:tcPr>
          <w:p>
            <w:pPr>
              <w:keepNext w:val="0"/>
              <w:spacing w:after="40" w:before="20" w:line="250" w:lineRule="auto"/>
            </w:pPr>
            <w:r>
              <w:rPr>
                <w:rFonts w:ascii="Calibri" w:hAnsi="Calibri"/>
                <w:b w:val="0"/>
                <w:color w:val="000000"/>
                <w:sz w:val="19"/>
              </w:rPr>
              <w:t>ChatPanel y ActivityPanel</w:t>
            </w:r>
          </w:p>
        </w:tc>
        <w:tc>
          <w:tcPr>
            <w:tcW w:type="dxa" w:w="6998"/>
            <w:vAlign w:val="center"/>
            <w:shd w:fill="F2F5F7"/>
          </w:tcPr>
          <w:p>
            <w:pPr>
              <w:keepNext w:val="0"/>
              <w:spacing w:after="40" w:before="20" w:line="250" w:lineRule="auto"/>
            </w:pPr>
            <w:r>
              <w:rPr>
                <w:rFonts w:ascii="Calibri" w:hAnsi="Calibri"/>
                <w:b w:val="0"/>
                <w:color w:val="000000"/>
                <w:sz w:val="19"/>
              </w:rPr>
              <w:t>Retirados junto con componentes y hooks del aula</w:t>
            </w:r>
          </w:p>
        </w:tc>
      </w:tr>
      <w:tr>
        <w:trPr>
          <w:cantSplit/>
        </w:trPr>
        <w:tc>
          <w:tcPr>
            <w:tcW w:type="dxa" w:w="2995"/>
            <w:vAlign w:val="center"/>
            <w:shd w:fill="FFFFFF"/>
          </w:tcPr>
          <w:p>
            <w:pPr>
              <w:keepNext w:val="0"/>
              <w:spacing w:after="40" w:before="20" w:line="250" w:lineRule="auto"/>
            </w:pPr>
            <w:r>
              <w:rPr>
                <w:rFonts w:ascii="Calibri" w:hAnsi="Calibri"/>
                <w:b w:val="0"/>
                <w:color w:val="000000"/>
                <w:sz w:val="19"/>
              </w:rPr>
              <w:t>Servicios de interacción</w:t>
            </w:r>
          </w:p>
        </w:tc>
        <w:tc>
          <w:tcPr>
            <w:tcW w:type="dxa" w:w="6998"/>
            <w:vAlign w:val="center"/>
            <w:shd w:fill="FFFFFF"/>
          </w:tcPr>
          <w:p>
            <w:pPr>
              <w:keepNext w:val="0"/>
              <w:spacing w:after="40" w:before="20" w:line="250" w:lineRule="auto"/>
            </w:pPr>
            <w:r>
              <w:rPr>
                <w:rFonts w:ascii="Calibri" w:hAnsi="Calibri"/>
                <w:b w:val="0"/>
                <w:color w:val="000000"/>
                <w:sz w:val="19"/>
              </w:rPr>
              <w:t>Retirados chat, actividades, materiales, respuestas, presencia y transcripción</w:t>
            </w:r>
          </w:p>
        </w:tc>
      </w:tr>
      <w:tr>
        <w:trPr>
          <w:cantSplit/>
        </w:trPr>
        <w:tc>
          <w:tcPr>
            <w:tcW w:type="dxa" w:w="2995"/>
            <w:vAlign w:val="center"/>
            <w:shd w:fill="F2F5F7"/>
          </w:tcPr>
          <w:p>
            <w:pPr>
              <w:keepNext w:val="0"/>
              <w:spacing w:after="40" w:before="20" w:line="250" w:lineRule="auto"/>
            </w:pPr>
            <w:r>
              <w:rPr>
                <w:rFonts w:ascii="Calibri" w:hAnsi="Calibri"/>
                <w:b w:val="0"/>
                <w:color w:val="000000"/>
                <w:sz w:val="19"/>
              </w:rPr>
              <w:t>APIs anteriores de la sala</w:t>
            </w:r>
          </w:p>
        </w:tc>
        <w:tc>
          <w:tcPr>
            <w:tcW w:type="dxa" w:w="6998"/>
            <w:vAlign w:val="center"/>
            <w:shd w:fill="F2F5F7"/>
          </w:tcPr>
          <w:p>
            <w:pPr>
              <w:keepNext w:val="0"/>
              <w:spacing w:after="40" w:before="20" w:line="250" w:lineRule="auto"/>
            </w:pPr>
            <w:r>
              <w:rPr>
                <w:rFonts w:ascii="Calibri" w:hAnsi="Calibri"/>
                <w:b w:val="0"/>
                <w:color w:val="000000"/>
                <w:sz w:val="19"/>
              </w:rPr>
              <w:t>Respuesta 410 para clientes antiguos autorizados</w:t>
            </w:r>
          </w:p>
        </w:tc>
      </w:tr>
      <w:tr>
        <w:trPr>
          <w:cantSplit/>
        </w:trPr>
        <w:tc>
          <w:tcPr>
            <w:tcW w:type="dxa" w:w="2995"/>
            <w:vAlign w:val="center"/>
            <w:shd w:fill="FFFFFF"/>
          </w:tcPr>
          <w:p>
            <w:pPr>
              <w:keepNext w:val="0"/>
              <w:spacing w:after="40" w:before="20" w:line="250" w:lineRule="auto"/>
            </w:pPr>
            <w:r>
              <w:rPr>
                <w:rFonts w:ascii="Calibri" w:hAnsi="Calibri"/>
                <w:b w:val="0"/>
                <w:color w:val="000000"/>
                <w:sz w:val="19"/>
              </w:rPr>
              <w:t>Meeting SDK y build</w:t>
            </w:r>
          </w:p>
        </w:tc>
        <w:tc>
          <w:tcPr>
            <w:tcW w:type="dxa" w:w="6998"/>
            <w:vAlign w:val="center"/>
            <w:shd w:fill="FFFFFF"/>
          </w:tcPr>
          <w:p>
            <w:pPr>
              <w:keepNext w:val="0"/>
              <w:spacing w:after="40" w:before="20" w:line="250" w:lineRule="auto"/>
            </w:pPr>
            <w:r>
              <w:rPr>
                <w:rFonts w:ascii="Calibri" w:hAnsi="Calibri"/>
                <w:b w:val="0"/>
                <w:color w:val="000000"/>
                <w:sz w:val="19"/>
              </w:rPr>
              <w:t>Retirados dependencia, firma, parser especial y check de compilación</w:t>
            </w:r>
          </w:p>
        </w:tc>
      </w:tr>
      <w:tr>
        <w:trPr>
          <w:cantSplit/>
        </w:trPr>
        <w:tc>
          <w:tcPr>
            <w:tcW w:type="dxa" w:w="2995"/>
            <w:vAlign w:val="center"/>
            <w:shd w:fill="F2F5F7"/>
          </w:tcPr>
          <w:p>
            <w:pPr>
              <w:keepNext w:val="0"/>
              <w:spacing w:after="40" w:before="20" w:line="250" w:lineRule="auto"/>
            </w:pPr>
            <w:r>
              <w:rPr>
                <w:rFonts w:ascii="Calibri" w:hAnsi="Calibri"/>
                <w:b w:val="0"/>
                <w:color w:val="000000"/>
                <w:sz w:val="19"/>
              </w:rPr>
              <w:t>CSP y uploads de Live</w:t>
            </w:r>
          </w:p>
        </w:tc>
        <w:tc>
          <w:tcPr>
            <w:tcW w:type="dxa" w:w="6998"/>
            <w:vAlign w:val="center"/>
            <w:shd w:fill="F2F5F7"/>
          </w:tcPr>
          <w:p>
            <w:pPr>
              <w:keepNext w:val="0"/>
              <w:spacing w:after="40" w:before="20" w:line="250" w:lineRule="auto"/>
            </w:pPr>
            <w:r>
              <w:rPr>
                <w:rFonts w:ascii="Calibri" w:hAnsi="Calibri"/>
                <w:b w:val="0"/>
                <w:color w:val="000000"/>
                <w:sz w:val="19"/>
              </w:rPr>
              <w:t>Retiradas excepciones multimedia y de subida del aula</w:t>
            </w:r>
          </w:p>
        </w:tc>
      </w:tr>
      <w:tr>
        <w:trPr>
          <w:cantSplit/>
        </w:trPr>
        <w:tc>
          <w:tcPr>
            <w:tcW w:type="dxa" w:w="2995"/>
            <w:vAlign w:val="center"/>
            <w:shd w:fill="FFFFFF"/>
          </w:tcPr>
          <w:p>
            <w:pPr>
              <w:keepNext w:val="0"/>
              <w:spacing w:after="40" w:before="20" w:line="250" w:lineRule="auto"/>
            </w:pPr>
            <w:r>
              <w:rPr>
                <w:rFonts w:ascii="Calibri" w:hAnsi="Calibri"/>
                <w:b w:val="0"/>
                <w:color w:val="000000"/>
                <w:sz w:val="19"/>
              </w:rPr>
              <w:t>Dashboard y agenda</w:t>
            </w:r>
          </w:p>
        </w:tc>
        <w:tc>
          <w:tcPr>
            <w:tcW w:type="dxa" w:w="6998"/>
            <w:vAlign w:val="center"/>
            <w:shd w:fill="FFFFFF"/>
          </w:tcPr>
          <w:p>
            <w:pPr>
              <w:keepNext w:val="0"/>
              <w:spacing w:after="40" w:before="20" w:line="250" w:lineRule="auto"/>
            </w:pPr>
            <w:r>
              <w:rPr>
                <w:rFonts w:ascii="Calibri" w:hAnsi="Calibri"/>
                <w:b w:val="0"/>
                <w:color w:val="000000"/>
                <w:sz w:val="19"/>
              </w:rPr>
              <w:t>Tarjetas con tipo de sesión y acceso al escritorio</w:t>
            </w:r>
          </w:p>
        </w:tc>
      </w:tr>
      <w:tr>
        <w:trPr>
          <w:cantSplit/>
        </w:trPr>
        <w:tc>
          <w:tcPr>
            <w:tcW w:type="dxa" w:w="2995"/>
            <w:vAlign w:val="center"/>
            <w:shd w:fill="F2F5F7"/>
          </w:tcPr>
          <w:p>
            <w:pPr>
              <w:keepNext w:val="0"/>
              <w:spacing w:after="40" w:before="20" w:line="250" w:lineRule="auto"/>
            </w:pPr>
            <w:r>
              <w:rPr>
                <w:rFonts w:ascii="Calibri" w:hAnsi="Calibri"/>
                <w:b w:val="0"/>
                <w:color w:val="000000"/>
                <w:sz w:val="19"/>
              </w:rPr>
              <w:t>Administración</w:t>
            </w:r>
          </w:p>
        </w:tc>
        <w:tc>
          <w:tcPr>
            <w:tcW w:type="dxa" w:w="6998"/>
            <w:vAlign w:val="center"/>
            <w:shd w:fill="F2F5F7"/>
          </w:tcPr>
          <w:p>
            <w:pPr>
              <w:keepNext w:val="0"/>
              <w:spacing w:after="40" w:before="20" w:line="250" w:lineRule="auto"/>
            </w:pPr>
            <w:r>
              <w:rPr>
                <w:rFonts w:ascii="Calibri" w:hAnsi="Calibri"/>
                <w:b w:val="0"/>
                <w:color w:val="000000"/>
                <w:sz w:val="19"/>
              </w:rPr>
              <w:t>Programación, roles docentes, cancelación y cierre REST</w:t>
            </w:r>
          </w:p>
        </w:tc>
      </w:tr>
    </w:tbl>
    <w:p>
      <w:pPr>
        <w:spacing w:after="40" w:before="0" w:line="40" w:lineRule="exact"/>
      </w:pPr>
      <w:r>
        <w:rPr>
          <w:sz w:val="4"/>
        </w:rPr>
      </w:r>
    </w:p>
    <w:p>
      <w:pPr>
        <w:pStyle w:val="Heading2"/>
      </w:pPr>
      <w:r>
        <w:t>Protección de datos y alcance</w:t>
      </w:r>
    </w:p>
    <w:p>
      <w:r>
        <w:t>La retirada del código no elimina la información histórica. Se conservan tablas, materiales y RLS de la versión anterior. La nueva migración retira su publicación Realtime y agrega soporte de webinars. No se modifica el aprendizaje asíncrono ni se ejecuta SQL remoto durante este refactor.</w:t>
      </w:r>
    </w:p>
    <w:p>
      <w:r>
        <w:t>Learning mantiene la operación administrativa REST de Zoom. Hub no recibe claves administrativas, service-role ni secretos SDK. Una eventual reasignación del backend administrativo a Hub requerirá otro contrato y una entrega explícita; no es necesaria para retirar el aula.</w:t>
      </w:r>
    </w:p>
    <w:p>
      <w:pPr>
        <w:pStyle w:val="Heading2"/>
      </w:pPr>
      <w:r>
        <w:t>Archivos principales</w:t>
      </w:r>
    </w:p>
    <w:p>
      <w:r>
        <w:t>Learning: features/live, rutas live, api/auth/live/access, políticas de proxy y migración 20261010173000_live_hub_desktop.sql. Hub: app-protocol, main, preload, learning-live-access, wrapper del renderer y useLearningLiveSession.</w:t>
      </w:r>
    </w:p>
    <w:p>
      <w:r>
        <w:br w:type="page"/>
      </w:r>
    </w:p>
    <w:p>
      <w:pPr>
        <w:pStyle w:val="Heading1"/>
      </w:pPr>
      <w:r>
        <w:t>3 Contrato de apertura e identidad</w:t>
      </w:r>
    </w:p>
    <w:p>
      <w:pPr>
        <w:spacing w:after="140" w:line="245" w:lineRule="auto"/>
      </w:pPr>
      <w:r>
        <w:rPr>
          <w:rFonts w:ascii="Consolas" w:hAnsi="Consolas"/>
          <w:sz w:val="18"/>
        </w:rPr>
        <w:t>soflia://learning-session</w:t>
        <w:br/>
      </w:r>
      <w:r>
        <w:rPr>
          <w:rFonts w:ascii="Consolas" w:hAnsi="Consolas"/>
          <w:sz w:val="18"/>
        </w:rPr>
        <w:t xml:space="preserve">  ?organization_slug=&lt;slug&gt;</w:t>
        <w:br/>
      </w:r>
      <w:r>
        <w:rPr>
          <w:rFonts w:ascii="Consolas" w:hAnsi="Consolas"/>
          <w:sz w:val="18"/>
        </w:rPr>
        <w:t xml:space="preserve">  &amp;session_id=&lt;uuid&gt;</w:t>
        <w:br/>
      </w:r>
    </w:p>
    <w:p>
      <w:r>
        <w:t>El contrato acepta exclusivamente organización y sesión. Rechaza parámetros extra, duplicados, rutas adicionales, roles y URLs. La referencia no autentica al usuario y no contiene contraseña, JWT, ZAK ni enlace de Zoom.</w:t>
      </w:r>
    </w:p>
    <w:p>
      <w:pPr>
        <w:pStyle w:val="Heading2"/>
      </w:pPr>
      <w:r>
        <w:t>Flujo de entrada</w:t>
      </w:r>
    </w:p>
    <w:p>
      <w:r>
        <w:t>1. El alumno pulsa la tarjeta o el botón de la ficha en Learning.</w:t>
      </w:r>
    </w:p>
    <w:p>
      <w:r>
        <w:t>2. Hub recibe el comando al arrancar o mientras está abierto y enfoca su ventana principal.</w:t>
      </w:r>
    </w:p>
    <w:p>
      <w:r>
        <w:t>3. Si falta identidad, mantiene la referencia durante el login. Reutiliza Learning SSO con PKCE cuando está disponible.</w:t>
      </w:r>
    </w:p>
    <w:p>
      <w:r>
        <w:t>4. Main solicita acceso al origen Learning configurado, usando su sesión SOFIA verificada.</w:t>
      </w:r>
    </w:p>
    <w:p>
      <w:r>
        <w:t>5. Learning vuelve a comprobar usuario, organización, membresía, asignación de curso y estado de la sesión.</w:t>
      </w:r>
    </w:p>
    <w:p>
      <w:r>
        <w:t>6. Main valida la respuesta y confirma que su cuenta no cambió antes de abrir la pestaña Zoom.</w:t>
      </w:r>
    </w:p>
    <w:p>
      <w:pPr>
        <w:pStyle w:val="Heading2"/>
      </w:pPr>
      <w:r>
        <w:t>Referencia pendiente y concurrencia</w:t>
      </w:r>
    </w:p>
    <w:p>
      <w:r>
        <w:t>La lectura inicial no consume la referencia antes de que el renderer la adopte; esto permite arranque bajo StrictMode. El consumo se confirma al procesar la apertura. Solicitudes repetidas en vuelo para la misma cuenta y sesión comparten la operación. Los efectos de una cuenta anterior se descartan al cerrar o cambiar identidad.</w:t>
      </w:r>
    </w:p>
    <w:p>
      <w:r>
        <w:t>Un fallo de permisos o de proveedor se muestra de forma controlada. El usuario puede volver a Learning y pulsar el acceso otra vez. La referencia se conserva durante autenticación dentro del proceso; no se guardan tokens ni credenciales en el enlace.</w:t>
      </w:r>
    </w:p>
    <w:p>
      <w:r>
        <w:br w:type="page"/>
      </w:r>
    </w:p>
    <w:p>
      <w:pPr>
        <w:pStyle w:val="Heading1"/>
      </w:pPr>
      <w:r>
        <w:t>4 API privada de acceso al escritorio</w:t>
      </w:r>
    </w:p>
    <w:p>
      <w:pPr>
        <w:spacing w:after="140" w:line="245" w:lineRule="auto"/>
      </w:pPr>
      <w:r>
        <w:rPr>
          <w:rFonts w:ascii="Consolas" w:hAnsi="Consolas"/>
          <w:sz w:val="18"/>
        </w:rPr>
        <w:t>POST /api/auth/live/access</w:t>
        <w:br/>
      </w:r>
      <w:r>
        <w:rPr>
          <w:rFonts w:ascii="Consolas" w:hAnsi="Consolas"/>
          <w:sz w:val="18"/>
        </w:rPr>
        <w:t>Authorization: Bearer &lt;access token SOFIA&gt;</w:t>
        <w:br/>
      </w:r>
      <w:r>
        <w:rPr>
          <w:rFonts w:ascii="Consolas" w:hAnsi="Consolas"/>
          <w:sz w:val="18"/>
        </w:rPr>
        <w:t>Content-Type: application/json</w:t>
        <w:br/>
      </w:r>
      <w:r>
        <w:rPr>
          <w:rFonts w:ascii="Consolas" w:hAnsi="Consolas"/>
          <w:sz w:val="18"/>
        </w:rPr>
        <w:br/>
      </w:r>
      <w:r>
        <w:rPr>
          <w:rFonts w:ascii="Consolas" w:hAnsi="Consolas"/>
          <w:sz w:val="18"/>
        </w:rPr>
        <w:t>{ "organization_slug": "acme", "session_id": "&lt;uuid&gt;" }</w:t>
        <w:br/>
      </w:r>
    </w:p>
    <w:p>
      <w:pPr>
        <w:pStyle w:val="Heading2"/>
      </w:pPr>
      <w:r>
        <w:t>Reglas de autorización</w:t>
      </w:r>
    </w:p>
    <w:p>
      <w:pPr>
        <w:pStyle w:val="ListBullet"/>
      </w:pPr>
      <w:r>
        <w:t>Learning valida el bearer en Supabase Auth; no confía en decodificación local ni user_id del body.</w:t>
      </w:r>
    </w:p>
    <w:p>
      <w:pPr>
        <w:pStyle w:val="ListBullet"/>
      </w:pPr>
      <w:r>
        <w:t>La organización y membresía deben estar activas, y el usuario no debe estar bloqueado.</w:t>
      </w:r>
    </w:p>
    <w:p>
      <w:pPr>
        <w:pStyle w:val="ListBullet"/>
      </w:pPr>
      <w:r>
        <w:t>La asignación del curso debe existir y no estar cancelada. Catálogo, API y RLS respetan la misma condición.</w:t>
      </w:r>
    </w:p>
    <w:p>
      <w:pPr>
        <w:pStyle w:val="ListBullet"/>
      </w:pPr>
      <w:r>
        <w:t>El anfitrión es el instructor responsable con vínculo docente activo. Se verifica que la cuenta Zoom corresponda al instructor.</w:t>
      </w:r>
    </w:p>
    <w:p>
      <w:pPr>
        <w:pStyle w:val="ListBullet"/>
      </w:pPr>
      <w:r>
        <w:t>Un administrador que supervisa recibe acceso de participante. Sesiones cerradas y recursos sin acceso son rechazados.</w:t>
      </w:r>
    </w:p>
    <w:p>
      <w:pPr>
        <w:pStyle w:val="Heading2"/>
      </w:pPr>
      <w:r>
        <w:t>Respuesta y transporte</w:t>
      </w:r>
    </w:p>
    <w:p>
      <w:r>
        <w:t>La respuesta contiene metadatos mínimos de sesión, role y join_url. Se entrega solo al proceso main autenticado con Cache-Control no-store y Referrer-Policy no-referrer. El renderer recibe resultado y título, no la URL privada desde este canal.</w:t>
      </w:r>
    </w:p>
    <w:p>
      <w:r>
        <w:t>Hub construye el endpoint desde VITE_LEARNING_BASE_URL. No sigue redirects HTTP del endpoint y solo acepta URLs HTTPS de dominios Zoom admitidos. La apertura usa una pestaña sensible con origen público y sin historial, restauración, pestañas cerradas ni sync de la URL privada.</w:t>
      </w:r>
    </w:p>
    <w:p>
      <w:pPr>
        <w:pStyle w:val="Heading2"/>
      </w:pPr>
      <w:r>
        <w:t>Presupuestos de solicitud</w:t>
      </w:r>
    </w:p>
    <w:p>
      <w:r>
        <w:t>El proxy usa una política específica por IP para la entrada académica. El handler limita además por identidad verificada. La entrada de un grupo escolar detrás de NAT no consume el presupuesto de intentos de login.</w:t>
      </w:r>
    </w:p>
    <w:p>
      <w:pPr>
        <w:pStyle w:val="Heading2"/>
      </w:pPr>
      <w:r>
        <w:t>Límite de enlaces genéricos</w:t>
      </w:r>
    </w:p>
    <w:p>
      <w:r>
        <w:t>Consultar una join_url de participante no la convierte en un acceso personal ni efímero. Si alguien la copia, su uso posterior depende de los controles Zoom. Registro, autenticación Zoom e invalidación individual son una ampliación necesaria si se exige revocación completa fuera de Learning.</w:t>
      </w:r>
    </w:p>
    <w:p>
      <w:r>
        <w:br w:type="page"/>
      </w:r>
    </w:p>
    <w:p>
      <w:pPr>
        <w:pStyle w:val="Heading1"/>
      </w:pPr>
      <w:r>
        <w:t>5 Reuniones webinars y migración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3226"/>
        <w:gridCol w:w="6768"/>
      </w:tblGrid>
      <w:tr>
        <w:trPr>
          <w:tblHeader w:val="true"/>
          <w:cantSplit/>
        </w:trPr>
        <w:tc>
          <w:tcPr>
            <w:tcW w:type="dxa" w:w="3226"/>
            <w:vAlign w:val="center"/>
            <w:shd w:fill="233E54"/>
          </w:tcPr>
          <w:p>
            <w:pPr>
              <w:keepNext w:val="0"/>
              <w:spacing w:after="40" w:before="20" w:line="250" w:lineRule="auto"/>
            </w:pPr>
            <w:r>
              <w:rPr>
                <w:rFonts w:ascii="Calibri" w:hAnsi="Calibri"/>
                <w:b/>
                <w:color w:val="FFFFFF"/>
                <w:sz w:val="19"/>
              </w:rPr>
              <w:t>Cambio</w:t>
            </w:r>
          </w:p>
        </w:tc>
        <w:tc>
          <w:tcPr>
            <w:tcW w:type="dxa" w:w="6768"/>
            <w:vAlign w:val="center"/>
            <w:shd w:fill="233E54"/>
          </w:tcPr>
          <w:p>
            <w:pPr>
              <w:keepNext w:val="0"/>
              <w:spacing w:after="40" w:before="20" w:line="250" w:lineRule="auto"/>
            </w:pPr>
            <w:r>
              <w:rPr>
                <w:rFonts w:ascii="Calibri" w:hAnsi="Calibri"/>
                <w:b/>
                <w:color w:val="FFFFFF"/>
                <w:sz w:val="19"/>
              </w:rPr>
              <w:t>Resultado</w:t>
            </w:r>
          </w:p>
        </w:tc>
      </w:tr>
      <w:tr>
        <w:trPr>
          <w:cantSplit/>
        </w:trPr>
        <w:tc>
          <w:tcPr>
            <w:tcW w:type="dxa" w:w="3226"/>
            <w:vAlign w:val="center"/>
            <w:shd w:fill="FFFFFF"/>
          </w:tcPr>
          <w:p>
            <w:pPr>
              <w:keepNext w:val="0"/>
              <w:spacing w:after="40" w:before="20" w:line="250" w:lineRule="auto"/>
            </w:pPr>
            <w:r>
              <w:rPr>
                <w:rFonts w:ascii="Calibri" w:hAnsi="Calibri"/>
                <w:b w:val="0"/>
                <w:color w:val="000000"/>
                <w:sz w:val="19"/>
              </w:rPr>
              <w:t>session_type</w:t>
            </w:r>
          </w:p>
        </w:tc>
        <w:tc>
          <w:tcPr>
            <w:tcW w:type="dxa" w:w="6768"/>
            <w:vAlign w:val="center"/>
            <w:shd w:fill="FFFFFF"/>
          </w:tcPr>
          <w:p>
            <w:pPr>
              <w:keepNext w:val="0"/>
              <w:spacing w:after="40" w:before="20" w:line="250" w:lineRule="auto"/>
            </w:pPr>
            <w:r>
              <w:rPr>
                <w:rFonts w:ascii="Calibri" w:hAnsi="Calibri"/>
                <w:b w:val="0"/>
                <w:color w:val="000000"/>
                <w:sz w:val="19"/>
              </w:rPr>
              <w:t>meeting o webinar, con meeting como valor de registros actuales</w:t>
            </w:r>
          </w:p>
        </w:tc>
      </w:tr>
      <w:tr>
        <w:trPr>
          <w:cantSplit/>
        </w:trPr>
        <w:tc>
          <w:tcPr>
            <w:tcW w:type="dxa" w:w="3226"/>
            <w:vAlign w:val="center"/>
            <w:shd w:fill="F2F5F7"/>
          </w:tcPr>
          <w:p>
            <w:pPr>
              <w:keepNext w:val="0"/>
              <w:spacing w:after="40" w:before="20" w:line="250" w:lineRule="auto"/>
            </w:pPr>
            <w:r>
              <w:rPr>
                <w:rFonts w:ascii="Calibri" w:hAnsi="Calibri"/>
                <w:b w:val="0"/>
                <w:color w:val="000000"/>
                <w:sz w:val="19"/>
              </w:rPr>
              <w:t>zoom_meeting_id</w:t>
            </w:r>
          </w:p>
        </w:tc>
        <w:tc>
          <w:tcPr>
            <w:tcW w:type="dxa" w:w="6768"/>
            <w:vAlign w:val="center"/>
            <w:shd w:fill="F2F5F7"/>
          </w:tcPr>
          <w:p>
            <w:pPr>
              <w:keepNext w:val="0"/>
              <w:spacing w:after="40" w:before="20" w:line="250" w:lineRule="auto"/>
            </w:pPr>
            <w:r>
              <w:rPr>
                <w:rFonts w:ascii="Calibri" w:hAnsi="Calibri"/>
                <w:b w:val="0"/>
                <w:color w:val="000000"/>
                <w:sz w:val="19"/>
              </w:rPr>
              <w:t>Se conserva para reuniones existentes</w:t>
            </w:r>
          </w:p>
        </w:tc>
      </w:tr>
      <w:tr>
        <w:trPr>
          <w:cantSplit/>
        </w:trPr>
        <w:tc>
          <w:tcPr>
            <w:tcW w:type="dxa" w:w="3226"/>
            <w:vAlign w:val="center"/>
            <w:shd w:fill="FFFFFF"/>
          </w:tcPr>
          <w:p>
            <w:pPr>
              <w:keepNext w:val="0"/>
              <w:spacing w:after="40" w:before="20" w:line="250" w:lineRule="auto"/>
            </w:pPr>
            <w:r>
              <w:rPr>
                <w:rFonts w:ascii="Calibri" w:hAnsi="Calibri"/>
                <w:b w:val="0"/>
                <w:color w:val="000000"/>
                <w:sz w:val="19"/>
              </w:rPr>
              <w:t>zoom_webinar_id</w:t>
            </w:r>
          </w:p>
        </w:tc>
        <w:tc>
          <w:tcPr>
            <w:tcW w:type="dxa" w:w="6768"/>
            <w:vAlign w:val="center"/>
            <w:shd w:fill="FFFFFF"/>
          </w:tcPr>
          <w:p>
            <w:pPr>
              <w:keepNext w:val="0"/>
              <w:spacing w:after="40" w:before="20" w:line="250" w:lineRule="auto"/>
            </w:pPr>
            <w:r>
              <w:rPr>
                <w:rFonts w:ascii="Calibri" w:hAnsi="Calibri"/>
                <w:b w:val="0"/>
                <w:color w:val="000000"/>
                <w:sz w:val="19"/>
              </w:rPr>
              <w:t>Identifica webinars sin reutilizar el ID de una reunión</w:t>
            </w:r>
          </w:p>
        </w:tc>
      </w:tr>
      <w:tr>
        <w:trPr>
          <w:cantSplit/>
        </w:trPr>
        <w:tc>
          <w:tcPr>
            <w:tcW w:type="dxa" w:w="3226"/>
            <w:vAlign w:val="center"/>
            <w:shd w:fill="F2F5F7"/>
          </w:tcPr>
          <w:p>
            <w:pPr>
              <w:keepNext w:val="0"/>
              <w:spacing w:after="40" w:before="20" w:line="250" w:lineRule="auto"/>
            </w:pPr>
            <w:r>
              <w:rPr>
                <w:rFonts w:ascii="Calibri" w:hAnsi="Calibri"/>
                <w:b w:val="0"/>
                <w:color w:val="000000"/>
                <w:sz w:val="19"/>
              </w:rPr>
              <w:t>Finalización de programación</w:t>
            </w:r>
          </w:p>
        </w:tc>
        <w:tc>
          <w:tcPr>
            <w:tcW w:type="dxa" w:w="6768"/>
            <w:vAlign w:val="center"/>
            <w:shd w:fill="F2F5F7"/>
          </w:tcPr>
          <w:p>
            <w:pPr>
              <w:keepNext w:val="0"/>
              <w:spacing w:after="40" w:before="20" w:line="250" w:lineRule="auto"/>
            </w:pPr>
            <w:r>
              <w:rPr>
                <w:rFonts w:ascii="Calibri" w:hAnsi="Calibri"/>
                <w:b w:val="0"/>
                <w:color w:val="000000"/>
                <w:sz w:val="19"/>
              </w:rPr>
              <w:t>Reserva UUID y persistencia transaccional conservadas</w:t>
            </w:r>
          </w:p>
        </w:tc>
      </w:tr>
      <w:tr>
        <w:trPr>
          <w:cantSplit/>
        </w:trPr>
        <w:tc>
          <w:tcPr>
            <w:tcW w:type="dxa" w:w="3226"/>
            <w:vAlign w:val="center"/>
            <w:shd w:fill="FFFFFF"/>
          </w:tcPr>
          <w:p>
            <w:pPr>
              <w:keepNext w:val="0"/>
              <w:spacing w:after="40" w:before="20" w:line="250" w:lineRule="auto"/>
            </w:pPr>
            <w:r>
              <w:rPr>
                <w:rFonts w:ascii="Calibri" w:hAnsi="Calibri"/>
                <w:b w:val="0"/>
                <w:color w:val="000000"/>
                <w:sz w:val="19"/>
              </w:rPr>
              <w:t>REST de Zoom</w:t>
            </w:r>
          </w:p>
        </w:tc>
        <w:tc>
          <w:tcPr>
            <w:tcW w:type="dxa" w:w="6768"/>
            <w:vAlign w:val="center"/>
            <w:shd w:fill="FFFFFF"/>
          </w:tcPr>
          <w:p>
            <w:pPr>
              <w:keepNext w:val="0"/>
              <w:spacing w:after="40" w:before="20" w:line="250" w:lineRule="auto"/>
            </w:pPr>
            <w:r>
              <w:rPr>
                <w:rFonts w:ascii="Calibri" w:hAnsi="Calibri"/>
                <w:b w:val="0"/>
                <w:color w:val="000000"/>
                <w:sz w:val="19"/>
              </w:rPr>
              <w:t>Reunión type 2 o webinar type 5 según el formulario</w:t>
            </w:r>
          </w:p>
        </w:tc>
      </w:tr>
      <w:tr>
        <w:trPr>
          <w:cantSplit/>
        </w:trPr>
        <w:tc>
          <w:tcPr>
            <w:tcW w:type="dxa" w:w="3226"/>
            <w:vAlign w:val="center"/>
            <w:shd w:fill="F2F5F7"/>
          </w:tcPr>
          <w:p>
            <w:pPr>
              <w:keepNext w:val="0"/>
              <w:spacing w:after="40" w:before="20" w:line="250" w:lineRule="auto"/>
            </w:pPr>
            <w:r>
              <w:rPr>
                <w:rFonts w:ascii="Calibri" w:hAnsi="Calibri"/>
                <w:b w:val="0"/>
                <w:color w:val="000000"/>
                <w:sz w:val="19"/>
              </w:rPr>
              <w:t>Webhook</w:t>
            </w:r>
          </w:p>
        </w:tc>
        <w:tc>
          <w:tcPr>
            <w:tcW w:type="dxa" w:w="6768"/>
            <w:vAlign w:val="center"/>
            <w:shd w:fill="F2F5F7"/>
          </w:tcPr>
          <w:p>
            <w:pPr>
              <w:keepNext w:val="0"/>
              <w:spacing w:after="40" w:before="20" w:line="250" w:lineRule="auto"/>
            </w:pPr>
            <w:r>
              <w:rPr>
                <w:rFonts w:ascii="Calibri" w:hAnsi="Calibri"/>
                <w:b w:val="0"/>
                <w:color w:val="000000"/>
                <w:sz w:val="19"/>
              </w:rPr>
              <w:t>Lifecycle de meeting y webinar con HMAC y cuenta autorizada</w:t>
            </w:r>
          </w:p>
        </w:tc>
      </w:tr>
      <w:tr>
        <w:trPr>
          <w:cantSplit/>
        </w:trPr>
        <w:tc>
          <w:tcPr>
            <w:tcW w:type="dxa" w:w="3226"/>
            <w:vAlign w:val="center"/>
            <w:shd w:fill="FFFFFF"/>
          </w:tcPr>
          <w:p>
            <w:pPr>
              <w:keepNext w:val="0"/>
              <w:spacing w:after="40" w:before="20" w:line="250" w:lineRule="auto"/>
            </w:pPr>
            <w:r>
              <w:rPr>
                <w:rFonts w:ascii="Calibri" w:hAnsi="Calibri"/>
                <w:b w:val="0"/>
                <w:color w:val="000000"/>
                <w:sz w:val="19"/>
              </w:rPr>
              <w:t>Asignaciones canceladas</w:t>
            </w:r>
          </w:p>
        </w:tc>
        <w:tc>
          <w:tcPr>
            <w:tcW w:type="dxa" w:w="6768"/>
            <w:vAlign w:val="center"/>
            <w:shd w:fill="FFFFFF"/>
          </w:tcPr>
          <w:p>
            <w:pPr>
              <w:keepNext w:val="0"/>
              <w:spacing w:after="40" w:before="20" w:line="250" w:lineRule="auto"/>
            </w:pPr>
            <w:r>
              <w:rPr>
                <w:rFonts w:ascii="Calibri" w:hAnsi="Calibri"/>
                <w:b w:val="0"/>
                <w:color w:val="000000"/>
                <w:sz w:val="19"/>
              </w:rPr>
              <w:t>Excluidas de catálogo, autorización de entrada y RLS</w:t>
            </w:r>
          </w:p>
        </w:tc>
      </w:tr>
      <w:tr>
        <w:trPr>
          <w:cantSplit/>
        </w:trPr>
        <w:tc>
          <w:tcPr>
            <w:tcW w:type="dxa" w:w="3226"/>
            <w:vAlign w:val="center"/>
            <w:shd w:fill="F2F5F7"/>
          </w:tcPr>
          <w:p>
            <w:pPr>
              <w:keepNext w:val="0"/>
              <w:spacing w:after="40" w:before="20" w:line="250" w:lineRule="auto"/>
            </w:pPr>
            <w:r>
              <w:rPr>
                <w:rFonts w:ascii="Calibri" w:hAnsi="Calibri"/>
                <w:b w:val="0"/>
                <w:color w:val="000000"/>
                <w:sz w:val="19"/>
              </w:rPr>
              <w:t>Historia del aula</w:t>
            </w:r>
          </w:p>
        </w:tc>
        <w:tc>
          <w:tcPr>
            <w:tcW w:type="dxa" w:w="6768"/>
            <w:vAlign w:val="center"/>
            <w:shd w:fill="F2F5F7"/>
          </w:tcPr>
          <w:p>
            <w:pPr>
              <w:keepNext w:val="0"/>
              <w:spacing w:after="40" w:before="20" w:line="250" w:lineRule="auto"/>
            </w:pPr>
            <w:r>
              <w:rPr>
                <w:rFonts w:ascii="Calibri" w:hAnsi="Calibri"/>
                <w:b w:val="0"/>
                <w:color w:val="000000"/>
                <w:sz w:val="19"/>
              </w:rPr>
              <w:t>Datos conservados; mensajes/actividades dejan de publicarse por Realtime</w:t>
            </w:r>
          </w:p>
        </w:tc>
      </w:tr>
    </w:tbl>
    <w:p>
      <w:pPr>
        <w:spacing w:after="40" w:before="0" w:line="40" w:lineRule="exact"/>
      </w:pPr>
      <w:r>
        <w:rPr>
          <w:sz w:val="4"/>
        </w:rPr>
      </w:r>
    </w:p>
    <w:p>
      <w:pPr>
        <w:pStyle w:val="Heading2"/>
      </w:pPr>
      <w:r>
        <w:t>Orden de aplicación</w:t>
      </w:r>
    </w:p>
    <w:p>
      <w:r>
        <w:t>1. Aplicar primero la migración aditiva en staging, mediante el flujo habitual.</w:t>
      </w:r>
    </w:p>
    <w:p>
      <w:r>
        <w:t>2. Desplegar Learning con el contrato nuevo y acceso protegido.</w:t>
      </w:r>
    </w:p>
    <w:p>
      <w:r>
        <w:t>3. Publicar Hub con protocolo, main, preload y wrapper compatibles.</w:t>
      </w:r>
    </w:p>
    <w:p>
      <w:r>
        <w:t>4. Confirmar dominio configurado, identidad SOFIA compartida y scopes Zoom.</w:t>
      </w:r>
    </w:p>
    <w:p>
      <w:r>
        <w:t>5. Validar la clase real y comprobar el catálogo de cada organización.</w:t>
      </w:r>
    </w:p>
    <w:p>
      <w:r>
        <w:t>No se aplicaron migraciones remotas ni se publicaron builds. El módulo permanece activo como función permanente del producto. El rollback de aplicación conserva base e historial al volver a una versión compatible y validada. Restaurar el aula anterior requeriría una decisión de producto; no forma parte del rollback propuesto.</w:t>
      </w:r>
    </w:p>
    <w:p>
      <w:r>
        <w:br w:type="page"/>
      </w:r>
    </w:p>
    <w:p>
      <w:pPr>
        <w:pStyle w:val="Heading1"/>
      </w:pPr>
      <w:r>
        <w:t>6 Validación y riesgos concretos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952"/>
        <w:gridCol w:w="7042"/>
      </w:tblGrid>
      <w:tr>
        <w:trPr>
          <w:tblHeader w:val="true"/>
          <w:cantSplit/>
        </w:trPr>
        <w:tc>
          <w:tcPr>
            <w:tcW w:type="dxa" w:w="2952"/>
            <w:vAlign w:val="center"/>
            <w:shd w:fill="233E54"/>
          </w:tcPr>
          <w:p>
            <w:pPr>
              <w:keepNext w:val="0"/>
              <w:spacing w:after="40" w:before="20" w:line="250" w:lineRule="auto"/>
            </w:pPr>
            <w:r>
              <w:rPr>
                <w:rFonts w:ascii="Calibri" w:hAnsi="Calibri"/>
                <w:b/>
                <w:color w:val="FFFFFF"/>
                <w:sz w:val="19"/>
              </w:rPr>
              <w:t>Escenario</w:t>
            </w:r>
          </w:p>
        </w:tc>
        <w:tc>
          <w:tcPr>
            <w:tcW w:type="dxa" w:w="7042"/>
            <w:vAlign w:val="center"/>
            <w:shd w:fill="233E54"/>
          </w:tcPr>
          <w:p>
            <w:pPr>
              <w:keepNext w:val="0"/>
              <w:spacing w:after="40" w:before="20" w:line="250" w:lineRule="auto"/>
            </w:pPr>
            <w:r>
              <w:rPr>
                <w:rFonts w:ascii="Calibri" w:hAnsi="Calibri"/>
                <w:b/>
                <w:color w:val="FFFFFF"/>
                <w:sz w:val="19"/>
              </w:rPr>
              <w:t>Criterio de aceptación</w:t>
            </w:r>
          </w:p>
        </w:tc>
      </w:tr>
      <w:tr>
        <w:trPr>
          <w:cantSplit/>
        </w:trPr>
        <w:tc>
          <w:tcPr>
            <w:tcW w:type="dxa" w:w="2952"/>
            <w:vAlign w:val="center"/>
            <w:shd w:fill="FFFFFF"/>
          </w:tcPr>
          <w:p>
            <w:pPr>
              <w:keepNext w:val="0"/>
              <w:spacing w:after="40" w:before="20" w:line="250" w:lineRule="auto"/>
            </w:pPr>
            <w:r>
              <w:rPr>
                <w:rFonts w:ascii="Calibri" w:hAnsi="Calibri"/>
                <w:b w:val="0"/>
                <w:color w:val="000000"/>
                <w:sz w:val="19"/>
              </w:rPr>
              <w:t>Inicio frío y caliente</w:t>
            </w:r>
          </w:p>
        </w:tc>
        <w:tc>
          <w:tcPr>
            <w:tcW w:type="dxa" w:w="7042"/>
            <w:vAlign w:val="center"/>
            <w:shd w:fill="FFFFFF"/>
          </w:tcPr>
          <w:p>
            <w:pPr>
              <w:keepNext w:val="0"/>
              <w:spacing w:after="40" w:before="20" w:line="250" w:lineRule="auto"/>
            </w:pPr>
            <w:r>
              <w:rPr>
                <w:rFonts w:ascii="Calibri" w:hAnsi="Calibri"/>
                <w:b w:val="0"/>
                <w:color w:val="000000"/>
                <w:sz w:val="19"/>
              </w:rPr>
              <w:t>La sesión llega y se procesa sin perderse</w:t>
            </w:r>
          </w:p>
        </w:tc>
      </w:tr>
      <w:tr>
        <w:trPr>
          <w:cantSplit/>
        </w:trPr>
        <w:tc>
          <w:tcPr>
            <w:tcW w:type="dxa" w:w="2952"/>
            <w:vAlign w:val="center"/>
            <w:shd w:fill="F2F5F7"/>
          </w:tcPr>
          <w:p>
            <w:pPr>
              <w:keepNext w:val="0"/>
              <w:spacing w:after="40" w:before="20" w:line="250" w:lineRule="auto"/>
            </w:pPr>
            <w:r>
              <w:rPr>
                <w:rFonts w:ascii="Calibri" w:hAnsi="Calibri"/>
                <w:b w:val="0"/>
                <w:color w:val="000000"/>
                <w:sz w:val="19"/>
              </w:rPr>
              <w:t>Login y StrictMode</w:t>
            </w:r>
          </w:p>
        </w:tc>
        <w:tc>
          <w:tcPr>
            <w:tcW w:type="dxa" w:w="7042"/>
            <w:vAlign w:val="center"/>
            <w:shd w:fill="F2F5F7"/>
          </w:tcPr>
          <w:p>
            <w:pPr>
              <w:keepNext w:val="0"/>
              <w:spacing w:after="40" w:before="20" w:line="250" w:lineRule="auto"/>
            </w:pPr>
            <w:r>
              <w:rPr>
                <w:rFonts w:ascii="Calibri" w:hAnsi="Calibri"/>
                <w:b w:val="0"/>
                <w:color w:val="000000"/>
                <w:sz w:val="19"/>
              </w:rPr>
              <w:t>La referencia sobrevive y no abre clases duplicadas</w:t>
            </w:r>
          </w:p>
        </w:tc>
      </w:tr>
      <w:tr>
        <w:trPr>
          <w:cantSplit/>
        </w:trPr>
        <w:tc>
          <w:tcPr>
            <w:tcW w:type="dxa" w:w="2952"/>
            <w:vAlign w:val="center"/>
            <w:shd w:fill="FFFFFF"/>
          </w:tcPr>
          <w:p>
            <w:pPr>
              <w:keepNext w:val="0"/>
              <w:spacing w:after="40" w:before="20" w:line="250" w:lineRule="auto"/>
            </w:pPr>
            <w:r>
              <w:rPr>
                <w:rFonts w:ascii="Calibri" w:hAnsi="Calibri"/>
                <w:b w:val="0"/>
                <w:color w:val="000000"/>
                <w:sz w:val="19"/>
              </w:rPr>
              <w:t>Cambio o cierre de cuenta</w:t>
            </w:r>
          </w:p>
        </w:tc>
        <w:tc>
          <w:tcPr>
            <w:tcW w:type="dxa" w:w="7042"/>
            <w:vAlign w:val="center"/>
            <w:shd w:fill="FFFFFF"/>
          </w:tcPr>
          <w:p>
            <w:pPr>
              <w:keepNext w:val="0"/>
              <w:spacing w:after="40" w:before="20" w:line="250" w:lineRule="auto"/>
            </w:pPr>
            <w:r>
              <w:rPr>
                <w:rFonts w:ascii="Calibri" w:hAnsi="Calibri"/>
                <w:b w:val="0"/>
                <w:color w:val="000000"/>
                <w:sz w:val="19"/>
              </w:rPr>
              <w:t>La respuesta antigua no abre medios para otra identidad</w:t>
            </w:r>
          </w:p>
        </w:tc>
      </w:tr>
      <w:tr>
        <w:trPr>
          <w:cantSplit/>
        </w:trPr>
        <w:tc>
          <w:tcPr>
            <w:tcW w:type="dxa" w:w="2952"/>
            <w:vAlign w:val="center"/>
            <w:shd w:fill="F2F5F7"/>
          </w:tcPr>
          <w:p>
            <w:pPr>
              <w:keepNext w:val="0"/>
              <w:spacing w:after="40" w:before="20" w:line="250" w:lineRule="auto"/>
            </w:pPr>
            <w:r>
              <w:rPr>
                <w:rFonts w:ascii="Calibri" w:hAnsi="Calibri"/>
                <w:b w:val="0"/>
                <w:color w:val="000000"/>
                <w:sz w:val="19"/>
              </w:rPr>
              <w:t>Alumno revocado</w:t>
            </w:r>
          </w:p>
        </w:tc>
        <w:tc>
          <w:tcPr>
            <w:tcW w:type="dxa" w:w="7042"/>
            <w:vAlign w:val="center"/>
            <w:shd w:fill="F2F5F7"/>
          </w:tcPr>
          <w:p>
            <w:pPr>
              <w:keepNext w:val="0"/>
              <w:spacing w:after="40" w:before="20" w:line="250" w:lineRule="auto"/>
            </w:pPr>
            <w:r>
              <w:rPr>
                <w:rFonts w:ascii="Calibri" w:hAnsi="Calibri"/>
                <w:b w:val="0"/>
                <w:color w:val="000000"/>
                <w:sz w:val="19"/>
              </w:rPr>
              <w:t>No aparece en catálogo ni recibe acceso desde Learning</w:t>
            </w:r>
          </w:p>
        </w:tc>
      </w:tr>
      <w:tr>
        <w:trPr>
          <w:cantSplit/>
        </w:trPr>
        <w:tc>
          <w:tcPr>
            <w:tcW w:type="dxa" w:w="2952"/>
            <w:vAlign w:val="center"/>
            <w:shd w:fill="FFFFFF"/>
          </w:tcPr>
          <w:p>
            <w:pPr>
              <w:keepNext w:val="0"/>
              <w:spacing w:after="40" w:before="20" w:line="250" w:lineRule="auto"/>
            </w:pPr>
            <w:r>
              <w:rPr>
                <w:rFonts w:ascii="Calibri" w:hAnsi="Calibri"/>
                <w:b w:val="0"/>
                <w:color w:val="000000"/>
                <w:sz w:val="19"/>
              </w:rPr>
              <w:t>Administración de otra organización</w:t>
            </w:r>
          </w:p>
        </w:tc>
        <w:tc>
          <w:tcPr>
            <w:tcW w:type="dxa" w:w="7042"/>
            <w:vAlign w:val="center"/>
            <w:shd w:fill="FFFFFF"/>
          </w:tcPr>
          <w:p>
            <w:pPr>
              <w:keepNext w:val="0"/>
              <w:spacing w:after="40" w:before="20" w:line="250" w:lineRule="auto"/>
            </w:pPr>
            <w:r>
              <w:rPr>
                <w:rFonts w:ascii="Calibri" w:hAnsi="Calibri"/>
                <w:b w:val="0"/>
                <w:color w:val="000000"/>
                <w:sz w:val="19"/>
              </w:rPr>
              <w:t>No obtiene recurso ni privilegios de anfitrión</w:t>
            </w:r>
          </w:p>
        </w:tc>
      </w:tr>
      <w:tr>
        <w:trPr>
          <w:cantSplit/>
        </w:trPr>
        <w:tc>
          <w:tcPr>
            <w:tcW w:type="dxa" w:w="2952"/>
            <w:vAlign w:val="center"/>
            <w:shd w:fill="F2F5F7"/>
          </w:tcPr>
          <w:p>
            <w:pPr>
              <w:keepNext w:val="0"/>
              <w:spacing w:after="40" w:before="20" w:line="250" w:lineRule="auto"/>
            </w:pPr>
            <w:r>
              <w:rPr>
                <w:rFonts w:ascii="Calibri" w:hAnsi="Calibri"/>
                <w:b w:val="0"/>
                <w:color w:val="000000"/>
                <w:sz w:val="19"/>
              </w:rPr>
              <w:t>Grupo tras NAT</w:t>
            </w:r>
          </w:p>
        </w:tc>
        <w:tc>
          <w:tcPr>
            <w:tcW w:type="dxa" w:w="7042"/>
            <w:vAlign w:val="center"/>
            <w:shd w:fill="F2F5F7"/>
          </w:tcPr>
          <w:p>
            <w:pPr>
              <w:keepNext w:val="0"/>
              <w:spacing w:after="40" w:before="20" w:line="250" w:lineRule="auto"/>
            </w:pPr>
            <w:r>
              <w:rPr>
                <w:rFonts w:ascii="Calibri" w:hAnsi="Calibri"/>
                <w:b w:val="0"/>
                <w:color w:val="000000"/>
                <w:sz w:val="19"/>
              </w:rPr>
              <w:t>Accesos legítimos no agotan el presupuesto de login</w:t>
            </w:r>
          </w:p>
        </w:tc>
      </w:tr>
      <w:tr>
        <w:trPr>
          <w:cantSplit/>
        </w:trPr>
        <w:tc>
          <w:tcPr>
            <w:tcW w:type="dxa" w:w="2952"/>
            <w:vAlign w:val="center"/>
            <w:shd w:fill="FFFFFF"/>
          </w:tcPr>
          <w:p>
            <w:pPr>
              <w:keepNext w:val="0"/>
              <w:spacing w:after="40" w:before="20" w:line="250" w:lineRule="auto"/>
            </w:pPr>
            <w:r>
              <w:rPr>
                <w:rFonts w:ascii="Calibri" w:hAnsi="Calibri"/>
                <w:b w:val="0"/>
                <w:color w:val="000000"/>
                <w:sz w:val="19"/>
              </w:rPr>
              <w:t>URL de host con ZAK</w:t>
            </w:r>
          </w:p>
        </w:tc>
        <w:tc>
          <w:tcPr>
            <w:tcW w:type="dxa" w:w="7042"/>
            <w:vAlign w:val="center"/>
            <w:shd w:fill="FFFFFF"/>
          </w:tcPr>
          <w:p>
            <w:pPr>
              <w:keepNext w:val="0"/>
              <w:spacing w:after="40" w:before="20" w:line="250" w:lineRule="auto"/>
            </w:pPr>
            <w:r>
              <w:rPr>
                <w:rFonts w:ascii="Calibri" w:hAnsi="Calibri"/>
                <w:b w:val="0"/>
                <w:color w:val="000000"/>
                <w:sz w:val="19"/>
              </w:rPr>
              <w:t>No se expone ni conserva en las superficies de sesión del navegador</w:t>
            </w:r>
          </w:p>
        </w:tc>
      </w:tr>
      <w:tr>
        <w:trPr>
          <w:cantSplit/>
        </w:trPr>
        <w:tc>
          <w:tcPr>
            <w:tcW w:type="dxa" w:w="2952"/>
            <w:vAlign w:val="center"/>
            <w:shd w:fill="F2F5F7"/>
          </w:tcPr>
          <w:p>
            <w:pPr>
              <w:keepNext w:val="0"/>
              <w:spacing w:after="40" w:before="20" w:line="250" w:lineRule="auto"/>
            </w:pPr>
            <w:r>
              <w:rPr>
                <w:rFonts w:ascii="Calibri" w:hAnsi="Calibri"/>
                <w:b w:val="0"/>
                <w:color w:val="000000"/>
                <w:sz w:val="19"/>
              </w:rPr>
              <w:t>Webinar y reunión</w:t>
            </w:r>
          </w:p>
        </w:tc>
        <w:tc>
          <w:tcPr>
            <w:tcW w:type="dxa" w:w="7042"/>
            <w:vAlign w:val="center"/>
            <w:shd w:fill="F2F5F7"/>
          </w:tcPr>
          <w:p>
            <w:pPr>
              <w:keepNext w:val="0"/>
              <w:spacing w:after="40" w:before="20" w:line="250" w:lineRule="auto"/>
            </w:pPr>
            <w:r>
              <w:rPr>
                <w:rFonts w:ascii="Calibri" w:hAnsi="Calibri"/>
                <w:b w:val="0"/>
                <w:color w:val="000000"/>
                <w:sz w:val="19"/>
              </w:rPr>
              <w:t>Se consulta y abre el recurso correcto</w:t>
            </w:r>
          </w:p>
        </w:tc>
      </w:tr>
    </w:tbl>
    <w:p>
      <w:pPr>
        <w:spacing w:after="40" w:before="0" w:line="40" w:lineRule="exact"/>
      </w:pPr>
      <w:r>
        <w:rPr>
          <w:sz w:val="4"/>
        </w:rPr>
      </w:r>
    </w:p>
    <w:p>
      <w:pPr>
        <w:pStyle w:val="Heading2"/>
      </w:pPr>
      <w:r>
        <w:t>Evidencia local</w:t>
      </w:r>
    </w:p>
    <w:p>
      <w:r>
        <w:t>Learning aprobó 73 pruebas focalizadas, incluida la migración ejecutada en PostgreSQL embebido y la revocación por asignación cancelada. Se añadieron pruebas de protocolo, IPC, apertura segura, aislamiento de sesión y arranque del renderer en Hub. Los resultados finales y limitaciones de checks globales están en el reporte del cambio OpenSpec.</w:t>
      </w:r>
    </w:p>
    <w:p>
      <w:pPr>
        <w:pStyle w:val="Heading2"/>
      </w:pPr>
      <w:r>
        <w:t>Validación pendiente en staging</w:t>
      </w:r>
    </w:p>
    <w:p>
      <w:r>
        <w:t>Probar con docente y alumnos reales de prueba los permisos de audio/cámara/pantalla, admisión y chat Zoom dentro del navegador Hub. Confirmar la configuración de ingreso web y ausencia de apertura obligatoria de un cliente externo. Los pasos que Zoom imponga deben quedar claros al usuario; no se certifica admisión por abrir una URL.</w:t>
      </w:r>
    </w:p>
    <w:p>
      <w:r>
        <w:t>La verificación global de Learning conserva errores fuera de Live. Se deben resolver o gestionar mediante el proceso de release; una prueba focalizada aprobada no equivale a compilación global certificada.</w:t>
      </w:r>
    </w:p>
    <w:p>
      <w:r>
        <w:br w:type="page"/>
      </w:r>
    </w:p>
    <w:p>
      <w:pPr>
        <w:pStyle w:val="Heading1"/>
      </w:pPr>
      <w:r>
        <w:t>7 Entregas restantes y responsables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563"/>
        <w:gridCol w:w="3067"/>
        <w:gridCol w:w="4363"/>
      </w:tblGrid>
      <w:tr>
        <w:trPr>
          <w:tblHeader w:val="true"/>
          <w:cantSplit/>
        </w:trPr>
        <w:tc>
          <w:tcPr>
            <w:tcW w:type="dxa" w:w="2563"/>
            <w:vAlign w:val="center"/>
            <w:shd w:fill="233E54"/>
          </w:tcPr>
          <w:p>
            <w:pPr>
              <w:keepNext w:val="0"/>
              <w:spacing w:after="40" w:before="20" w:line="250" w:lineRule="auto"/>
            </w:pPr>
            <w:r>
              <w:rPr>
                <w:rFonts w:ascii="Calibri" w:hAnsi="Calibri"/>
                <w:b/>
                <w:color w:val="FFFFFF"/>
                <w:sz w:val="19"/>
              </w:rPr>
              <w:t>Entrega</w:t>
            </w:r>
          </w:p>
        </w:tc>
        <w:tc>
          <w:tcPr>
            <w:tcW w:type="dxa" w:w="3067"/>
            <w:vAlign w:val="center"/>
            <w:shd w:fill="233E54"/>
          </w:tcPr>
          <w:p>
            <w:pPr>
              <w:keepNext w:val="0"/>
              <w:spacing w:after="40" w:before="20" w:line="250" w:lineRule="auto"/>
            </w:pPr>
            <w:r>
              <w:rPr>
                <w:rFonts w:ascii="Calibri" w:hAnsi="Calibri"/>
                <w:b/>
                <w:color w:val="FFFFFF"/>
                <w:sz w:val="19"/>
              </w:rPr>
              <w:t>Responsable propuesto</w:t>
            </w:r>
          </w:p>
        </w:tc>
        <w:tc>
          <w:tcPr>
            <w:tcW w:type="dxa" w:w="4363"/>
            <w:vAlign w:val="center"/>
            <w:shd w:fill="233E54"/>
          </w:tcPr>
          <w:p>
            <w:pPr>
              <w:keepNext w:val="0"/>
              <w:spacing w:after="40" w:before="20" w:line="250" w:lineRule="auto"/>
            </w:pPr>
            <w:r>
              <w:rPr>
                <w:rFonts w:ascii="Calibri" w:hAnsi="Calibri"/>
                <w:b/>
                <w:color w:val="FFFFFF"/>
                <w:sz w:val="19"/>
              </w:rPr>
              <w:t>Salida esperada</w:t>
            </w:r>
          </w:p>
        </w:tc>
      </w:tr>
      <w:tr>
        <w:trPr>
          <w:cantSplit/>
        </w:trPr>
        <w:tc>
          <w:tcPr>
            <w:tcW w:type="dxa" w:w="2563"/>
            <w:vAlign w:val="center"/>
            <w:shd w:fill="FFFFFF"/>
          </w:tcPr>
          <w:p>
            <w:pPr>
              <w:keepNext w:val="0"/>
              <w:spacing w:after="40" w:before="20" w:line="250" w:lineRule="auto"/>
            </w:pPr>
            <w:r>
              <w:rPr>
                <w:rFonts w:ascii="Calibri" w:hAnsi="Calibri"/>
                <w:b w:val="0"/>
                <w:color w:val="000000"/>
                <w:sz w:val="19"/>
              </w:rPr>
              <w:t>Refactor y contrato local</w:t>
            </w:r>
          </w:p>
        </w:tc>
        <w:tc>
          <w:tcPr>
            <w:tcW w:type="dxa" w:w="3067"/>
            <w:vAlign w:val="center"/>
            <w:shd w:fill="FFFFFF"/>
          </w:tcPr>
          <w:p>
            <w:pPr>
              <w:keepNext w:val="0"/>
              <w:spacing w:after="40" w:before="20" w:line="250" w:lineRule="auto"/>
            </w:pPr>
            <w:r>
              <w:rPr>
                <w:rFonts w:ascii="Calibri" w:hAnsi="Calibri"/>
                <w:b w:val="0"/>
                <w:color w:val="000000"/>
                <w:sz w:val="19"/>
              </w:rPr>
              <w:t>Desarrollo Learning y Hub</w:t>
            </w:r>
          </w:p>
        </w:tc>
        <w:tc>
          <w:tcPr>
            <w:tcW w:type="dxa" w:w="4363"/>
            <w:vAlign w:val="center"/>
            <w:shd w:fill="FFFFFF"/>
          </w:tcPr>
          <w:p>
            <w:pPr>
              <w:keepNext w:val="0"/>
              <w:spacing w:after="40" w:before="20" w:line="250" w:lineRule="auto"/>
            </w:pPr>
            <w:r>
              <w:rPr>
                <w:rFonts w:ascii="Calibri" w:hAnsi="Calibri"/>
                <w:b w:val="0"/>
                <w:color w:val="000000"/>
                <w:sz w:val="19"/>
              </w:rPr>
              <w:t>Código y pruebas sincronizados en ambos repositorios</w:t>
            </w:r>
          </w:p>
        </w:tc>
      </w:tr>
      <w:tr>
        <w:trPr>
          <w:cantSplit/>
        </w:trPr>
        <w:tc>
          <w:tcPr>
            <w:tcW w:type="dxa" w:w="2563"/>
            <w:vAlign w:val="center"/>
            <w:shd w:fill="F2F5F7"/>
          </w:tcPr>
          <w:p>
            <w:pPr>
              <w:keepNext w:val="0"/>
              <w:spacing w:after="40" w:before="20" w:line="250" w:lineRule="auto"/>
            </w:pPr>
            <w:r>
              <w:rPr>
                <w:rFonts w:ascii="Calibri" w:hAnsi="Calibri"/>
                <w:b w:val="0"/>
                <w:color w:val="000000"/>
                <w:sz w:val="19"/>
              </w:rPr>
              <w:t>Configuración y staging</w:t>
            </w:r>
          </w:p>
        </w:tc>
        <w:tc>
          <w:tcPr>
            <w:tcW w:type="dxa" w:w="3067"/>
            <w:vAlign w:val="center"/>
            <w:shd w:fill="F2F5F7"/>
          </w:tcPr>
          <w:p>
            <w:pPr>
              <w:keepNext w:val="0"/>
              <w:spacing w:after="40" w:before="20" w:line="250" w:lineRule="auto"/>
            </w:pPr>
            <w:r>
              <w:rPr>
                <w:rFonts w:ascii="Calibri" w:hAnsi="Calibri"/>
                <w:b w:val="0"/>
                <w:color w:val="000000"/>
                <w:sz w:val="19"/>
              </w:rPr>
              <w:t>Administrador Zoom y desarrollo</w:t>
            </w:r>
          </w:p>
        </w:tc>
        <w:tc>
          <w:tcPr>
            <w:tcW w:type="dxa" w:w="4363"/>
            <w:vAlign w:val="center"/>
            <w:shd w:fill="F2F5F7"/>
          </w:tcPr>
          <w:p>
            <w:pPr>
              <w:keepNext w:val="0"/>
              <w:spacing w:after="40" w:before="20" w:line="250" w:lineRule="auto"/>
            </w:pPr>
            <w:r>
              <w:rPr>
                <w:rFonts w:ascii="Calibri" w:hAnsi="Calibri"/>
                <w:b w:val="0"/>
                <w:color w:val="000000"/>
                <w:sz w:val="19"/>
              </w:rPr>
              <w:t>Identidad, scopes y acceso web comprobados</w:t>
            </w:r>
          </w:p>
        </w:tc>
      </w:tr>
      <w:tr>
        <w:trPr>
          <w:cantSplit/>
        </w:trPr>
        <w:tc>
          <w:tcPr>
            <w:tcW w:type="dxa" w:w="2563"/>
            <w:vAlign w:val="center"/>
            <w:shd w:fill="FFFFFF"/>
          </w:tcPr>
          <w:p>
            <w:pPr>
              <w:keepNext w:val="0"/>
              <w:spacing w:after="40" w:before="20" w:line="250" w:lineRule="auto"/>
            </w:pPr>
            <w:r>
              <w:rPr>
                <w:rFonts w:ascii="Calibri" w:hAnsi="Calibri"/>
                <w:b w:val="0"/>
                <w:color w:val="000000"/>
                <w:sz w:val="19"/>
              </w:rPr>
              <w:t>Piloto académico</w:t>
            </w:r>
          </w:p>
        </w:tc>
        <w:tc>
          <w:tcPr>
            <w:tcW w:type="dxa" w:w="3067"/>
            <w:vAlign w:val="center"/>
            <w:shd w:fill="FFFFFF"/>
          </w:tcPr>
          <w:p>
            <w:pPr>
              <w:keepNext w:val="0"/>
              <w:spacing w:after="40" w:before="20" w:line="250" w:lineRule="auto"/>
            </w:pPr>
            <w:r>
              <w:rPr>
                <w:rFonts w:ascii="Calibri" w:hAnsi="Calibri"/>
                <w:b w:val="0"/>
                <w:color w:val="000000"/>
                <w:sz w:val="19"/>
              </w:rPr>
              <w:t>Producto, docente y QA</w:t>
            </w:r>
          </w:p>
        </w:tc>
        <w:tc>
          <w:tcPr>
            <w:tcW w:type="dxa" w:w="4363"/>
            <w:vAlign w:val="center"/>
            <w:shd w:fill="FFFFFF"/>
          </w:tcPr>
          <w:p>
            <w:pPr>
              <w:keepNext w:val="0"/>
              <w:spacing w:after="40" w:before="20" w:line="250" w:lineRule="auto"/>
            </w:pPr>
            <w:r>
              <w:rPr>
                <w:rFonts w:ascii="Calibri" w:hAnsi="Calibri"/>
                <w:b w:val="0"/>
                <w:color w:val="000000"/>
                <w:sz w:val="19"/>
              </w:rPr>
              <w:t>Clase real con reunión y webinar, y casos negativos</w:t>
            </w:r>
          </w:p>
        </w:tc>
      </w:tr>
      <w:tr>
        <w:trPr>
          <w:cantSplit/>
        </w:trPr>
        <w:tc>
          <w:tcPr>
            <w:tcW w:type="dxa" w:w="2563"/>
            <w:vAlign w:val="center"/>
            <w:shd w:fill="F2F5F7"/>
          </w:tcPr>
          <w:p>
            <w:pPr>
              <w:keepNext w:val="0"/>
              <w:spacing w:after="40" w:before="20" w:line="250" w:lineRule="auto"/>
            </w:pPr>
            <w:r>
              <w:rPr>
                <w:rFonts w:ascii="Calibri" w:hAnsi="Calibri"/>
                <w:b w:val="0"/>
                <w:color w:val="000000"/>
                <w:sz w:val="19"/>
              </w:rPr>
              <w:t>Publicación coordinada</w:t>
            </w:r>
          </w:p>
        </w:tc>
        <w:tc>
          <w:tcPr>
            <w:tcW w:type="dxa" w:w="3067"/>
            <w:vAlign w:val="center"/>
            <w:shd w:fill="F2F5F7"/>
          </w:tcPr>
          <w:p>
            <w:pPr>
              <w:keepNext w:val="0"/>
              <w:spacing w:after="40" w:before="20" w:line="250" w:lineRule="auto"/>
            </w:pPr>
            <w:r>
              <w:rPr>
                <w:rFonts w:ascii="Calibri" w:hAnsi="Calibri"/>
                <w:b w:val="0"/>
                <w:color w:val="000000"/>
                <w:sz w:val="19"/>
              </w:rPr>
              <w:t>Responsable de release</w:t>
            </w:r>
          </w:p>
        </w:tc>
        <w:tc>
          <w:tcPr>
            <w:tcW w:type="dxa" w:w="4363"/>
            <w:vAlign w:val="center"/>
            <w:shd w:fill="F2F5F7"/>
          </w:tcPr>
          <w:p>
            <w:pPr>
              <w:keepNext w:val="0"/>
              <w:spacing w:after="40" w:before="20" w:line="250" w:lineRule="auto"/>
            </w:pPr>
            <w:r>
              <w:rPr>
                <w:rFonts w:ascii="Calibri" w:hAnsi="Calibri"/>
                <w:b w:val="0"/>
                <w:color w:val="000000"/>
                <w:sz w:val="19"/>
              </w:rPr>
              <w:t>Learning y Hub compatibles, monitoreo y rollback</w:t>
            </w:r>
          </w:p>
        </w:tc>
      </w:tr>
      <w:tr>
        <w:trPr>
          <w:cantSplit/>
        </w:trPr>
        <w:tc>
          <w:tcPr>
            <w:tcW w:type="dxa" w:w="2563"/>
            <w:vAlign w:val="center"/>
            <w:shd w:fill="FFFFFF"/>
          </w:tcPr>
          <w:p>
            <w:pPr>
              <w:keepNext w:val="0"/>
              <w:spacing w:after="40" w:before="20" w:line="250" w:lineRule="auto"/>
            </w:pPr>
            <w:r>
              <w:rPr>
                <w:rFonts w:ascii="Calibri" w:hAnsi="Calibri"/>
                <w:b w:val="0"/>
                <w:color w:val="000000"/>
                <w:sz w:val="19"/>
              </w:rPr>
              <w:t>Experiencia educativa en Hub</w:t>
            </w:r>
          </w:p>
        </w:tc>
        <w:tc>
          <w:tcPr>
            <w:tcW w:type="dxa" w:w="3067"/>
            <w:vAlign w:val="center"/>
            <w:shd w:fill="FFFFFF"/>
          </w:tcPr>
          <w:p>
            <w:pPr>
              <w:keepNext w:val="0"/>
              <w:spacing w:after="40" w:before="20" w:line="250" w:lineRule="auto"/>
            </w:pPr>
            <w:r>
              <w:rPr>
                <w:rFonts w:ascii="Calibri" w:hAnsi="Calibri"/>
                <w:b w:val="0"/>
                <w:color w:val="000000"/>
                <w:sz w:val="19"/>
              </w:rPr>
              <w:t>Producto y equipo Hub</w:t>
            </w:r>
          </w:p>
        </w:tc>
        <w:tc>
          <w:tcPr>
            <w:tcW w:type="dxa" w:w="4363"/>
            <w:vAlign w:val="center"/>
            <w:shd w:fill="FFFFFF"/>
          </w:tcPr>
          <w:p>
            <w:pPr>
              <w:keepNext w:val="0"/>
              <w:spacing w:after="40" w:before="20" w:line="250" w:lineRule="auto"/>
            </w:pPr>
            <w:r>
              <w:rPr>
                <w:rFonts w:ascii="Calibri" w:hAnsi="Calibri"/>
                <w:b w:val="0"/>
                <w:color w:val="000000"/>
                <w:sz w:val="19"/>
              </w:rPr>
              <w:t>Alcance específico para chat Soflia, quizzes, materiales o RTMS</w:t>
            </w:r>
          </w:p>
        </w:tc>
      </w:tr>
    </w:tbl>
    <w:p>
      <w:pPr>
        <w:spacing w:after="40" w:before="0" w:line="40" w:lineRule="exact"/>
      </w:pPr>
      <w:r>
        <w:rPr>
          <w:sz w:val="4"/>
        </w:rPr>
      </w:r>
    </w:p>
    <w:p>
      <w:pPr>
        <w:pStyle w:val="Heading2"/>
      </w:pPr>
      <w:r>
        <w:t>Estimación y condiciones</w:t>
      </w:r>
    </w:p>
    <w:p>
      <w:r>
        <w:t>El trabajo local se entrega como implementación, no como una promesa de fecha de producción. El esfuerzo restante se estima después de validar cuenta, navegador integrado, distribución del escritorio y checks globales. No se arrastra el presupuesto del plan anterior de un aula completa en Learning.</w:t>
      </w:r>
    </w:p>
    <w:p>
      <w:pPr>
        <w:pStyle w:val="Heading2"/>
      </w:pPr>
      <w:r>
        <w:t>Criterio para ampliar Hub</w:t>
      </w:r>
    </w:p>
    <w:p>
      <w:r>
        <w:t>La primera conexión utiliza la experiencia Zoom existente. El chat educativo adicional y las actividades de Soflia requerirán un módulo propio dentro de Hub, con permisos, persistencia y pruebas. Esa ampliación no reactivará endpoints ni componentes del aula retirada de Learning.</w:t>
      </w:r>
    </w:p>
    <w:p>
      <w:r>
        <w:t>Events, Rooms físicos, registro individual, reportes certificados y contexto continuo de IA quedan sujetos a necesidad de producto y a licencia. Se documentará una entrega concreta por cada complemento antes de incorporarlo.</w:t>
      </w:r>
    </w:p>
    <w:p>
      <w:r>
        <w:br w:type="page"/>
      </w:r>
    </w:p>
    <w:p>
      <w:pPr>
        <w:pStyle w:val="Heading1"/>
      </w:pPr>
      <w:r>
        <w:t>8 Documentación de transferencia</w:t>
      </w:r>
    </w:p>
    <w:p>
      <w:pPr>
        <w:pStyle w:val="Heading2"/>
      </w:pPr>
      <w:r>
        <w:t>Fuentes canónicas</w:t>
      </w:r>
    </w:p>
    <w:p>
      <w:r>
        <w:t>Learning: docs/architecture/learning-hub-synchronous-plan.md. Hub: openspec/changes/launch-learning-live-sessions con propuesta, diseño, requisitos, tareas y reports/verification.md. Ambos describen el mismo contrato de referencia y acceso.</w:t>
      </w:r>
    </w:p>
    <w:p>
      <w:pPr>
        <w:pStyle w:val="Heading2"/>
      </w:pPr>
      <w:r>
        <w:t>Configuración requerida</w:t>
      </w:r>
    </w:p>
    <w:p>
      <w:pPr>
        <w:pStyle w:val="ListBullet"/>
      </w:pPr>
      <w:r>
        <w:t>Learning mantiene ZOOM_ACCOUNT_ID, ZOOM_CLIENT_ID, ZOOM_CLIENT_SECRET y ZOOM_WEBHOOK_SECRET_TOKEN para administración REST.</w:t>
      </w:r>
    </w:p>
    <w:p>
      <w:pPr>
        <w:pStyle w:val="ListBullet"/>
      </w:pPr>
      <w:r>
        <w:t>Learning conserva su identidad Supabase. Las sesiones y el panel de instructor están siempre activos sin una variable de activación.</w:t>
      </w:r>
    </w:p>
    <w:p>
      <w:pPr>
        <w:pStyle w:val="ListBullet"/>
      </w:pPr>
      <w:r>
        <w:t>Hub usa VITE_LEARNING_BASE_URL y el inicio federado existente cuando VITE_LEARNING_SSO_ENABLED está activo.</w:t>
      </w:r>
    </w:p>
    <w:p>
      <w:pPr>
        <w:pStyle w:val="ListBullet"/>
      </w:pPr>
      <w:r>
        <w:t>No configurar claves SDK o service-role en el bundle del escritorio; no se editaron secretos ni archivos de entorno.</w:t>
      </w:r>
    </w:p>
    <w:p>
      <w:pPr>
        <w:pStyle w:val="Heading2"/>
      </w:pPr>
      <w:r>
        <w:t>Lista para el responsable de release</w:t>
      </w:r>
    </w:p>
    <w:p>
      <w:r>
        <w:t>1. Revisar el diff de ambos repositorios y la evidencia de pruebas.</w:t>
      </w:r>
    </w:p>
    <w:p>
      <w:r>
        <w:t>2. Aplicar la migración antes del código que requiere los campos nuevos.</w:t>
      </w:r>
    </w:p>
    <w:p>
      <w:r>
        <w:t>3. Verificar que el escritorio empaquetado registre soflia y reciba el nuevo comando.</w:t>
      </w:r>
    </w:p>
    <w:p>
      <w:r>
        <w:t>4. Completar prueba multimedia, login, revocación y recuperación con cuentas de staging.</w:t>
      </w:r>
    </w:p>
    <w:p>
      <w:r>
        <w:t>5. Definir soporte, retención histórica y requisitos de revocación Zoom individual.</w:t>
      </w:r>
    </w:p>
    <w:p>
      <w:r>
        <w:t xml:space="preserve">Referencia administrativa  </w:t>
      </w:r>
      <w:hyperlink r:id="rId10">
        <w:r>
          <w:rPr>
            <w:color w:val="234D70"/>
            <w:u w:val="single"/>
          </w:rPr>
          <w:t>Zoom API</w:t>
        </w:r>
      </w:hyperlink>
    </w:p>
    <w:p>
      <w:r>
        <w:t xml:space="preserve">Referencia de reuniones y webinars  </w:t>
      </w:r>
      <w:hyperlink r:id="rId11">
        <w:r>
          <w:rPr>
            <w:color w:val="234D70"/>
            <w:u w:val="single"/>
          </w:rPr>
          <w:t>Meetings API</w:t>
        </w:r>
      </w:hyperlink>
    </w:p>
    <w:p>
      <w:r>
        <w:t>Los documentos Word de la versión 1 quedan como antecedentes. Esta versión describe la decisión vigente de escritorio y distingue la conexión implementada de los módulos educativos futuros.</w:t>
      </w:r>
    </w:p>
    <w:sectPr w:rsidR="00FC693F" w:rsidRPr="0006063C" w:rsidSect="00034616">
      <w:footerReference w:type="default" r:id="rId9"/>
      <w:pgSz w:w="12240" w:h="15840"/>
      <w:pgMar w:top="965" w:right="1123" w:bottom="965"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16"/>
      </w:rPr>
      <w:t xml:space="preserve">Soflia  Plan técnico v2  |  </w:t>
    </w:r>
    <w:r>
      <w:rPr>
        <w:rFonts w:ascii="Calibri" w:hAnsi="Calibri"/>
        <w:color w:val="000000"/>
        <w:sz w:val="16"/>
      </w:rPr>
      <w:fldChar w:fldCharType="begin"/>
      <w:instrText>PAGE</w:instrText>
      <w:fldChar w:fldCharType="end"/>
    </w:r>
    <w:r>
      <w:rPr>
        <w:rFonts w:ascii="Calibri" w:hAnsi="Calibri"/>
        <w:color w:val="000000"/>
        <w:sz w:val="16"/>
      </w:rPr>
      <w:t xml:space="preserve"> de </w:t>
    </w:r>
    <w:r>
      <w:rPr>
        <w:rFonts w:ascii="Calibri" w:hAnsi="Calibri"/>
        <w:color w:val="000000"/>
        <w:sz w:val="16"/>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zoom.us/docs/api/" TargetMode="External"/><Relationship Id="rId11" Type="http://schemas.openxmlformats.org/officeDocument/2006/relationships/hyperlink" Target="https://developers.zoom.us/docs/api/mee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técnico de sesiones entre Learning y Hub</dc:title>
  <dc:subject>Administración en Learning y ejecución en Soflia Hub</dc:subject>
  <dc:creator>Soflia</dc:creator>
  <cp:keywords>Zoom, Soflia, sesiones síncronas, plan</cp:keywords>
  <dc:description>generated by python-docx</dc:description>
  <cp:lastModifiedBy/>
  <cp:revision>1</cp:revision>
  <dcterms:created xsi:type="dcterms:W3CDTF">2026-10-10T16:00:00Z</dcterms:created>
  <dcterms:modified xsi:type="dcterms:W3CDTF">2026-10-10T16:00:00Z</dcterms:modified>
  <cp:category/>
</cp:coreProperties>
</file>