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Plan técnico de integración de Zoom en Soflia</w:t>
      </w:r>
    </w:p>
    <w:p>
      <w:pPr>
        <w:pStyle w:val="Subtitle"/>
      </w:pPr>
      <w:r>
        <w:t>Plan de ejecución para desarrollo y validación</w:t>
      </w:r>
    </w:p>
    <w:p>
      <w:r>
        <w:t>10 de octubre de 2026  |  Versión 1  |  Propuesta de implementación</w:t>
      </w:r>
    </w:p>
    <w:p>
      <w:r>
        <w:t>Implementaremos primero una versión operativa de las clases síncronas aprovechando Meeting SDK. Corregiremos la cámara y la autorización de anfitriones, completaremos agenda y pantalla compartida, y añadiremos recuperación de eventos. Webinars, Events, Video SDK y Rooms se habilitarán como capacidades separadas con sus pruebas y dependencias.</w:t>
      </w:r>
    </w:p>
    <w:p>
      <w:r>
        <w:t>El plan convierte la investigación del commit 7ec2c313 en entregas verificables. Define trabajo técnico para ejecutar después de confirmar el alcance de producto y disponer de cuentas de prueba. La propuesta directiva complementaria recoge las decisiones que cambian el alcance y el esfuerzo.</w:t>
      </w:r>
    </w:p>
    <w:p>
      <w:pPr>
        <w:pStyle w:val="Heading2"/>
      </w:pPr>
      <w:r>
        <w:t>1 Base existente y resultado esperado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1483"/>
        <w:gridCol w:w="3096"/>
        <w:gridCol w:w="5414"/>
      </w:tblGrid>
      <w:tr>
        <w:trPr>
          <w:tblHeader w:val="true"/>
          <w:cantSplit/>
        </w:trPr>
        <w:tc>
          <w:tcPr>
            <w:tcW w:type="dxa" w:w="1483"/>
            <w:vAlign w:val="center"/>
            <w:shd w:fill="233E54"/>
          </w:tcPr>
          <w:p>
            <w:pPr>
              <w:keepNext w:val="0"/>
              <w:spacing w:after="40" w:before="20" w:line="250" w:lineRule="auto"/>
            </w:pPr>
            <w:r>
              <w:rPr>
                <w:rFonts w:ascii="Calibri" w:hAnsi="Calibri"/>
                <w:b/>
                <w:color w:val="FFFFFF"/>
                <w:sz w:val="19"/>
              </w:rPr>
              <w:t>Área</w:t>
            </w:r>
          </w:p>
        </w:tc>
        <w:tc>
          <w:tcPr>
            <w:tcW w:type="dxa" w:w="3096"/>
            <w:vAlign w:val="center"/>
            <w:shd w:fill="233E54"/>
          </w:tcPr>
          <w:p>
            <w:pPr>
              <w:keepNext w:val="0"/>
              <w:spacing w:after="40" w:before="20" w:line="250" w:lineRule="auto"/>
            </w:pPr>
            <w:r>
              <w:rPr>
                <w:rFonts w:ascii="Calibri" w:hAnsi="Calibri"/>
                <w:b/>
                <w:color w:val="FFFFFF"/>
                <w:sz w:val="19"/>
              </w:rPr>
              <w:t>Base aprovechable</w:t>
            </w:r>
          </w:p>
        </w:tc>
        <w:tc>
          <w:tcPr>
            <w:tcW w:type="dxa" w:w="5414"/>
            <w:vAlign w:val="center"/>
            <w:shd w:fill="233E54"/>
          </w:tcPr>
          <w:p>
            <w:pPr>
              <w:keepNext w:val="0"/>
              <w:spacing w:after="40" w:before="20" w:line="250" w:lineRule="auto"/>
            </w:pPr>
            <w:r>
              <w:rPr>
                <w:rFonts w:ascii="Calibri" w:hAnsi="Calibri"/>
                <w:b/>
                <w:color w:val="FFFFFF"/>
                <w:sz w:val="19"/>
              </w:rPr>
              <w:t>Trabajo de esta propuesta</w:t>
            </w:r>
          </w:p>
        </w:tc>
      </w:tr>
      <w:tr>
        <w:trPr>
          <w:cantSplit/>
        </w:trPr>
        <w:tc>
          <w:tcPr>
            <w:tcW w:type="dxa" w:w="1483"/>
            <w:vAlign w:val="center"/>
            <w:shd w:fill="FFFFFF"/>
          </w:tcPr>
          <w:p>
            <w:pPr>
              <w:keepNext w:val="0"/>
              <w:spacing w:after="40" w:before="20" w:line="250" w:lineRule="auto"/>
            </w:pPr>
            <w:r>
              <w:rPr>
                <w:rFonts w:ascii="Calibri" w:hAnsi="Calibri"/>
                <w:b w:val="0"/>
                <w:color w:val="000000"/>
                <w:sz w:val="19"/>
              </w:rPr>
              <w:t>Aula</w:t>
            </w:r>
          </w:p>
        </w:tc>
        <w:tc>
          <w:tcPr>
            <w:tcW w:type="dxa" w:w="3096"/>
            <w:vAlign w:val="center"/>
            <w:shd w:fill="FFFFFF"/>
          </w:tcPr>
          <w:p>
            <w:pPr>
              <w:keepNext w:val="0"/>
              <w:spacing w:after="40" w:before="20" w:line="250" w:lineRule="auto"/>
            </w:pPr>
            <w:r>
              <w:rPr>
                <w:rFonts w:ascii="Calibri" w:hAnsi="Calibri"/>
                <w:b w:val="0"/>
                <w:color w:val="000000"/>
                <w:sz w:val="19"/>
              </w:rPr>
              <w:t>Agenda, chat, actividades, materiales y Soflia</w:t>
            </w:r>
          </w:p>
        </w:tc>
        <w:tc>
          <w:tcPr>
            <w:tcW w:type="dxa" w:w="5414"/>
            <w:vAlign w:val="center"/>
            <w:shd w:fill="FFFFFF"/>
          </w:tcPr>
          <w:p>
            <w:pPr>
              <w:keepNext w:val="0"/>
              <w:spacing w:after="40" w:before="20" w:line="250" w:lineRule="auto"/>
            </w:pPr>
            <w:r>
              <w:rPr>
                <w:rFonts w:ascii="Calibri" w:hAnsi="Calibri"/>
                <w:b w:val="0"/>
                <w:color w:val="000000"/>
                <w:sz w:val="19"/>
              </w:rPr>
              <w:t>Conservar el dominio académico y completar la experiencia multimedia</w:t>
            </w:r>
          </w:p>
        </w:tc>
      </w:tr>
      <w:tr>
        <w:trPr>
          <w:cantSplit/>
        </w:trPr>
        <w:tc>
          <w:tcPr>
            <w:tcW w:type="dxa" w:w="1483"/>
            <w:vAlign w:val="center"/>
            <w:shd w:fill="F2F5F7"/>
          </w:tcPr>
          <w:p>
            <w:pPr>
              <w:keepNext w:val="0"/>
              <w:spacing w:after="40" w:before="20" w:line="250" w:lineRule="auto"/>
            </w:pPr>
            <w:r>
              <w:rPr>
                <w:rFonts w:ascii="Calibri" w:hAnsi="Calibri"/>
                <w:b w:val="0"/>
                <w:color w:val="000000"/>
                <w:sz w:val="19"/>
              </w:rPr>
              <w:t>Zoom Meetings</w:t>
            </w:r>
          </w:p>
        </w:tc>
        <w:tc>
          <w:tcPr>
            <w:tcW w:type="dxa" w:w="3096"/>
            <w:vAlign w:val="center"/>
            <w:shd w:fill="F2F5F7"/>
          </w:tcPr>
          <w:p>
            <w:pPr>
              <w:keepNext w:val="0"/>
              <w:spacing w:after="40" w:before="20" w:line="250" w:lineRule="auto"/>
            </w:pPr>
            <w:r>
              <w:rPr>
                <w:rFonts w:ascii="Calibri" w:hAnsi="Calibri"/>
                <w:b w:val="0"/>
                <w:color w:val="000000"/>
                <w:sz w:val="19"/>
              </w:rPr>
              <w:t>Crear, entrar, finalizar y cancelar</w:t>
            </w:r>
          </w:p>
        </w:tc>
        <w:tc>
          <w:tcPr>
            <w:tcW w:type="dxa" w:w="5414"/>
            <w:vAlign w:val="center"/>
            <w:shd w:fill="F2F5F7"/>
          </w:tcPr>
          <w:p>
            <w:pPr>
              <w:keepNext w:val="0"/>
              <w:spacing w:after="40" w:before="20" w:line="250" w:lineRule="auto"/>
            </w:pPr>
            <w:r>
              <w:rPr>
                <w:rFonts w:ascii="Calibri" w:hAnsi="Calibri"/>
                <w:b w:val="0"/>
                <w:color w:val="000000"/>
                <w:sz w:val="19"/>
              </w:rPr>
              <w:t>Asegurar anfitrión, editar agenda y recuperar inconsistencias</w:t>
            </w:r>
          </w:p>
        </w:tc>
      </w:tr>
      <w:tr>
        <w:trPr>
          <w:cantSplit/>
        </w:trPr>
        <w:tc>
          <w:tcPr>
            <w:tcW w:type="dxa" w:w="1483"/>
            <w:vAlign w:val="center"/>
            <w:shd w:fill="FFFFFF"/>
          </w:tcPr>
          <w:p>
            <w:pPr>
              <w:keepNext w:val="0"/>
              <w:spacing w:after="40" w:before="20" w:line="250" w:lineRule="auto"/>
            </w:pPr>
            <w:r>
              <w:rPr>
                <w:rFonts w:ascii="Calibri" w:hAnsi="Calibri"/>
                <w:b w:val="0"/>
                <w:color w:val="000000"/>
                <w:sz w:val="19"/>
              </w:rPr>
              <w:t>Operación</w:t>
            </w:r>
          </w:p>
        </w:tc>
        <w:tc>
          <w:tcPr>
            <w:tcW w:type="dxa" w:w="3096"/>
            <w:vAlign w:val="center"/>
            <w:shd w:fill="FFFFFF"/>
          </w:tcPr>
          <w:p>
            <w:pPr>
              <w:keepNext w:val="0"/>
              <w:spacing w:after="40" w:before="20" w:line="250" w:lineRule="auto"/>
            </w:pPr>
            <w:r>
              <w:rPr>
                <w:rFonts w:ascii="Calibri" w:hAnsi="Calibri"/>
                <w:b w:val="0"/>
                <w:color w:val="000000"/>
                <w:sz w:val="19"/>
              </w:rPr>
              <w:t>HMAC de webhook y señales de navegador</w:t>
            </w:r>
          </w:p>
        </w:tc>
        <w:tc>
          <w:tcPr>
            <w:tcW w:type="dxa" w:w="5414"/>
            <w:vAlign w:val="center"/>
            <w:shd w:fill="FFFFFF"/>
          </w:tcPr>
          <w:p>
            <w:pPr>
              <w:keepNext w:val="0"/>
              <w:spacing w:after="40" w:before="20" w:line="250" w:lineRule="auto"/>
            </w:pPr>
            <w:r>
              <w:rPr>
                <w:rFonts w:ascii="Calibri" w:hAnsi="Calibri"/>
                <w:b w:val="0"/>
                <w:color w:val="000000"/>
                <w:sz w:val="19"/>
              </w:rPr>
              <w:t>Eventos duraderos, identidad verificable y conciliación</w:t>
            </w:r>
          </w:p>
        </w:tc>
      </w:tr>
      <w:tr>
        <w:trPr>
          <w:cantSplit/>
        </w:trPr>
        <w:tc>
          <w:tcPr>
            <w:tcW w:type="dxa" w:w="1483"/>
            <w:vAlign w:val="center"/>
            <w:shd w:fill="F2F5F7"/>
          </w:tcPr>
          <w:p>
            <w:pPr>
              <w:keepNext w:val="0"/>
              <w:spacing w:after="40" w:before="20" w:line="250" w:lineRule="auto"/>
            </w:pPr>
            <w:r>
              <w:rPr>
                <w:rFonts w:ascii="Calibri" w:hAnsi="Calibri"/>
                <w:b w:val="0"/>
                <w:color w:val="000000"/>
                <w:sz w:val="19"/>
              </w:rPr>
              <w:t>Ampliaciones</w:t>
            </w:r>
          </w:p>
        </w:tc>
        <w:tc>
          <w:tcPr>
            <w:tcW w:type="dxa" w:w="3096"/>
            <w:vAlign w:val="center"/>
            <w:shd w:fill="F2F5F7"/>
          </w:tcPr>
          <w:p>
            <w:pPr>
              <w:keepNext w:val="0"/>
              <w:spacing w:after="40" w:before="20" w:line="250" w:lineRule="auto"/>
            </w:pPr>
            <w:r>
              <w:rPr>
                <w:rFonts w:ascii="Calibri" w:hAnsi="Calibri"/>
                <w:b w:val="0"/>
                <w:color w:val="000000"/>
                <w:sz w:val="19"/>
              </w:rPr>
              <w:t>SDK Meetings reutilizable para webinars</w:t>
            </w:r>
          </w:p>
        </w:tc>
        <w:tc>
          <w:tcPr>
            <w:tcW w:type="dxa" w:w="5414"/>
            <w:vAlign w:val="center"/>
            <w:shd w:fill="F2F5F7"/>
          </w:tcPr>
          <w:p>
            <w:pPr>
              <w:keepNext w:val="0"/>
              <w:spacing w:after="40" w:before="20" w:line="250" w:lineRule="auto"/>
            </w:pPr>
            <w:r>
              <w:rPr>
                <w:rFonts w:ascii="Calibri" w:hAnsi="Calibri"/>
                <w:b w:val="0"/>
                <w:color w:val="000000"/>
                <w:sz w:val="19"/>
              </w:rPr>
              <w:t>Adaptadores y acceso específicos de cada producto</w:t>
            </w:r>
          </w:p>
        </w:tc>
      </w:tr>
    </w:tbl>
    <w:p>
      <w:pPr>
        <w:spacing w:after="40" w:before="0" w:line="40" w:lineRule="exact"/>
      </w:pPr>
      <w:r>
        <w:rPr>
          <w:sz w:val="4"/>
        </w:rPr>
      </w:r>
    </w:p>
    <w:p>
      <w:pPr>
        <w:pStyle w:val="Heading2"/>
      </w:pPr>
      <w:r>
        <w:t>Criterio de terminación de la primera entrega</w:t>
      </w:r>
    </w:p>
    <w:p>
      <w:r>
        <w:t>Un docente y dos alumnos deben completar una clase en staging con cámara, audio, admisión, pantalla compartida, reconexión y cierre. No se entregarán credenciales de otra organización. Una creación con respuesta perdida deberá recuperarse sin generar reuniones duplicadas.</w:t>
      </w:r>
    </w:p>
    <w:p>
      <w:r>
        <w:t>La asistencia basada en navegador conservará su etiqueta de presencia. Su uso para certificados requiere antes intervalos del proveedor y correlación de identidad. La transcripción continua será una entrega explícita de RTMS si producto exige ese nivel de contexto para Soflia.</w:t>
      </w:r>
    </w:p>
    <w:p>
      <w:pPr>
        <w:spacing w:after="80"/>
      </w:pPr>
      <w:r>
        <w:rPr>
          <w:sz w:val="18"/>
        </w:rPr>
        <w:t xml:space="preserve">Referencia oficial  </w:t>
      </w:r>
      <w:hyperlink r:id="rId10">
        <w:r>
          <w:rPr>
            <w:color w:val="234D70"/>
            <w:u w:val="single"/>
          </w:rPr>
          <w:t>Z03 Meeting SDK web</w:t>
        </w:r>
      </w:hyperlink>
      <w:r>
        <w:t xml:space="preserve">  |  </w:t>
      </w:r>
      <w:hyperlink r:id="rId11">
        <w:r>
          <w:rPr>
            <w:color w:val="234D70"/>
            <w:u w:val="single"/>
          </w:rPr>
          <w:t>Z07 Autorización Video SDK</w:t>
        </w:r>
      </w:hyperlink>
    </w:p>
    <w:p>
      <w:r>
        <w:br w:type="page"/>
      </w:r>
    </w:p>
    <w:p>
      <w:pPr>
        <w:pStyle w:val="Heading1"/>
      </w:pPr>
      <w:r>
        <w:t>2 Arquitectura y decisiones técnicas</w:t>
      </w:r>
    </w:p>
    <w:p>
      <w:r>
        <w:t>El dominio Live seguirá administrando permisos, cursos, agenda, aprendizaje y estado académico. Los adaptadores administrarán los recursos Zoom. El navegador recibirá credenciales y un modo de acceso calculados por el servidor; cargará solo la librería necesaria.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448"/>
        <w:gridCol w:w="2664"/>
        <w:gridCol w:w="4882"/>
      </w:tblGrid>
      <w:tr>
        <w:trPr>
          <w:tblHeader w:val="true"/>
          <w:cantSplit/>
        </w:trPr>
        <w:tc>
          <w:tcPr>
            <w:tcW w:type="dxa" w:w="2448"/>
            <w:vAlign w:val="center"/>
            <w:shd w:fill="233E54"/>
          </w:tcPr>
          <w:p>
            <w:pPr>
              <w:keepNext w:val="0"/>
              <w:spacing w:after="40" w:before="20" w:line="250" w:lineRule="auto"/>
            </w:pPr>
            <w:r>
              <w:rPr>
                <w:rFonts w:ascii="Calibri" w:hAnsi="Calibri"/>
                <w:b/>
                <w:color w:val="FFFFFF"/>
                <w:sz w:val="19"/>
              </w:rPr>
              <w:t>Capacidad</w:t>
            </w:r>
          </w:p>
        </w:tc>
        <w:tc>
          <w:tcPr>
            <w:tcW w:type="dxa" w:w="2664"/>
            <w:vAlign w:val="center"/>
            <w:shd w:fill="233E54"/>
          </w:tcPr>
          <w:p>
            <w:pPr>
              <w:keepNext w:val="0"/>
              <w:spacing w:after="40" w:before="20" w:line="250" w:lineRule="auto"/>
            </w:pPr>
            <w:r>
              <w:rPr>
                <w:rFonts w:ascii="Calibri" w:hAnsi="Calibri"/>
                <w:b/>
                <w:color w:val="FFFFFF"/>
                <w:sz w:val="19"/>
              </w:rPr>
              <w:t>Proveedor</w:t>
            </w:r>
          </w:p>
        </w:tc>
        <w:tc>
          <w:tcPr>
            <w:tcW w:type="dxa" w:w="4882"/>
            <w:vAlign w:val="center"/>
            <w:shd w:fill="233E54"/>
          </w:tcPr>
          <w:p>
            <w:pPr>
              <w:keepNext w:val="0"/>
              <w:spacing w:after="40" w:before="20" w:line="250" w:lineRule="auto"/>
            </w:pPr>
            <w:r>
              <w:rPr>
                <w:rFonts w:ascii="Calibri" w:hAnsi="Calibri"/>
                <w:b/>
                <w:color w:val="FFFFFF"/>
                <w:sz w:val="19"/>
              </w:rPr>
              <w:t>Modo de acceso</w:t>
            </w:r>
          </w:p>
        </w:tc>
      </w:tr>
      <w:tr>
        <w:trPr>
          <w:cantSplit/>
        </w:trPr>
        <w:tc>
          <w:tcPr>
            <w:tcW w:type="dxa" w:w="2448"/>
            <w:vAlign w:val="center"/>
            <w:shd w:fill="FFFFFF"/>
          </w:tcPr>
          <w:p>
            <w:pPr>
              <w:keepNext w:val="0"/>
              <w:spacing w:after="40" w:before="20" w:line="250" w:lineRule="auto"/>
            </w:pPr>
            <w:r>
              <w:rPr>
                <w:rFonts w:ascii="Calibri" w:hAnsi="Calibri"/>
                <w:b w:val="0"/>
                <w:color w:val="000000"/>
                <w:sz w:val="19"/>
              </w:rPr>
              <w:t>Clase interoperable</w:t>
            </w:r>
          </w:p>
        </w:tc>
        <w:tc>
          <w:tcPr>
            <w:tcW w:type="dxa" w:w="2664"/>
            <w:vAlign w:val="center"/>
            <w:shd w:fill="FFFFFF"/>
          </w:tcPr>
          <w:p>
            <w:pPr>
              <w:keepNext w:val="0"/>
              <w:spacing w:after="40" w:before="20" w:line="250" w:lineRule="auto"/>
            </w:pPr>
            <w:r>
              <w:rPr>
                <w:rFonts w:ascii="Calibri" w:hAnsi="Calibri"/>
                <w:b w:val="0"/>
                <w:color w:val="000000"/>
                <w:sz w:val="19"/>
              </w:rPr>
              <w:t>Meetings</w:t>
            </w:r>
          </w:p>
        </w:tc>
        <w:tc>
          <w:tcPr>
            <w:tcW w:type="dxa" w:w="4882"/>
            <w:vAlign w:val="center"/>
            <w:shd w:fill="FFFFFF"/>
          </w:tcPr>
          <w:p>
            <w:pPr>
              <w:keepNext w:val="0"/>
              <w:spacing w:after="40" w:before="20" w:line="250" w:lineRule="auto"/>
            </w:pPr>
            <w:r>
              <w:rPr>
                <w:rFonts w:ascii="Calibri" w:hAnsi="Calibri"/>
                <w:b w:val="0"/>
                <w:color w:val="000000"/>
                <w:sz w:val="19"/>
              </w:rPr>
              <w:t>Component View en escritorio; alternativa móvil validada</w:t>
            </w:r>
          </w:p>
        </w:tc>
      </w:tr>
      <w:tr>
        <w:trPr>
          <w:cantSplit/>
        </w:trPr>
        <w:tc>
          <w:tcPr>
            <w:tcW w:type="dxa" w:w="2448"/>
            <w:vAlign w:val="center"/>
            <w:shd w:fill="F2F5F7"/>
          </w:tcPr>
          <w:p>
            <w:pPr>
              <w:keepNext w:val="0"/>
              <w:spacing w:after="40" w:before="20" w:line="250" w:lineRule="auto"/>
            </w:pPr>
            <w:r>
              <w:rPr>
                <w:rFonts w:ascii="Calibri" w:hAnsi="Calibri"/>
                <w:b w:val="0"/>
                <w:color w:val="000000"/>
                <w:sz w:val="19"/>
              </w:rPr>
              <w:t>Difusión con audiencia</w:t>
            </w:r>
          </w:p>
        </w:tc>
        <w:tc>
          <w:tcPr>
            <w:tcW w:type="dxa" w:w="2664"/>
            <w:vAlign w:val="center"/>
            <w:shd w:fill="F2F5F7"/>
          </w:tcPr>
          <w:p>
            <w:pPr>
              <w:keepNext w:val="0"/>
              <w:spacing w:after="40" w:before="20" w:line="250" w:lineRule="auto"/>
            </w:pPr>
            <w:r>
              <w:rPr>
                <w:rFonts w:ascii="Calibri" w:hAnsi="Calibri"/>
                <w:b w:val="0"/>
                <w:color w:val="000000"/>
                <w:sz w:val="19"/>
              </w:rPr>
              <w:t>Webinars</w:t>
            </w:r>
          </w:p>
        </w:tc>
        <w:tc>
          <w:tcPr>
            <w:tcW w:type="dxa" w:w="4882"/>
            <w:vAlign w:val="center"/>
            <w:shd w:fill="F2F5F7"/>
          </w:tcPr>
          <w:p>
            <w:pPr>
              <w:keepNext w:val="0"/>
              <w:spacing w:after="40" w:before="20" w:line="250" w:lineRule="auto"/>
            </w:pPr>
            <w:r>
              <w:rPr>
                <w:rFonts w:ascii="Calibri" w:hAnsi="Calibri"/>
                <w:b w:val="0"/>
                <w:color w:val="000000"/>
                <w:sz w:val="19"/>
              </w:rPr>
              <w:t>Component View para funciones admitidas; Client View o cliente para producción</w:t>
            </w:r>
          </w:p>
        </w:tc>
      </w:tr>
      <w:tr>
        <w:trPr>
          <w:cantSplit/>
        </w:trPr>
        <w:tc>
          <w:tcPr>
            <w:tcW w:type="dxa" w:w="2448"/>
            <w:vAlign w:val="center"/>
            <w:shd w:fill="FFFFFF"/>
          </w:tcPr>
          <w:p>
            <w:pPr>
              <w:keepNext w:val="0"/>
              <w:spacing w:after="40" w:before="20" w:line="250" w:lineRule="auto"/>
            </w:pPr>
            <w:r>
              <w:rPr>
                <w:rFonts w:ascii="Calibri" w:hAnsi="Calibri"/>
                <w:b w:val="0"/>
                <w:color w:val="000000"/>
                <w:sz w:val="19"/>
              </w:rPr>
              <w:t>Evento con agenda y tickets</w:t>
            </w:r>
          </w:p>
        </w:tc>
        <w:tc>
          <w:tcPr>
            <w:tcW w:type="dxa" w:w="2664"/>
            <w:vAlign w:val="center"/>
            <w:shd w:fill="FFFFFF"/>
          </w:tcPr>
          <w:p>
            <w:pPr>
              <w:keepNext w:val="0"/>
              <w:spacing w:after="40" w:before="20" w:line="250" w:lineRule="auto"/>
            </w:pPr>
            <w:r>
              <w:rPr>
                <w:rFonts w:ascii="Calibri" w:hAnsi="Calibri"/>
                <w:b w:val="0"/>
                <w:color w:val="000000"/>
                <w:sz w:val="19"/>
              </w:rPr>
              <w:t>Webinars Plus y Events</w:t>
            </w:r>
          </w:p>
        </w:tc>
        <w:tc>
          <w:tcPr>
            <w:tcW w:type="dxa" w:w="4882"/>
            <w:vAlign w:val="center"/>
            <w:shd w:fill="FFFFFF"/>
          </w:tcPr>
          <w:p>
            <w:pPr>
              <w:keepNext w:val="0"/>
              <w:spacing w:after="40" w:before="20" w:line="250" w:lineRule="auto"/>
            </w:pPr>
            <w:r>
              <w:rPr>
                <w:rFonts w:ascii="Calibri" w:hAnsi="Calibri"/>
                <w:b w:val="0"/>
                <w:color w:val="000000"/>
                <w:sz w:val="19"/>
              </w:rPr>
              <w:t>Acceso individual al portal; Client View solo tras validar PSL</w:t>
            </w:r>
          </w:p>
        </w:tc>
      </w:tr>
      <w:tr>
        <w:trPr>
          <w:cantSplit/>
        </w:trPr>
        <w:tc>
          <w:tcPr>
            <w:tcW w:type="dxa" w:w="2448"/>
            <w:vAlign w:val="center"/>
            <w:shd w:fill="F2F5F7"/>
          </w:tcPr>
          <w:p>
            <w:pPr>
              <w:keepNext w:val="0"/>
              <w:spacing w:after="40" w:before="20" w:line="250" w:lineRule="auto"/>
            </w:pPr>
            <w:r>
              <w:rPr>
                <w:rFonts w:ascii="Calibri" w:hAnsi="Calibri"/>
                <w:b w:val="0"/>
                <w:color w:val="000000"/>
                <w:sz w:val="19"/>
              </w:rPr>
              <w:t>Aula con controles Soflia</w:t>
            </w:r>
          </w:p>
        </w:tc>
        <w:tc>
          <w:tcPr>
            <w:tcW w:type="dxa" w:w="2664"/>
            <w:vAlign w:val="center"/>
            <w:shd w:fill="F2F5F7"/>
          </w:tcPr>
          <w:p>
            <w:pPr>
              <w:keepNext w:val="0"/>
              <w:spacing w:after="40" w:before="20" w:line="250" w:lineRule="auto"/>
            </w:pPr>
            <w:r>
              <w:rPr>
                <w:rFonts w:ascii="Calibri" w:hAnsi="Calibri"/>
                <w:b w:val="0"/>
                <w:color w:val="000000"/>
                <w:sz w:val="19"/>
              </w:rPr>
              <w:t>Video SDK</w:t>
            </w:r>
          </w:p>
        </w:tc>
        <w:tc>
          <w:tcPr>
            <w:tcW w:type="dxa" w:w="4882"/>
            <w:vAlign w:val="center"/>
            <w:shd w:fill="F2F5F7"/>
          </w:tcPr>
          <w:p>
            <w:pPr>
              <w:keepNext w:val="0"/>
              <w:spacing w:after="40" w:before="20" w:line="250" w:lineRule="auto"/>
            </w:pPr>
            <w:r>
              <w:rPr>
                <w:rFonts w:ascii="Calibri" w:hAnsi="Calibri"/>
                <w:b w:val="0"/>
                <w:color w:val="000000"/>
                <w:sz w:val="19"/>
              </w:rPr>
              <w:t>Cliente independiente con UI propia</w:t>
            </w:r>
          </w:p>
        </w:tc>
      </w:tr>
      <w:tr>
        <w:trPr>
          <w:cantSplit/>
        </w:trPr>
        <w:tc>
          <w:tcPr>
            <w:tcW w:type="dxa" w:w="2448"/>
            <w:vAlign w:val="center"/>
            <w:shd w:fill="FFFFFF"/>
          </w:tcPr>
          <w:p>
            <w:pPr>
              <w:keepNext w:val="0"/>
              <w:spacing w:after="40" w:before="20" w:line="250" w:lineRule="auto"/>
            </w:pPr>
            <w:r>
              <w:rPr>
                <w:rFonts w:ascii="Calibri" w:hAnsi="Calibri"/>
                <w:b w:val="0"/>
                <w:color w:val="000000"/>
                <w:sz w:val="19"/>
              </w:rPr>
              <w:t>Aula física</w:t>
            </w:r>
          </w:p>
        </w:tc>
        <w:tc>
          <w:tcPr>
            <w:tcW w:type="dxa" w:w="2664"/>
            <w:vAlign w:val="center"/>
            <w:shd w:fill="FFFFFF"/>
          </w:tcPr>
          <w:p>
            <w:pPr>
              <w:keepNext w:val="0"/>
              <w:spacing w:after="40" w:before="20" w:line="250" w:lineRule="auto"/>
            </w:pPr>
            <w:r>
              <w:rPr>
                <w:rFonts w:ascii="Calibri" w:hAnsi="Calibri"/>
                <w:b w:val="0"/>
                <w:color w:val="000000"/>
                <w:sz w:val="19"/>
              </w:rPr>
              <w:t>Zoom Rooms</w:t>
            </w:r>
          </w:p>
        </w:tc>
        <w:tc>
          <w:tcPr>
            <w:tcW w:type="dxa" w:w="4882"/>
            <w:vAlign w:val="center"/>
            <w:shd w:fill="FFFFFF"/>
          </w:tcPr>
          <w:p>
            <w:pPr>
              <w:keepNext w:val="0"/>
              <w:spacing w:after="40" w:before="20" w:line="250" w:lineRule="auto"/>
            </w:pPr>
            <w:r>
              <w:rPr>
                <w:rFonts w:ascii="Calibri" w:hAnsi="Calibri"/>
                <w:b w:val="0"/>
                <w:color w:val="000000"/>
                <w:sz w:val="19"/>
              </w:rPr>
              <w:t>Reserva y comandos autorizados del servidor</w:t>
            </w:r>
          </w:p>
        </w:tc>
      </w:tr>
      <w:tr>
        <w:trPr>
          <w:cantSplit/>
        </w:trPr>
        <w:tc>
          <w:tcPr>
            <w:tcW w:type="dxa" w:w="2448"/>
            <w:vAlign w:val="center"/>
            <w:shd w:fill="F2F5F7"/>
          </w:tcPr>
          <w:p>
            <w:pPr>
              <w:keepNext w:val="0"/>
              <w:spacing w:after="40" w:before="20" w:line="250" w:lineRule="auto"/>
            </w:pPr>
            <w:r>
              <w:rPr>
                <w:rFonts w:ascii="Calibri" w:hAnsi="Calibri"/>
                <w:b w:val="0"/>
                <w:color w:val="000000"/>
                <w:sz w:val="19"/>
              </w:rPr>
              <w:t>Equipos de trabajo</w:t>
            </w:r>
          </w:p>
        </w:tc>
        <w:tc>
          <w:tcPr>
            <w:tcW w:type="dxa" w:w="2664"/>
            <w:vAlign w:val="center"/>
            <w:shd w:fill="F2F5F7"/>
          </w:tcPr>
          <w:p>
            <w:pPr>
              <w:keepNext w:val="0"/>
              <w:spacing w:after="40" w:before="20" w:line="250" w:lineRule="auto"/>
            </w:pPr>
            <w:r>
              <w:rPr>
                <w:rFonts w:ascii="Calibri" w:hAnsi="Calibri"/>
                <w:b w:val="0"/>
                <w:color w:val="000000"/>
                <w:sz w:val="19"/>
              </w:rPr>
              <w:t>Breakouts o subsessions</w:t>
            </w:r>
          </w:p>
        </w:tc>
        <w:tc>
          <w:tcPr>
            <w:tcW w:type="dxa" w:w="4882"/>
            <w:vAlign w:val="center"/>
            <w:shd w:fill="F2F5F7"/>
          </w:tcPr>
          <w:p>
            <w:pPr>
              <w:keepNext w:val="0"/>
              <w:spacing w:after="40" w:before="20" w:line="250" w:lineRule="auto"/>
            </w:pPr>
            <w:r>
              <w:rPr>
                <w:rFonts w:ascii="Calibri" w:hAnsi="Calibri"/>
                <w:b w:val="0"/>
                <w:color w:val="000000"/>
                <w:sz w:val="19"/>
              </w:rPr>
              <w:t>Función del proveedor de la clase</w:t>
            </w:r>
          </w:p>
        </w:tc>
      </w:tr>
    </w:tbl>
    <w:p>
      <w:pPr>
        <w:spacing w:after="40" w:before="0" w:line="40" w:lineRule="exact"/>
      </w:pPr>
      <w:r>
        <w:rPr>
          <w:sz w:val="4"/>
        </w:rPr>
      </w:r>
    </w:p>
    <w:p>
      <w:pPr>
        <w:pStyle w:val="Heading2"/>
      </w:pPr>
      <w:r>
        <w:t>Contrato de adaptación</w:t>
      </w:r>
    </w:p>
    <w:p>
      <w:pPr>
        <w:spacing w:after="140" w:line="245" w:lineRule="auto"/>
      </w:pPr>
      <w:r>
        <w:rPr>
          <w:rFonts w:ascii="Consolas" w:hAnsi="Consolas"/>
          <w:sz w:val="18"/>
        </w:rPr>
        <w:t>LiveProvider</w:t>
        <w:br/>
      </w:r>
      <w:r>
        <w:rPr>
          <w:rFonts w:ascii="Consolas" w:hAnsi="Consolas"/>
          <w:sz w:val="18"/>
        </w:rPr>
        <w:t xml:space="preserve">  capabilities(context)</w:t>
        <w:br/>
      </w:r>
      <w:r>
        <w:rPr>
          <w:rFonts w:ascii="Consolas" w:hAnsi="Consolas"/>
          <w:sz w:val="18"/>
        </w:rPr>
        <w:t xml:space="preserve">  schedule(input, operationId)</w:t>
        <w:br/>
      </w:r>
      <w:r>
        <w:rPr>
          <w:rFonts w:ascii="Consolas" w:hAnsi="Consolas"/>
          <w:sz w:val="18"/>
        </w:rPr>
        <w:t xml:space="preserve">  updateSchedule(resource, input, operationId)</w:t>
        <w:br/>
      </w:r>
      <w:r>
        <w:rPr>
          <w:rFonts w:ascii="Consolas" w:hAnsi="Consolas"/>
          <w:sz w:val="18"/>
        </w:rPr>
        <w:t xml:space="preserve">  getJoinCredentials(session, actor)</w:t>
        <w:br/>
      </w:r>
      <w:r>
        <w:rPr>
          <w:rFonts w:ascii="Consolas" w:hAnsi="Consolas"/>
          <w:sz w:val="18"/>
        </w:rPr>
        <w:t xml:space="preserve">  cancel(resource, operationId)</w:t>
        <w:br/>
      </w:r>
      <w:r>
        <w:rPr>
          <w:rFonts w:ascii="Consolas" w:hAnsi="Consolas"/>
          <w:sz w:val="18"/>
        </w:rPr>
        <w:t xml:space="preserve">  end(resource, operationId)</w:t>
        <w:br/>
      </w:r>
      <w:r>
        <w:rPr>
          <w:rFonts w:ascii="Consolas" w:hAnsi="Consolas"/>
          <w:sz w:val="18"/>
        </w:rPr>
        <w:t xml:space="preserve">  reconcile(resource)</w:t>
        <w:br/>
      </w:r>
    </w:p>
    <w:p>
      <w:r>
        <w:t>El contrato deberá devolver capacidades explícitas. Un evento puede devolver un enlace individual; Video SDK reserva agenda local y crea su sesión bajo demanda. Rooms tendrá un servicio de recursos físicos separado. El estado académico no se confundirá con práctica, emisión, procesamiento de grabación o conexión del usuario.</w:t>
      </w:r>
    </w:p>
    <w:p>
      <w:r>
        <w:t>Meeting SDK y Video SDK no son interoperables. El modo de acceso no dependerá únicamente del nombre del producto: también se evaluarán rol, navegador, registro y capacidades admitidas en la versión fijada.</w:t>
      </w:r>
    </w:p>
    <w:p>
      <w:pPr>
        <w:spacing w:after="80"/>
      </w:pPr>
      <w:r>
        <w:rPr>
          <w:sz w:val="18"/>
        </w:rPr>
        <w:t xml:space="preserve">Referencia oficial  </w:t>
      </w:r>
      <w:hyperlink r:id="rId12">
        <w:r>
          <w:rPr>
            <w:color w:val="234D70"/>
            <w:u w:val="single"/>
          </w:rPr>
          <w:t>Z04 Funciones de Component View</w:t>
        </w:r>
      </w:hyperlink>
      <w:r>
        <w:t xml:space="preserve">  |  </w:t>
      </w:r>
      <w:hyperlink r:id="rId11">
        <w:r>
          <w:rPr>
            <w:color w:val="234D70"/>
            <w:u w:val="single"/>
          </w:rPr>
          <w:t>Z07 Autorización Video SDK</w:t>
        </w:r>
      </w:hyperlink>
    </w:p>
    <w:p>
      <w:r>
        <w:br w:type="page"/>
      </w:r>
    </w:p>
    <w:p>
      <w:pPr>
        <w:pStyle w:val="Heading1"/>
      </w:pPr>
      <w:r>
        <w:t>3 Datos y migración compatible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3125"/>
        <w:gridCol w:w="6869"/>
      </w:tblGrid>
      <w:tr>
        <w:trPr>
          <w:tblHeader w:val="true"/>
          <w:cantSplit/>
        </w:trPr>
        <w:tc>
          <w:tcPr>
            <w:tcW w:type="dxa" w:w="3125"/>
            <w:vAlign w:val="center"/>
            <w:shd w:fill="233E54"/>
          </w:tcPr>
          <w:p>
            <w:pPr>
              <w:keepNext w:val="0"/>
              <w:spacing w:after="40" w:before="20" w:line="250" w:lineRule="auto"/>
            </w:pPr>
            <w:r>
              <w:rPr>
                <w:rFonts w:ascii="Calibri" w:hAnsi="Calibri"/>
                <w:b/>
                <w:color w:val="FFFFFF"/>
                <w:sz w:val="19"/>
              </w:rPr>
              <w:t>Entidad propuesta</w:t>
            </w:r>
          </w:p>
        </w:tc>
        <w:tc>
          <w:tcPr>
            <w:tcW w:type="dxa" w:w="6869"/>
            <w:vAlign w:val="center"/>
            <w:shd w:fill="233E54"/>
          </w:tcPr>
          <w:p>
            <w:pPr>
              <w:keepNext w:val="0"/>
              <w:spacing w:after="40" w:before="20" w:line="250" w:lineRule="auto"/>
            </w:pPr>
            <w:r>
              <w:rPr>
                <w:rFonts w:ascii="Calibri" w:hAnsi="Calibri"/>
                <w:b/>
                <w:color w:val="FFFFFF"/>
                <w:sz w:val="19"/>
              </w:rPr>
              <w:t>Datos y restricción principal</w:t>
            </w:r>
          </w:p>
        </w:tc>
      </w:tr>
      <w:tr>
        <w:trPr>
          <w:cantSplit/>
        </w:trPr>
        <w:tc>
          <w:tcPr>
            <w:tcW w:type="dxa" w:w="3125"/>
            <w:vAlign w:val="center"/>
            <w:shd w:fill="FFFFFF"/>
          </w:tcPr>
          <w:p>
            <w:pPr>
              <w:keepNext w:val="0"/>
              <w:spacing w:after="40" w:before="20" w:line="250" w:lineRule="auto"/>
            </w:pPr>
            <w:r>
              <w:rPr>
                <w:rFonts w:ascii="Calibri" w:hAnsi="Calibri"/>
                <w:b w:val="0"/>
                <w:color w:val="000000"/>
                <w:sz w:val="19"/>
              </w:rPr>
              <w:t>zoom_connections</w:t>
            </w:r>
          </w:p>
        </w:tc>
        <w:tc>
          <w:tcPr>
            <w:tcW w:type="dxa" w:w="6869"/>
            <w:vAlign w:val="center"/>
            <w:shd w:fill="FFFFFF"/>
          </w:tcPr>
          <w:p>
            <w:pPr>
              <w:keepNext w:val="0"/>
              <w:spacing w:after="40" w:before="20" w:line="250" w:lineRule="auto"/>
            </w:pPr>
            <w:r>
              <w:rPr>
                <w:rFonts w:ascii="Calibri" w:hAnsi="Calibri"/>
                <w:b w:val="0"/>
                <w:color w:val="000000"/>
                <w:sz w:val="19"/>
              </w:rPr>
              <w:t>Organización, cuenta Zoom, autorización, scopes y referencia protegida a secretos</w:t>
            </w:r>
          </w:p>
        </w:tc>
      </w:tr>
      <w:tr>
        <w:trPr>
          <w:cantSplit/>
        </w:trPr>
        <w:tc>
          <w:tcPr>
            <w:tcW w:type="dxa" w:w="3125"/>
            <w:vAlign w:val="center"/>
            <w:shd w:fill="F2F5F7"/>
          </w:tcPr>
          <w:p>
            <w:pPr>
              <w:keepNext w:val="0"/>
              <w:spacing w:after="40" w:before="20" w:line="250" w:lineRule="auto"/>
            </w:pPr>
            <w:r>
              <w:rPr>
                <w:rFonts w:ascii="Calibri" w:hAnsi="Calibri"/>
                <w:b w:val="0"/>
                <w:color w:val="000000"/>
                <w:sz w:val="19"/>
              </w:rPr>
              <w:t>zoom_host_bindings</w:t>
            </w:r>
          </w:p>
        </w:tc>
        <w:tc>
          <w:tcPr>
            <w:tcW w:type="dxa" w:w="6869"/>
            <w:vAlign w:val="center"/>
            <w:shd w:fill="F2F5F7"/>
          </w:tcPr>
          <w:p>
            <w:pPr>
              <w:keepNext w:val="0"/>
              <w:spacing w:after="40" w:before="20" w:line="250" w:lineRule="auto"/>
            </w:pPr>
            <w:r>
              <w:rPr>
                <w:rFonts w:ascii="Calibri" w:hAnsi="Calibri"/>
                <w:b w:val="0"/>
                <w:color w:val="000000"/>
                <w:sz w:val="19"/>
              </w:rPr>
              <w:t>Usuario Soflia, conexión, ID Zoom canónico, aprobación y capacidades</w:t>
            </w:r>
          </w:p>
        </w:tc>
      </w:tr>
      <w:tr>
        <w:trPr>
          <w:cantSplit/>
        </w:trPr>
        <w:tc>
          <w:tcPr>
            <w:tcW w:type="dxa" w:w="3125"/>
            <w:vAlign w:val="center"/>
            <w:shd w:fill="FFFFFF"/>
          </w:tcPr>
          <w:p>
            <w:pPr>
              <w:keepNext w:val="0"/>
              <w:spacing w:after="40" w:before="20" w:line="250" w:lineRule="auto"/>
            </w:pPr>
            <w:r>
              <w:rPr>
                <w:rFonts w:ascii="Calibri" w:hAnsi="Calibri"/>
                <w:b w:val="0"/>
                <w:color w:val="000000"/>
                <w:sz w:val="19"/>
              </w:rPr>
              <w:t>live_sessions</w:t>
            </w:r>
          </w:p>
        </w:tc>
        <w:tc>
          <w:tcPr>
            <w:tcW w:type="dxa" w:w="6869"/>
            <w:vAlign w:val="center"/>
            <w:shd w:fill="FFFFFF"/>
          </w:tcPr>
          <w:p>
            <w:pPr>
              <w:keepNext w:val="0"/>
              <w:spacing w:after="40" w:before="20" w:line="250" w:lineRule="auto"/>
            </w:pPr>
            <w:r>
              <w:rPr>
                <w:rFonts w:ascii="Calibri" w:hAnsi="Calibri"/>
                <w:b w:val="0"/>
                <w:color w:val="000000"/>
                <w:sz w:val="19"/>
              </w:rPr>
              <w:t>Agregar provider, session_kind, timezone y connection_id al estado académico</w:t>
            </w:r>
          </w:p>
        </w:tc>
      </w:tr>
      <w:tr>
        <w:trPr>
          <w:cantSplit/>
        </w:trPr>
        <w:tc>
          <w:tcPr>
            <w:tcW w:type="dxa" w:w="3125"/>
            <w:vAlign w:val="center"/>
            <w:shd w:fill="F2F5F7"/>
          </w:tcPr>
          <w:p>
            <w:pPr>
              <w:keepNext w:val="0"/>
              <w:spacing w:after="40" w:before="20" w:line="250" w:lineRule="auto"/>
            </w:pPr>
            <w:r>
              <w:rPr>
                <w:rFonts w:ascii="Calibri" w:hAnsi="Calibri"/>
                <w:b w:val="0"/>
                <w:color w:val="000000"/>
                <w:sz w:val="19"/>
              </w:rPr>
              <w:t>live_provider_resources</w:t>
            </w:r>
          </w:p>
        </w:tc>
        <w:tc>
          <w:tcPr>
            <w:tcW w:type="dxa" w:w="6869"/>
            <w:vAlign w:val="center"/>
            <w:shd w:fill="F2F5F7"/>
          </w:tcPr>
          <w:p>
            <w:pPr>
              <w:keepNext w:val="0"/>
              <w:spacing w:after="40" w:before="20" w:line="250" w:lineRule="auto"/>
            </w:pPr>
            <w:r>
              <w:rPr>
                <w:rFonts w:ascii="Calibri" w:hAnsi="Calibri"/>
                <w:b w:val="0"/>
                <w:color w:val="000000"/>
                <w:sz w:val="19"/>
              </w:rPr>
              <w:t>Tipo e ID remoto por conexión; estado de sincronización y anfitrión</w:t>
            </w:r>
          </w:p>
        </w:tc>
      </w:tr>
      <w:tr>
        <w:trPr>
          <w:cantSplit/>
        </w:trPr>
        <w:tc>
          <w:tcPr>
            <w:tcW w:type="dxa" w:w="3125"/>
            <w:vAlign w:val="center"/>
            <w:shd w:fill="FFFFFF"/>
          </w:tcPr>
          <w:p>
            <w:pPr>
              <w:keepNext w:val="0"/>
              <w:spacing w:after="40" w:before="20" w:line="250" w:lineRule="auto"/>
            </w:pPr>
            <w:r>
              <w:rPr>
                <w:rFonts w:ascii="Calibri" w:hAnsi="Calibri"/>
                <w:b w:val="0"/>
                <w:color w:val="000000"/>
                <w:sz w:val="19"/>
              </w:rPr>
              <w:t>live_session_instances</w:t>
            </w:r>
          </w:p>
        </w:tc>
        <w:tc>
          <w:tcPr>
            <w:tcW w:type="dxa" w:w="6869"/>
            <w:vAlign w:val="center"/>
            <w:shd w:fill="FFFFFF"/>
          </w:tcPr>
          <w:p>
            <w:pPr>
              <w:keepNext w:val="0"/>
              <w:spacing w:after="40" w:before="20" w:line="250" w:lineRule="auto"/>
            </w:pPr>
            <w:r>
              <w:rPr>
                <w:rFonts w:ascii="Calibri" w:hAnsi="Calibri"/>
                <w:b w:val="0"/>
                <w:color w:val="000000"/>
                <w:sz w:val="19"/>
              </w:rPr>
              <w:t>UUID de instancia, occurrence ID e inicio y fin efectivos</w:t>
            </w:r>
          </w:p>
        </w:tc>
      </w:tr>
      <w:tr>
        <w:trPr>
          <w:cantSplit/>
        </w:trPr>
        <w:tc>
          <w:tcPr>
            <w:tcW w:type="dxa" w:w="3125"/>
            <w:vAlign w:val="center"/>
            <w:shd w:fill="F2F5F7"/>
          </w:tcPr>
          <w:p>
            <w:pPr>
              <w:keepNext w:val="0"/>
              <w:spacing w:after="40" w:before="20" w:line="250" w:lineRule="auto"/>
            </w:pPr>
            <w:r>
              <w:rPr>
                <w:rFonts w:ascii="Calibri" w:hAnsi="Calibri"/>
                <w:b w:val="0"/>
                <w:color w:val="000000"/>
                <w:sz w:val="19"/>
              </w:rPr>
              <w:t>live_registrations</w:t>
            </w:r>
          </w:p>
        </w:tc>
        <w:tc>
          <w:tcPr>
            <w:tcW w:type="dxa" w:w="6869"/>
            <w:vAlign w:val="center"/>
            <w:shd w:fill="F2F5F7"/>
          </w:tcPr>
          <w:p>
            <w:pPr>
              <w:keepNext w:val="0"/>
              <w:spacing w:after="40" w:before="20" w:line="250" w:lineRule="auto"/>
            </w:pPr>
            <w:r>
              <w:rPr>
                <w:rFonts w:ascii="Calibri" w:hAnsi="Calibri"/>
                <w:b w:val="0"/>
                <w:color w:val="000000"/>
                <w:sz w:val="19"/>
              </w:rPr>
              <w:t>Usuario, registrant o ticket ID y referencia privada al acceso</w:t>
            </w:r>
          </w:p>
        </w:tc>
      </w:tr>
      <w:tr>
        <w:trPr>
          <w:cantSplit/>
        </w:trPr>
        <w:tc>
          <w:tcPr>
            <w:tcW w:type="dxa" w:w="3125"/>
            <w:vAlign w:val="center"/>
            <w:shd w:fill="FFFFFF"/>
          </w:tcPr>
          <w:p>
            <w:pPr>
              <w:keepNext w:val="0"/>
              <w:spacing w:after="40" w:before="20" w:line="250" w:lineRule="auto"/>
            </w:pPr>
            <w:r>
              <w:rPr>
                <w:rFonts w:ascii="Calibri" w:hAnsi="Calibri"/>
                <w:b w:val="0"/>
                <w:color w:val="000000"/>
                <w:sz w:val="19"/>
              </w:rPr>
              <w:t>live_participant_intervals</w:t>
            </w:r>
          </w:p>
        </w:tc>
        <w:tc>
          <w:tcPr>
            <w:tcW w:type="dxa" w:w="6869"/>
            <w:vAlign w:val="center"/>
            <w:shd w:fill="FFFFFF"/>
          </w:tcPr>
          <w:p>
            <w:pPr>
              <w:keepNext w:val="0"/>
              <w:spacing w:after="40" w:before="20" w:line="250" w:lineRule="auto"/>
            </w:pPr>
            <w:r>
              <w:rPr>
                <w:rFonts w:ascii="Calibri" w:hAnsi="Calibri"/>
                <w:b w:val="0"/>
                <w:color w:val="000000"/>
                <w:sz w:val="19"/>
              </w:rPr>
              <w:t>Identidad local y remota, entradas, salidas y origen del registro</w:t>
            </w:r>
          </w:p>
        </w:tc>
      </w:tr>
      <w:tr>
        <w:trPr>
          <w:cantSplit/>
        </w:trPr>
        <w:tc>
          <w:tcPr>
            <w:tcW w:type="dxa" w:w="3125"/>
            <w:vAlign w:val="center"/>
            <w:shd w:fill="F2F5F7"/>
          </w:tcPr>
          <w:p>
            <w:pPr>
              <w:keepNext w:val="0"/>
              <w:spacing w:after="40" w:before="20" w:line="250" w:lineRule="auto"/>
            </w:pPr>
            <w:r>
              <w:rPr>
                <w:rFonts w:ascii="Calibri" w:hAnsi="Calibri"/>
                <w:b w:val="0"/>
                <w:color w:val="000000"/>
                <w:sz w:val="19"/>
              </w:rPr>
              <w:t>zoom_webhook_inbox</w:t>
            </w:r>
          </w:p>
        </w:tc>
        <w:tc>
          <w:tcPr>
            <w:tcW w:type="dxa" w:w="6869"/>
            <w:vAlign w:val="center"/>
            <w:shd w:fill="F2F5F7"/>
          </w:tcPr>
          <w:p>
            <w:pPr>
              <w:keepNext w:val="0"/>
              <w:spacing w:after="40" w:before="20" w:line="250" w:lineRule="auto"/>
            </w:pPr>
            <w:r>
              <w:rPr>
                <w:rFonts w:ascii="Calibri" w:hAnsi="Calibri"/>
                <w:b w:val="0"/>
                <w:color w:val="000000"/>
                <w:sz w:val="19"/>
              </w:rPr>
              <w:t>Clave de deduplicación, evento, cuenta, procesamiento y error</w:t>
            </w:r>
          </w:p>
        </w:tc>
      </w:tr>
      <w:tr>
        <w:trPr>
          <w:cantSplit/>
        </w:trPr>
        <w:tc>
          <w:tcPr>
            <w:tcW w:type="dxa" w:w="3125"/>
            <w:vAlign w:val="center"/>
            <w:shd w:fill="FFFFFF"/>
          </w:tcPr>
          <w:p>
            <w:pPr>
              <w:keepNext w:val="0"/>
              <w:spacing w:after="40" w:before="20" w:line="250" w:lineRule="auto"/>
            </w:pPr>
            <w:r>
              <w:rPr>
                <w:rFonts w:ascii="Calibri" w:hAnsi="Calibri"/>
                <w:b w:val="0"/>
                <w:color w:val="000000"/>
                <w:sz w:val="19"/>
              </w:rPr>
              <w:t>live_recordings</w:t>
            </w:r>
          </w:p>
        </w:tc>
        <w:tc>
          <w:tcPr>
            <w:tcW w:type="dxa" w:w="6869"/>
            <w:vAlign w:val="center"/>
            <w:shd w:fill="FFFFFF"/>
          </w:tcPr>
          <w:p>
            <w:pPr>
              <w:keepNext w:val="0"/>
              <w:spacing w:after="40" w:before="20" w:line="250" w:lineRule="auto"/>
            </w:pPr>
            <w:r>
              <w:rPr>
                <w:rFonts w:ascii="Calibri" w:hAnsi="Calibri"/>
                <w:b w:val="0"/>
                <w:color w:val="000000"/>
                <w:sz w:val="19"/>
              </w:rPr>
              <w:t>Archivo, procesamiento, almacenamiento, acceso y retención</w:t>
            </w:r>
          </w:p>
        </w:tc>
      </w:tr>
      <w:tr>
        <w:trPr>
          <w:cantSplit/>
        </w:trPr>
        <w:tc>
          <w:tcPr>
            <w:tcW w:type="dxa" w:w="3125"/>
            <w:vAlign w:val="center"/>
            <w:shd w:fill="F2F5F7"/>
          </w:tcPr>
          <w:p>
            <w:pPr>
              <w:keepNext w:val="0"/>
              <w:spacing w:after="40" w:before="20" w:line="250" w:lineRule="auto"/>
            </w:pPr>
            <w:r>
              <w:rPr>
                <w:rFonts w:ascii="Calibri" w:hAnsi="Calibri"/>
                <w:b w:val="0"/>
                <w:color w:val="000000"/>
                <w:sz w:val="19"/>
              </w:rPr>
              <w:t>live_events y grupos</w:t>
            </w:r>
          </w:p>
        </w:tc>
        <w:tc>
          <w:tcPr>
            <w:tcW w:type="dxa" w:w="6869"/>
            <w:vAlign w:val="center"/>
            <w:shd w:fill="F2F5F7"/>
          </w:tcPr>
          <w:p>
            <w:pPr>
              <w:keepNext w:val="0"/>
              <w:spacing w:after="40" w:before="20" w:line="250" w:lineRule="auto"/>
            </w:pPr>
            <w:r>
              <w:rPr>
                <w:rFonts w:ascii="Calibri" w:hAnsi="Calibri"/>
                <w:b w:val="0"/>
                <w:color w:val="000000"/>
                <w:sz w:val="19"/>
              </w:rPr>
              <w:t>Agenda de evento, curso por sesión y miembros de equipos</w:t>
            </w:r>
          </w:p>
        </w:tc>
      </w:tr>
    </w:tbl>
    <w:p>
      <w:pPr>
        <w:spacing w:after="40" w:before="0" w:line="40" w:lineRule="exact"/>
      </w:pPr>
      <w:r>
        <w:rPr>
          <w:sz w:val="4"/>
        </w:rPr>
      </w:r>
    </w:p>
    <w:p>
      <w:pPr>
        <w:pStyle w:val="Heading2"/>
      </w:pPr>
      <w:r>
        <w:t>Secuencia de migración</w:t>
      </w:r>
    </w:p>
    <w:p>
      <w:r>
        <w:t>1. Agregar tablas y columnas opcionales sin retirar el contrato vigente. Proteger secretos fuera de las tablas Realtime.</w:t>
      </w:r>
    </w:p>
    <w:p>
      <w:r>
        <w:t>2. Asignar a los registros actuales provider zoom_meeting y tipo meeting. Resolver su conexión y host aprobado.</w:t>
      </w:r>
    </w:p>
    <w:p>
      <w:r>
        <w:t>3. Crear restricciones e índices por conexión y recurso. Revisar zoom_meeting_id unique antes de admitir recurrencias.</w:t>
      </w:r>
    </w:p>
    <w:p>
      <w:r>
        <w:t>4. Actualizar servicios y RPC con compatibilidad temporal. Regenerar los tipos Supabase y retirar duplicación de contratos.</w:t>
      </w:r>
    </w:p>
    <w:p>
      <w:r>
        <w:t>5. Probar migración y RLS entre dos organizaciones, lectura académica y ausencia de secretos en Realtime.</w:t>
      </w:r>
    </w:p>
    <w:p>
      <w:r>
        <w:t>El despliegue de base precederá al código que exige los nuevos campos. El rollback de aplicación conservará datos. No eliminar tablas ni recursos Zoom como parte de una reversión automática.</w:t>
      </w:r>
    </w:p>
    <w:p>
      <w:r>
        <w:br w:type="page"/>
      </w:r>
    </w:p>
    <w:p>
      <w:pPr>
        <w:pStyle w:val="Heading1"/>
      </w:pPr>
      <w:r>
        <w:t>4 Preparación y prueba de viabilidad</w:t>
      </w:r>
    </w:p>
    <w:p>
      <w:r>
        <w:t>La primera fase valida el entorno y las capacidades contratadas antes de desarrollar funciones que dependan de ellas. No requiere contratar todos los productos de Zoom.</w:t>
      </w:r>
    </w:p>
    <w:p>
      <w:pPr>
        <w:pStyle w:val="Heading2"/>
      </w:pPr>
      <w:r>
        <w:t>T00 Restaurar un entorno reproducible</w:t>
      </w:r>
    </w:p>
    <w:p>
      <w:pPr>
        <w:pStyle w:val="ListBullet"/>
      </w:pPr>
      <w:r>
        <w:t>Restaurar dependencias desde el lockfile y comprobar Meeting SDK 6.5.0 y PGlite. Registrar la versión de Node y el resultado de instalación.</w:t>
      </w:r>
    </w:p>
    <w:p>
      <w:pPr>
        <w:pStyle w:val="ListBullet"/>
      </w:pPr>
      <w:r>
        <w:t>Ejecutar pruebas Live, migración, RLS y check de compilación del SDK. La revisión anterior aprobó 13 pruebas; migración y compilación quedaron bloqueadas por dependencias locales ausentes.</w:t>
      </w:r>
    </w:p>
    <w:p>
      <w:pPr>
        <w:pStyle w:val="ListBullet"/>
      </w:pPr>
      <w:r>
        <w:t>Configurar staging, HTTPS, webhook, cuenta de prueba, dominio permitido y bandera de activación. No copiar credenciales a código o logs.</w:t>
      </w:r>
    </w:p>
    <w:p>
      <w:pPr>
        <w:pStyle w:val="Heading2"/>
      </w:pPr>
      <w:r>
        <w:t>T01 Comprobar capacidades de la cuenta</w:t>
      </w:r>
    </w:p>
    <w:p>
      <w:r>
        <w:t>Crear un manifiesto por operación con licencia, scope, endpoint, rol, modo de acceso y evidencia. Verificar al menos host de Meetings, token ZAK, pantalla, subtítulos y concurrencia. Ampliarlo para Webinars, Events o Rooms cuando entren en el alcance.</w:t>
      </w:r>
    </w:p>
    <w:p>
      <w:pPr>
        <w:pStyle w:val="Heading2"/>
      </w:pPr>
      <w:r>
        <w:t>T02 Ejecutar una clase mínima real</w:t>
      </w:r>
    </w:p>
    <w:p>
      <w:r>
        <w:t>Preparar la prueba con docente y alumno y registrar bloqueos de acceso, cámara y media. Aplicar T03 y T04 antes de cerrar la demo en E1. Entonces comprobar audio/video, pantalla, cierre desde Zoom, estado Live y reconexión. La preparación E0 puede concluir con bloqueos documentados y corrección asignada.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232"/>
        <w:gridCol w:w="7762"/>
      </w:tblGrid>
      <w:tr>
        <w:trPr>
          <w:tblHeader w:val="true"/>
          <w:cantSplit/>
        </w:trPr>
        <w:tc>
          <w:tcPr>
            <w:tcW w:type="dxa" w:w="2232"/>
            <w:vAlign w:val="center"/>
            <w:shd w:fill="233E54"/>
          </w:tcPr>
          <w:p>
            <w:pPr>
              <w:keepNext w:val="0"/>
              <w:spacing w:after="40" w:before="20" w:line="250" w:lineRule="auto"/>
            </w:pPr>
            <w:r>
              <w:rPr>
                <w:rFonts w:ascii="Calibri" w:hAnsi="Calibri"/>
                <w:b/>
                <w:color w:val="FFFFFF"/>
                <w:sz w:val="19"/>
              </w:rPr>
              <w:t>Evidencia de salida</w:t>
            </w:r>
          </w:p>
        </w:tc>
        <w:tc>
          <w:tcPr>
            <w:tcW w:type="dxa" w:w="7762"/>
            <w:vAlign w:val="center"/>
            <w:shd w:fill="233E54"/>
          </w:tcPr>
          <w:p>
            <w:pPr>
              <w:keepNext w:val="0"/>
              <w:spacing w:after="40" w:before="20" w:line="250" w:lineRule="auto"/>
            </w:pPr>
            <w:r>
              <w:rPr>
                <w:rFonts w:ascii="Calibri" w:hAnsi="Calibri"/>
                <w:b/>
                <w:color w:val="FFFFFF"/>
                <w:sz w:val="19"/>
              </w:rPr>
              <w:t>Resultado que permite continuar</w:t>
            </w:r>
          </w:p>
        </w:tc>
      </w:tr>
      <w:tr>
        <w:trPr>
          <w:cantSplit/>
        </w:trPr>
        <w:tc>
          <w:tcPr>
            <w:tcW w:type="dxa" w:w="2232"/>
            <w:vAlign w:val="center"/>
            <w:shd w:fill="FFFFFF"/>
          </w:tcPr>
          <w:p>
            <w:pPr>
              <w:keepNext w:val="0"/>
              <w:spacing w:after="40" w:before="20" w:line="250" w:lineRule="auto"/>
            </w:pPr>
            <w:r>
              <w:rPr>
                <w:rFonts w:ascii="Calibri" w:hAnsi="Calibri"/>
                <w:b w:val="0"/>
                <w:color w:val="000000"/>
                <w:sz w:val="19"/>
              </w:rPr>
              <w:t>Entorno</w:t>
            </w:r>
          </w:p>
        </w:tc>
        <w:tc>
          <w:tcPr>
            <w:tcW w:type="dxa" w:w="7762"/>
            <w:vAlign w:val="center"/>
            <w:shd w:fill="FFFFFF"/>
          </w:tcPr>
          <w:p>
            <w:pPr>
              <w:keepNext w:val="0"/>
              <w:spacing w:after="40" w:before="20" w:line="250" w:lineRule="auto"/>
            </w:pPr>
            <w:r>
              <w:rPr>
                <w:rFonts w:ascii="Calibri" w:hAnsi="Calibri"/>
                <w:b w:val="0"/>
                <w:color w:val="000000"/>
                <w:sz w:val="19"/>
              </w:rPr>
              <w:t>Dependencias y pruebas de migración/SDK ejecutables</w:t>
            </w:r>
          </w:p>
        </w:tc>
      </w:tr>
      <w:tr>
        <w:trPr>
          <w:cantSplit/>
        </w:trPr>
        <w:tc>
          <w:tcPr>
            <w:tcW w:type="dxa" w:w="2232"/>
            <w:vAlign w:val="center"/>
            <w:shd w:fill="F2F5F7"/>
          </w:tcPr>
          <w:p>
            <w:pPr>
              <w:keepNext w:val="0"/>
              <w:spacing w:after="40" w:before="20" w:line="250" w:lineRule="auto"/>
            </w:pPr>
            <w:r>
              <w:rPr>
                <w:rFonts w:ascii="Calibri" w:hAnsi="Calibri"/>
                <w:b w:val="0"/>
                <w:color w:val="000000"/>
                <w:sz w:val="19"/>
              </w:rPr>
              <w:t>Acceso</w:t>
            </w:r>
          </w:p>
        </w:tc>
        <w:tc>
          <w:tcPr>
            <w:tcW w:type="dxa" w:w="7762"/>
            <w:vAlign w:val="center"/>
            <w:shd w:fill="F2F5F7"/>
          </w:tcPr>
          <w:p>
            <w:pPr>
              <w:keepNext w:val="0"/>
              <w:spacing w:after="40" w:before="20" w:line="250" w:lineRule="auto"/>
            </w:pPr>
            <w:r>
              <w:rPr>
                <w:rFonts w:ascii="Calibri" w:hAnsi="Calibri"/>
                <w:b w:val="0"/>
                <w:color w:val="000000"/>
                <w:sz w:val="19"/>
              </w:rPr>
              <w:t>Vínculos y roles definidos; validación final en E1</w:t>
            </w:r>
          </w:p>
        </w:tc>
      </w:tr>
      <w:tr>
        <w:trPr>
          <w:cantSplit/>
        </w:trPr>
        <w:tc>
          <w:tcPr>
            <w:tcW w:type="dxa" w:w="2232"/>
            <w:vAlign w:val="center"/>
            <w:shd w:fill="FFFFFF"/>
          </w:tcPr>
          <w:p>
            <w:pPr>
              <w:keepNext w:val="0"/>
              <w:spacing w:after="40" w:before="20" w:line="250" w:lineRule="auto"/>
            </w:pPr>
            <w:r>
              <w:rPr>
                <w:rFonts w:ascii="Calibri" w:hAnsi="Calibri"/>
                <w:b w:val="0"/>
                <w:color w:val="000000"/>
                <w:sz w:val="19"/>
              </w:rPr>
              <w:t>Media</w:t>
            </w:r>
          </w:p>
        </w:tc>
        <w:tc>
          <w:tcPr>
            <w:tcW w:type="dxa" w:w="7762"/>
            <w:vAlign w:val="center"/>
            <w:shd w:fill="FFFFFF"/>
          </w:tcPr>
          <w:p>
            <w:pPr>
              <w:keepNext w:val="0"/>
              <w:spacing w:after="40" w:before="20" w:line="250" w:lineRule="auto"/>
            </w:pPr>
            <w:r>
              <w:rPr>
                <w:rFonts w:ascii="Calibri" w:hAnsi="Calibri"/>
                <w:b w:val="0"/>
                <w:color w:val="000000"/>
                <w:sz w:val="19"/>
              </w:rPr>
              <w:t>Bloqueos identificados; demo completa tras T03 y T04</w:t>
            </w:r>
          </w:p>
        </w:tc>
      </w:tr>
      <w:tr>
        <w:trPr>
          <w:cantSplit/>
        </w:trPr>
        <w:tc>
          <w:tcPr>
            <w:tcW w:type="dxa" w:w="2232"/>
            <w:vAlign w:val="center"/>
            <w:shd w:fill="F2F5F7"/>
          </w:tcPr>
          <w:p>
            <w:pPr>
              <w:keepNext w:val="0"/>
              <w:spacing w:after="40" w:before="20" w:line="250" w:lineRule="auto"/>
            </w:pPr>
            <w:r>
              <w:rPr>
                <w:rFonts w:ascii="Calibri" w:hAnsi="Calibri"/>
                <w:b w:val="0"/>
                <w:color w:val="000000"/>
                <w:sz w:val="19"/>
              </w:rPr>
              <w:t>Estado</w:t>
            </w:r>
          </w:p>
        </w:tc>
        <w:tc>
          <w:tcPr>
            <w:tcW w:type="dxa" w:w="7762"/>
            <w:vAlign w:val="center"/>
            <w:shd w:fill="F2F5F7"/>
          </w:tcPr>
          <w:p>
            <w:pPr>
              <w:keepNext w:val="0"/>
              <w:spacing w:after="40" w:before="20" w:line="250" w:lineRule="auto"/>
            </w:pPr>
            <w:r>
              <w:rPr>
                <w:rFonts w:ascii="Calibri" w:hAnsi="Calibri"/>
                <w:b w:val="0"/>
                <w:color w:val="000000"/>
                <w:sz w:val="19"/>
              </w:rPr>
              <w:t>Criterios de inicio, cierre y recuperación acordados</w:t>
            </w:r>
          </w:p>
        </w:tc>
      </w:tr>
    </w:tbl>
    <w:p>
      <w:pPr>
        <w:spacing w:after="40" w:before="0" w:line="40" w:lineRule="exact"/>
      </w:pPr>
      <w:r>
        <w:rPr>
          <w:sz w:val="4"/>
        </w:rPr>
      </w:r>
    </w:p>
    <w:p>
      <w:r>
        <w:t>Responsables propuestos: desarrollo para entorno y prueba; administrador Zoom para cuenta y permisos; producto para alcance. Los nombres se asignarán al iniciar la ejecución.</w:t>
      </w:r>
    </w:p>
    <w:p>
      <w:pPr>
        <w:spacing w:after="80"/>
      </w:pPr>
      <w:r>
        <w:rPr>
          <w:sz w:val="18"/>
        </w:rPr>
        <w:t xml:space="preserve">Referencia oficial  </w:t>
      </w:r>
      <w:hyperlink r:id="rId13">
        <w:r>
          <w:rPr>
            <w:color w:val="234D70"/>
            <w:u w:val="single"/>
          </w:rPr>
          <w:t>Z01 Zoom API y límites</w:t>
        </w:r>
      </w:hyperlink>
      <w:r>
        <w:t xml:space="preserve">  |  </w:t>
      </w:r>
      <w:hyperlink r:id="rId14">
        <w:r>
          <w:rPr>
            <w:color w:val="234D70"/>
            <w:u w:val="single"/>
          </w:rPr>
          <w:t>Z05 Compatibilidad de navegador</w:t>
        </w:r>
      </w:hyperlink>
    </w:p>
    <w:p>
      <w:r>
        <w:br w:type="page"/>
      </w:r>
    </w:p>
    <w:p>
      <w:pPr>
        <w:pStyle w:val="Heading1"/>
      </w:pPr>
      <w:r>
        <w:t>5 Seguridad y autenticación del anfitrión</w:t>
      </w:r>
    </w:p>
    <w:p>
      <w:pPr>
        <w:pStyle w:val="Heading2"/>
      </w:pPr>
      <w:r>
        <w:t>T03 Habilitar cámara únicamente en el aula</w:t>
      </w:r>
    </w:p>
    <w:p>
      <w:r>
        <w:t>La configuración global aplica camera=(). Añadiremos una excepción de ruta con camera=(self), microphone=(self) y display-capture=(self). Se validará la cabecera final y su precedencia en Next; el resto de rutas conservará su política. Revisaremos CSP, COOP/COEP y popups de autorización con la configuración efectiva del SDK.</w:t>
      </w:r>
    </w:p>
    <w:p>
      <w:pPr>
        <w:pStyle w:val="Heading2"/>
      </w:pPr>
      <w:r>
        <w:t>T04 Vincular anfitriones aprobados</w:t>
      </w:r>
    </w:p>
    <w:p>
      <w:r>
        <w:t>Sustituiremos la asignación libre de zoom_user_id por una selección de anfitriones aprobados para la conexión y organización. El servidor consultará Zoom, resolverá el ID canónico y validará cuenta, estado y capacidad antes de guardar. En una cuenta central compartida, la asignación de anfitriones a organizaciones corresponderá al administrador de plataforma.</w:t>
      </w:r>
    </w:p>
    <w:p>
      <w:r>
        <w:t>schedule.service y join.service repetirán la autorización sobre el vínculo activo. La creación comprobará el anfitrión devuelto por Zoom. Un administrador de organización no podrá seleccionar un anfitrión destinado a otra organización ni solicitar su ZAK.</w:t>
      </w:r>
    </w:p>
    <w:p>
      <w:pPr>
        <w:pStyle w:val="Heading2"/>
      </w:pPr>
      <w:r>
        <w:t>T05 Cache y errores de OAuth</w:t>
      </w:r>
    </w:p>
    <w:p>
      <w:r>
        <w:t>Separaremos autenticación, cliente HTTP y firmas del SDK. Cachearemos tokens por conexión con vencimiento y margen. La renovación será sincronizada para evitar solicitudes simultáneas. Conservaremos códigos útiles de Zoom, distinguiremos 401, 403, 404 y 429, y respetaremos Retry-After. Un POST incierto permanecerá conciliable; no se repetirá automáticamente.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3398"/>
        <w:gridCol w:w="6595"/>
      </w:tblGrid>
      <w:tr>
        <w:trPr>
          <w:tblHeader w:val="true"/>
          <w:cantSplit/>
        </w:trPr>
        <w:tc>
          <w:tcPr>
            <w:tcW w:type="dxa" w:w="3398"/>
            <w:vAlign w:val="center"/>
            <w:shd w:fill="233E54"/>
          </w:tcPr>
          <w:p>
            <w:pPr>
              <w:keepNext w:val="0"/>
              <w:spacing w:after="40" w:before="20" w:line="250" w:lineRule="auto"/>
            </w:pPr>
            <w:r>
              <w:rPr>
                <w:rFonts w:ascii="Calibri" w:hAnsi="Calibri"/>
                <w:b/>
                <w:color w:val="FFFFFF"/>
                <w:sz w:val="19"/>
              </w:rPr>
              <w:t>Prueba obligatoria</w:t>
            </w:r>
          </w:p>
        </w:tc>
        <w:tc>
          <w:tcPr>
            <w:tcW w:type="dxa" w:w="6595"/>
            <w:vAlign w:val="center"/>
            <w:shd w:fill="233E54"/>
          </w:tcPr>
          <w:p>
            <w:pPr>
              <w:keepNext w:val="0"/>
              <w:spacing w:after="40" w:before="20" w:line="250" w:lineRule="auto"/>
            </w:pPr>
            <w:r>
              <w:rPr>
                <w:rFonts w:ascii="Calibri" w:hAnsi="Calibri"/>
                <w:b/>
                <w:color w:val="FFFFFF"/>
                <w:sz w:val="19"/>
              </w:rPr>
              <w:t>Resultado</w:t>
            </w:r>
          </w:p>
        </w:tc>
      </w:tr>
      <w:tr>
        <w:trPr>
          <w:cantSplit/>
        </w:trPr>
        <w:tc>
          <w:tcPr>
            <w:tcW w:type="dxa" w:w="3398"/>
            <w:vAlign w:val="center"/>
            <w:shd w:fill="FFFFFF"/>
          </w:tcPr>
          <w:p>
            <w:pPr>
              <w:keepNext w:val="0"/>
              <w:spacing w:after="40" w:before="20" w:line="250" w:lineRule="auto"/>
            </w:pPr>
            <w:r>
              <w:rPr>
                <w:rFonts w:ascii="Calibri" w:hAnsi="Calibri"/>
                <w:b w:val="0"/>
                <w:color w:val="000000"/>
                <w:sz w:val="19"/>
              </w:rPr>
              <w:t>Host de otra organización</w:t>
            </w:r>
          </w:p>
        </w:tc>
        <w:tc>
          <w:tcPr>
            <w:tcW w:type="dxa" w:w="6595"/>
            <w:vAlign w:val="center"/>
            <w:shd w:fill="FFFFFF"/>
          </w:tcPr>
          <w:p>
            <w:pPr>
              <w:keepNext w:val="0"/>
              <w:spacing w:after="40" w:before="20" w:line="250" w:lineRule="auto"/>
            </w:pPr>
            <w:r>
              <w:rPr>
                <w:rFonts w:ascii="Calibri" w:hAnsi="Calibri"/>
                <w:b w:val="0"/>
                <w:color w:val="000000"/>
                <w:sz w:val="19"/>
              </w:rPr>
              <w:t>Rechazo antes de crear reunión o emitir ZAK</w:t>
            </w:r>
          </w:p>
        </w:tc>
      </w:tr>
      <w:tr>
        <w:trPr>
          <w:cantSplit/>
        </w:trPr>
        <w:tc>
          <w:tcPr>
            <w:tcW w:type="dxa" w:w="3398"/>
            <w:vAlign w:val="center"/>
            <w:shd w:fill="F2F5F7"/>
          </w:tcPr>
          <w:p>
            <w:pPr>
              <w:keepNext w:val="0"/>
              <w:spacing w:after="40" w:before="20" w:line="250" w:lineRule="auto"/>
            </w:pPr>
            <w:r>
              <w:rPr>
                <w:rFonts w:ascii="Calibri" w:hAnsi="Calibri"/>
                <w:b w:val="0"/>
                <w:color w:val="000000"/>
                <w:sz w:val="19"/>
              </w:rPr>
              <w:t>Rol manipulado por el cliente</w:t>
            </w:r>
          </w:p>
        </w:tc>
        <w:tc>
          <w:tcPr>
            <w:tcW w:type="dxa" w:w="6595"/>
            <w:vAlign w:val="center"/>
            <w:shd w:fill="F2F5F7"/>
          </w:tcPr>
          <w:p>
            <w:pPr>
              <w:keepNext w:val="0"/>
              <w:spacing w:after="40" w:before="20" w:line="250" w:lineRule="auto"/>
            </w:pPr>
            <w:r>
              <w:rPr>
                <w:rFonts w:ascii="Calibri" w:hAnsi="Calibri"/>
                <w:b w:val="0"/>
                <w:color w:val="000000"/>
                <w:sz w:val="19"/>
              </w:rPr>
              <w:t>Servidor conserva rol permitido</w:t>
            </w:r>
          </w:p>
        </w:tc>
      </w:tr>
      <w:tr>
        <w:trPr>
          <w:cantSplit/>
        </w:trPr>
        <w:tc>
          <w:tcPr>
            <w:tcW w:type="dxa" w:w="3398"/>
            <w:vAlign w:val="center"/>
            <w:shd w:fill="FFFFFF"/>
          </w:tcPr>
          <w:p>
            <w:pPr>
              <w:keepNext w:val="0"/>
              <w:spacing w:after="40" w:before="20" w:line="250" w:lineRule="auto"/>
            </w:pPr>
            <w:r>
              <w:rPr>
                <w:rFonts w:ascii="Calibri" w:hAnsi="Calibri"/>
                <w:b w:val="0"/>
                <w:color w:val="000000"/>
                <w:sz w:val="19"/>
              </w:rPr>
              <w:t>Token expirado y 429</w:t>
            </w:r>
          </w:p>
        </w:tc>
        <w:tc>
          <w:tcPr>
            <w:tcW w:type="dxa" w:w="6595"/>
            <w:vAlign w:val="center"/>
            <w:shd w:fill="FFFFFF"/>
          </w:tcPr>
          <w:p>
            <w:pPr>
              <w:keepNext w:val="0"/>
              <w:spacing w:after="40" w:before="20" w:line="250" w:lineRule="auto"/>
            </w:pPr>
            <w:r>
              <w:rPr>
                <w:rFonts w:ascii="Calibri" w:hAnsi="Calibri"/>
                <w:b w:val="0"/>
                <w:color w:val="000000"/>
                <w:sz w:val="19"/>
              </w:rPr>
              <w:t>Renovación o reintento acotado sin duplicar creación</w:t>
            </w:r>
          </w:p>
        </w:tc>
      </w:tr>
      <w:tr>
        <w:trPr>
          <w:cantSplit/>
        </w:trPr>
        <w:tc>
          <w:tcPr>
            <w:tcW w:type="dxa" w:w="3398"/>
            <w:vAlign w:val="center"/>
            <w:shd w:fill="F2F5F7"/>
          </w:tcPr>
          <w:p>
            <w:pPr>
              <w:keepNext w:val="0"/>
              <w:spacing w:after="40" w:before="20" w:line="250" w:lineRule="auto"/>
            </w:pPr>
            <w:r>
              <w:rPr>
                <w:rFonts w:ascii="Calibri" w:hAnsi="Calibri"/>
                <w:b w:val="0"/>
                <w:color w:val="000000"/>
                <w:sz w:val="19"/>
              </w:rPr>
              <w:t>Ruta del aula y ruta común</w:t>
            </w:r>
          </w:p>
        </w:tc>
        <w:tc>
          <w:tcPr>
            <w:tcW w:type="dxa" w:w="6595"/>
            <w:vAlign w:val="center"/>
            <w:shd w:fill="F2F5F7"/>
          </w:tcPr>
          <w:p>
            <w:pPr>
              <w:keepNext w:val="0"/>
              <w:spacing w:after="40" w:before="20" w:line="250" w:lineRule="auto"/>
            </w:pPr>
            <w:r>
              <w:rPr>
                <w:rFonts w:ascii="Calibri" w:hAnsi="Calibri"/>
                <w:b w:val="0"/>
                <w:color w:val="000000"/>
                <w:sz w:val="19"/>
              </w:rPr>
              <w:t>Cámara permitida solo en la excepción prevista</w:t>
            </w:r>
          </w:p>
        </w:tc>
      </w:tr>
    </w:tbl>
    <w:p>
      <w:pPr>
        <w:spacing w:after="40" w:before="0" w:line="40" w:lineRule="exact"/>
      </w:pPr>
      <w:r>
        <w:rPr>
          <w:sz w:val="4"/>
        </w:rPr>
      </w:r>
    </w:p>
    <w:p>
      <w:r>
        <w:t>Archivos principales: next-config/security-headers.js y headers.js; instructors.service.ts; schedule.service.ts; join.service.ts; zoom.server.ts. Prioridad P1 para cámara y aislamiento de anfitrión.</w:t>
      </w:r>
    </w:p>
    <w:p>
      <w:pPr>
        <w:spacing w:after="80"/>
      </w:pPr>
      <w:r>
        <w:rPr>
          <w:sz w:val="18"/>
        </w:rPr>
        <w:t xml:space="preserve">Referencia oficial  </w:t>
      </w:r>
      <w:hyperlink r:id="rId13">
        <w:r>
          <w:rPr>
            <w:color w:val="234D70"/>
            <w:u w:val="single"/>
          </w:rPr>
          <w:t>Z01 Zoom API y límites</w:t>
        </w:r>
      </w:hyperlink>
      <w:r>
        <w:t xml:space="preserve">  |  </w:t>
      </w:r>
      <w:hyperlink r:id="rId15">
        <w:r>
          <w:rPr>
            <w:color w:val="234D70"/>
            <w:u w:val="single"/>
          </w:rPr>
          <w:t>Z06 Autorización Meeting SDK</w:t>
        </w:r>
      </w:hyperlink>
    </w:p>
    <w:p>
      <w:r>
        <w:br w:type="page"/>
      </w:r>
    </w:p>
    <w:p>
      <w:pPr>
        <w:pStyle w:val="Heading1"/>
      </w:pPr>
      <w:r>
        <w:t>6 Reuniones y ciclo de vida</w:t>
      </w:r>
    </w:p>
    <w:p>
      <w:pPr>
        <w:pStyle w:val="Heading2"/>
      </w:pPr>
      <w:r>
        <w:t>T06 Programar y reprogramar</w:t>
      </w:r>
    </w:p>
    <w:p>
      <w:r>
        <w:t>Mantendremos request_id y la reserva transaccional. Añadiremos timezone del organizador, reserva del anfitrión y registro de operación. La operación remota se conciliará antes de decidir compensación. La edición tendrá control de versión para impedir que dos cambios sobrescriban horario o estado.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5011"/>
        <w:gridCol w:w="4982"/>
      </w:tblGrid>
      <w:tr>
        <w:trPr>
          <w:tblHeader w:val="true"/>
          <w:cantSplit/>
        </w:trPr>
        <w:tc>
          <w:tcPr>
            <w:tcW w:type="dxa" w:w="5011"/>
            <w:vAlign w:val="center"/>
            <w:shd w:fill="233E54"/>
          </w:tcPr>
          <w:p>
            <w:pPr>
              <w:keepNext w:val="0"/>
              <w:spacing w:after="40" w:before="20" w:line="250" w:lineRule="auto"/>
            </w:pPr>
            <w:r>
              <w:rPr>
                <w:rFonts w:ascii="Calibri" w:hAnsi="Calibri"/>
                <w:b/>
                <w:color w:val="FFFFFF"/>
                <w:sz w:val="19"/>
              </w:rPr>
              <w:t>Operación Zoom</w:t>
            </w:r>
          </w:p>
        </w:tc>
        <w:tc>
          <w:tcPr>
            <w:tcW w:type="dxa" w:w="4982"/>
            <w:vAlign w:val="center"/>
            <w:shd w:fill="233E54"/>
          </w:tcPr>
          <w:p>
            <w:pPr>
              <w:keepNext w:val="0"/>
              <w:spacing w:after="40" w:before="20" w:line="250" w:lineRule="auto"/>
            </w:pPr>
            <w:r>
              <w:rPr>
                <w:rFonts w:ascii="Calibri" w:hAnsi="Calibri"/>
                <w:b/>
                <w:color w:val="FFFFFF"/>
                <w:sz w:val="19"/>
              </w:rPr>
              <w:t>Uso</w:t>
            </w:r>
          </w:p>
        </w:tc>
      </w:tr>
      <w:tr>
        <w:trPr>
          <w:cantSplit/>
        </w:trPr>
        <w:tc>
          <w:tcPr>
            <w:tcW w:type="dxa" w:w="5011"/>
            <w:vAlign w:val="center"/>
            <w:shd w:fill="FFFFFF"/>
          </w:tcPr>
          <w:p>
            <w:pPr>
              <w:keepNext w:val="0"/>
              <w:spacing w:after="40" w:before="20" w:line="250" w:lineRule="auto"/>
            </w:pPr>
            <w:r>
              <w:rPr>
                <w:rFonts w:ascii="Calibri" w:hAnsi="Calibri"/>
                <w:b w:val="0"/>
                <w:color w:val="000000"/>
                <w:sz w:val="19"/>
              </w:rPr>
              <w:t>POST /users/{userId}/meetings</w:t>
            </w:r>
          </w:p>
        </w:tc>
        <w:tc>
          <w:tcPr>
            <w:tcW w:type="dxa" w:w="4982"/>
            <w:vAlign w:val="center"/>
            <w:shd w:fill="FFFFFF"/>
          </w:tcPr>
          <w:p>
            <w:pPr>
              <w:keepNext w:val="0"/>
              <w:spacing w:after="40" w:before="20" w:line="250" w:lineRule="auto"/>
            </w:pPr>
            <w:r>
              <w:rPr>
                <w:rFonts w:ascii="Calibri" w:hAnsi="Calibri"/>
                <w:b w:val="0"/>
                <w:color w:val="000000"/>
                <w:sz w:val="19"/>
              </w:rPr>
              <w:t>Crear reunión programada type 2</w:t>
            </w:r>
          </w:p>
        </w:tc>
      </w:tr>
      <w:tr>
        <w:trPr>
          <w:cantSplit/>
        </w:trPr>
        <w:tc>
          <w:tcPr>
            <w:tcW w:type="dxa" w:w="5011"/>
            <w:vAlign w:val="center"/>
            <w:shd w:fill="F2F5F7"/>
          </w:tcPr>
          <w:p>
            <w:pPr>
              <w:keepNext w:val="0"/>
              <w:spacing w:after="40" w:before="20" w:line="250" w:lineRule="auto"/>
            </w:pPr>
            <w:r>
              <w:rPr>
                <w:rFonts w:ascii="Calibri" w:hAnsi="Calibri"/>
                <w:b w:val="0"/>
                <w:color w:val="000000"/>
                <w:sz w:val="19"/>
              </w:rPr>
              <w:t>GET y PATCH /meetings/{meetingId}</w:t>
            </w:r>
          </w:p>
        </w:tc>
        <w:tc>
          <w:tcPr>
            <w:tcW w:type="dxa" w:w="4982"/>
            <w:vAlign w:val="center"/>
            <w:shd w:fill="F2F5F7"/>
          </w:tcPr>
          <w:p>
            <w:pPr>
              <w:keepNext w:val="0"/>
              <w:spacing w:after="40" w:before="20" w:line="250" w:lineRule="auto"/>
            </w:pPr>
            <w:r>
              <w:rPr>
                <w:rFonts w:ascii="Calibri" w:hAnsi="Calibri"/>
                <w:b w:val="0"/>
                <w:color w:val="000000"/>
                <w:sz w:val="19"/>
              </w:rPr>
              <w:t>Consultar y reprogramar</w:t>
            </w:r>
          </w:p>
        </w:tc>
      </w:tr>
      <w:tr>
        <w:trPr>
          <w:cantSplit/>
        </w:trPr>
        <w:tc>
          <w:tcPr>
            <w:tcW w:type="dxa" w:w="5011"/>
            <w:vAlign w:val="center"/>
            <w:shd w:fill="FFFFFF"/>
          </w:tcPr>
          <w:p>
            <w:pPr>
              <w:keepNext w:val="0"/>
              <w:spacing w:after="40" w:before="20" w:line="250" w:lineRule="auto"/>
            </w:pPr>
            <w:r>
              <w:rPr>
                <w:rFonts w:ascii="Calibri" w:hAnsi="Calibri"/>
                <w:b w:val="0"/>
                <w:color w:val="000000"/>
                <w:sz w:val="19"/>
              </w:rPr>
              <w:t>DELETE /meetings/{meetingId}</w:t>
            </w:r>
          </w:p>
        </w:tc>
        <w:tc>
          <w:tcPr>
            <w:tcW w:type="dxa" w:w="4982"/>
            <w:vAlign w:val="center"/>
            <w:shd w:fill="FFFFFF"/>
          </w:tcPr>
          <w:p>
            <w:pPr>
              <w:keepNext w:val="0"/>
              <w:spacing w:after="40" w:before="20" w:line="250" w:lineRule="auto"/>
            </w:pPr>
            <w:r>
              <w:rPr>
                <w:rFonts w:ascii="Calibri" w:hAnsi="Calibri"/>
                <w:b w:val="0"/>
                <w:color w:val="000000"/>
                <w:sz w:val="19"/>
              </w:rPr>
              <w:t>Cancelar recurso programado</w:t>
            </w:r>
          </w:p>
        </w:tc>
      </w:tr>
      <w:tr>
        <w:trPr>
          <w:cantSplit/>
        </w:trPr>
        <w:tc>
          <w:tcPr>
            <w:tcW w:type="dxa" w:w="5011"/>
            <w:vAlign w:val="center"/>
            <w:shd w:fill="F2F5F7"/>
          </w:tcPr>
          <w:p>
            <w:pPr>
              <w:keepNext w:val="0"/>
              <w:spacing w:after="40" w:before="20" w:line="250" w:lineRule="auto"/>
            </w:pPr>
            <w:r>
              <w:rPr>
                <w:rFonts w:ascii="Calibri" w:hAnsi="Calibri"/>
                <w:b w:val="0"/>
                <w:color w:val="000000"/>
                <w:sz w:val="19"/>
              </w:rPr>
              <w:t>PUT /meetings/{meetingId}/status</w:t>
            </w:r>
          </w:p>
        </w:tc>
        <w:tc>
          <w:tcPr>
            <w:tcW w:type="dxa" w:w="4982"/>
            <w:vAlign w:val="center"/>
            <w:shd w:fill="F2F5F7"/>
          </w:tcPr>
          <w:p>
            <w:pPr>
              <w:keepNext w:val="0"/>
              <w:spacing w:after="40" w:before="20" w:line="250" w:lineRule="auto"/>
            </w:pPr>
            <w:r>
              <w:rPr>
                <w:rFonts w:ascii="Calibri" w:hAnsi="Calibri"/>
                <w:b w:val="0"/>
                <w:color w:val="000000"/>
                <w:sz w:val="19"/>
              </w:rPr>
              <w:t>Finalizar la reunión</w:t>
            </w:r>
          </w:p>
        </w:tc>
      </w:tr>
      <w:tr>
        <w:trPr>
          <w:cantSplit/>
        </w:trPr>
        <w:tc>
          <w:tcPr>
            <w:tcW w:type="dxa" w:w="5011"/>
            <w:vAlign w:val="center"/>
            <w:shd w:fill="FFFFFF"/>
          </w:tcPr>
          <w:p>
            <w:pPr>
              <w:keepNext w:val="0"/>
              <w:spacing w:after="40" w:before="20" w:line="250" w:lineRule="auto"/>
            </w:pPr>
            <w:r>
              <w:rPr>
                <w:rFonts w:ascii="Calibri" w:hAnsi="Calibri"/>
                <w:b w:val="0"/>
                <w:color w:val="000000"/>
                <w:sz w:val="19"/>
              </w:rPr>
              <w:t>GET /users/{userId}/token?type=zak</w:t>
            </w:r>
          </w:p>
        </w:tc>
        <w:tc>
          <w:tcPr>
            <w:tcW w:type="dxa" w:w="4982"/>
            <w:vAlign w:val="center"/>
            <w:shd w:fill="FFFFFF"/>
          </w:tcPr>
          <w:p>
            <w:pPr>
              <w:keepNext w:val="0"/>
              <w:spacing w:after="40" w:before="20" w:line="250" w:lineRule="auto"/>
            </w:pPr>
            <w:r>
              <w:rPr>
                <w:rFonts w:ascii="Calibri" w:hAnsi="Calibri"/>
                <w:b w:val="0"/>
                <w:color w:val="000000"/>
                <w:sz w:val="19"/>
              </w:rPr>
              <w:t>Acceso del anfitrión autorizado</w:t>
            </w:r>
          </w:p>
        </w:tc>
      </w:tr>
    </w:tbl>
    <w:p>
      <w:pPr>
        <w:spacing w:after="40" w:before="0" w:line="40" w:lineRule="exact"/>
      </w:pPr>
      <w:r>
        <w:rPr>
          <w:sz w:val="4"/>
        </w:rPr>
      </w:r>
    </w:p>
    <w:p>
      <w:pPr>
        <w:pStyle w:val="Heading2"/>
      </w:pPr>
      <w:r>
        <w:t>T07 Entrada y estados de conexión</w:t>
      </w:r>
    </w:p>
    <w:p>
      <w:r>
        <w:t>Cada entrada verificará membresía, curso, sesión y vínculo del anfitrión. El servidor elegirá rol y modo de acceso. El cliente distinguirá preparación, conexión, espera, admisión, activo, reconexión y salida. Al reingresar eliminará listeners y cliente anterior; un desmontaje durante join no dejará media activa.</w:t>
      </w:r>
    </w:p>
    <w:p>
      <w:pPr>
        <w:pStyle w:val="Heading2"/>
      </w:pPr>
      <w:r>
        <w:t>T08 Sincronizar inicio y cierre</w:t>
      </w:r>
    </w:p>
    <w:p>
      <w:r>
        <w:t>Los eventos verificados y la conciliación mantendrán el estado remoto. El docente podrá iniciar desde Soflia o un cliente Zoom autorizado. Fin académico y cierre de reunión tendrán trazabilidad. Una sesión finalizada no se reabrirá por un evento de inicio retrasado.</w:t>
      </w:r>
    </w:p>
    <w:p>
      <w:r>
        <w:t>Para el primer alcance se conservarán reuniones individuales. Recurrencia será una entrega posterior con series e instancias; no se representarán varias ocurrencias reutilizando una fila incompatible con la restricción actual.</w:t>
      </w:r>
    </w:p>
    <w:p>
      <w:r>
        <w:t>Aceptación: creación, edición y cierre remoto; recuperación tras pérdida de respuesta HTTP/SQL; entrada rechazada fuera del alcance; cero reuniones duplicadas. Reserva de anfitrión según licencia y límites reales.</w:t>
      </w:r>
    </w:p>
    <w:p>
      <w:pPr>
        <w:spacing w:after="80"/>
      </w:pPr>
      <w:r>
        <w:rPr>
          <w:sz w:val="18"/>
        </w:rPr>
        <w:t xml:space="preserve">Referencia oficial  </w:t>
      </w:r>
      <w:hyperlink r:id="rId16">
        <w:r>
          <w:rPr>
            <w:color w:val="234D70"/>
            <w:u w:val="single"/>
          </w:rPr>
          <w:t>Z02 Zoom Meetings y Webinars API</w:t>
        </w:r>
      </w:hyperlink>
      <w:r>
        <w:t xml:space="preserve">  |  </w:t>
      </w:r>
      <w:hyperlink r:id="rId15">
        <w:r>
          <w:rPr>
            <w:color w:val="234D70"/>
            <w:u w:val="single"/>
          </w:rPr>
          <w:t>Z06 Autorización Meeting SDK</w:t>
        </w:r>
      </w:hyperlink>
    </w:p>
    <w:p>
      <w:r>
        <w:br w:type="page"/>
      </w:r>
    </w:p>
    <w:p>
      <w:pPr>
        <w:pStyle w:val="Heading1"/>
      </w:pPr>
      <w:r>
        <w:t>7 Pantalla compartida y experiencia del aula</w:t>
      </w:r>
    </w:p>
    <w:p>
      <w:r>
        <w:t>El primer alcance utilizará los controles públicos de Meeting SDK. El docente iniciará pantalla con un clic y elegirá pestaña, ventana o monitor en el selector del navegador. El permiso del documento no elimina la aprobación de la persona.</w:t>
      </w:r>
    </w:p>
    <w:p>
      <w:pPr>
        <w:pStyle w:val="Heading2"/>
      </w:pPr>
      <w:r>
        <w:t>T09 Política de presentación</w:t>
      </w:r>
    </w:p>
    <w:p>
      <w:r>
        <w:t>Producto elegirá docente únicamente, docente con presentadores autorizados o colaboración. La restricción se ejecutará en el proveedor y se reflejará en la interfaz. El alumno no adquirirá permiso por manipular la UI o enviar un rol en el request.</w:t>
      </w:r>
    </w:p>
    <w:p>
      <w:pPr>
        <w:pStyle w:val="Heading2"/>
      </w:pPr>
      <w:r>
        <w:t>T10 Distribución y compatibilidad</w:t>
      </w:r>
    </w:p>
    <w:p>
      <w:r>
        <w:t>Ajustaremos el área de presentación para lectura de diapositivas y acceso a chat/materiales. Añadiremos prueba previa de dispositivos y mensajes de permiso denegado, equipo incompatible o pérdida de conexión. No manipularemos el DOM interno de Zoom para fabricar controles propios.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952"/>
        <w:gridCol w:w="7042"/>
      </w:tblGrid>
      <w:tr>
        <w:trPr>
          <w:tblHeader w:val="true"/>
          <w:cantSplit/>
        </w:trPr>
        <w:tc>
          <w:tcPr>
            <w:tcW w:type="dxa" w:w="2952"/>
            <w:vAlign w:val="center"/>
            <w:shd w:fill="233E54"/>
          </w:tcPr>
          <w:p>
            <w:pPr>
              <w:keepNext w:val="0"/>
              <w:spacing w:after="40" w:before="20" w:line="250" w:lineRule="auto"/>
            </w:pPr>
            <w:r>
              <w:rPr>
                <w:rFonts w:ascii="Calibri" w:hAnsi="Calibri"/>
                <w:b/>
                <w:color w:val="FFFFFF"/>
                <w:sz w:val="19"/>
              </w:rPr>
              <w:t>Entorno</w:t>
            </w:r>
          </w:p>
        </w:tc>
        <w:tc>
          <w:tcPr>
            <w:tcW w:type="dxa" w:w="7042"/>
            <w:vAlign w:val="center"/>
            <w:shd w:fill="233E54"/>
          </w:tcPr>
          <w:p>
            <w:pPr>
              <w:keepNext w:val="0"/>
              <w:spacing w:after="40" w:before="20" w:line="250" w:lineRule="auto"/>
            </w:pPr>
            <w:r>
              <w:rPr>
                <w:rFonts w:ascii="Calibri" w:hAnsi="Calibri"/>
                <w:b/>
                <w:color w:val="FFFFFF"/>
                <w:sz w:val="19"/>
              </w:rPr>
              <w:t>Comportamiento que se debe verificar</w:t>
            </w:r>
          </w:p>
        </w:tc>
      </w:tr>
      <w:tr>
        <w:trPr>
          <w:cantSplit/>
        </w:trPr>
        <w:tc>
          <w:tcPr>
            <w:tcW w:type="dxa" w:w="2952"/>
            <w:vAlign w:val="center"/>
            <w:shd w:fill="FFFFFF"/>
          </w:tcPr>
          <w:p>
            <w:pPr>
              <w:keepNext w:val="0"/>
              <w:spacing w:after="40" w:before="20" w:line="250" w:lineRule="auto"/>
            </w:pPr>
            <w:r>
              <w:rPr>
                <w:rFonts w:ascii="Calibri" w:hAnsi="Calibri"/>
                <w:b w:val="0"/>
                <w:color w:val="000000"/>
                <w:sz w:val="19"/>
              </w:rPr>
              <w:t>Chrome y Edge escritorio</w:t>
            </w:r>
          </w:p>
        </w:tc>
        <w:tc>
          <w:tcPr>
            <w:tcW w:type="dxa" w:w="7042"/>
            <w:vAlign w:val="center"/>
            <w:shd w:fill="FFFFFF"/>
          </w:tcPr>
          <w:p>
            <w:pPr>
              <w:keepNext w:val="0"/>
              <w:spacing w:after="40" w:before="20" w:line="250" w:lineRule="auto"/>
            </w:pPr>
            <w:r>
              <w:rPr>
                <w:rFonts w:ascii="Calibri" w:hAnsi="Calibri"/>
                <w:b w:val="0"/>
                <w:color w:val="000000"/>
                <w:sz w:val="19"/>
              </w:rPr>
              <w:t>Pantalla y audio de presentación según navegador/OS</w:t>
            </w:r>
          </w:p>
        </w:tc>
      </w:tr>
      <w:tr>
        <w:trPr>
          <w:cantSplit/>
        </w:trPr>
        <w:tc>
          <w:tcPr>
            <w:tcW w:type="dxa" w:w="2952"/>
            <w:vAlign w:val="center"/>
            <w:shd w:fill="F2F5F7"/>
          </w:tcPr>
          <w:p>
            <w:pPr>
              <w:keepNext w:val="0"/>
              <w:spacing w:after="40" w:before="20" w:line="250" w:lineRule="auto"/>
            </w:pPr>
            <w:r>
              <w:rPr>
                <w:rFonts w:ascii="Calibri" w:hAnsi="Calibri"/>
                <w:b w:val="0"/>
                <w:color w:val="000000"/>
                <w:sz w:val="19"/>
              </w:rPr>
              <w:t>Firefox y Safari escritorio</w:t>
            </w:r>
          </w:p>
        </w:tc>
        <w:tc>
          <w:tcPr>
            <w:tcW w:type="dxa" w:w="7042"/>
            <w:vAlign w:val="center"/>
            <w:shd w:fill="F2F5F7"/>
          </w:tcPr>
          <w:p>
            <w:pPr>
              <w:keepNext w:val="0"/>
              <w:spacing w:after="40" w:before="20" w:line="250" w:lineRule="auto"/>
            </w:pPr>
            <w:r>
              <w:rPr>
                <w:rFonts w:ascii="Calibri" w:hAnsi="Calibri"/>
                <w:b w:val="0"/>
                <w:color w:val="000000"/>
                <w:sz w:val="19"/>
              </w:rPr>
              <w:t>Pantalla; explicar restricciones de audio</w:t>
            </w:r>
          </w:p>
        </w:tc>
      </w:tr>
      <w:tr>
        <w:trPr>
          <w:cantSplit/>
        </w:trPr>
        <w:tc>
          <w:tcPr>
            <w:tcW w:type="dxa" w:w="2952"/>
            <w:vAlign w:val="center"/>
            <w:shd w:fill="FFFFFF"/>
          </w:tcPr>
          <w:p>
            <w:pPr>
              <w:keepNext w:val="0"/>
              <w:spacing w:after="40" w:before="20" w:line="250" w:lineRule="auto"/>
            </w:pPr>
            <w:r>
              <w:rPr>
                <w:rFonts w:ascii="Calibri" w:hAnsi="Calibri"/>
                <w:b w:val="0"/>
                <w:color w:val="000000"/>
                <w:sz w:val="19"/>
              </w:rPr>
              <w:t>Móvil y tablet</w:t>
            </w:r>
          </w:p>
        </w:tc>
        <w:tc>
          <w:tcPr>
            <w:tcW w:type="dxa" w:w="7042"/>
            <w:vAlign w:val="center"/>
            <w:shd w:fill="FFFFFF"/>
          </w:tcPr>
          <w:p>
            <w:pPr>
              <w:keepNext w:val="0"/>
              <w:spacing w:after="40" w:before="20" w:line="250" w:lineRule="auto"/>
            </w:pPr>
            <w:r>
              <w:rPr>
                <w:rFonts w:ascii="Calibri" w:hAnsi="Calibri"/>
                <w:b w:val="0"/>
                <w:color w:val="000000"/>
                <w:sz w:val="19"/>
              </w:rPr>
              <w:t>Acceso alternativo a Component View; recepción de pantalla</w:t>
            </w:r>
          </w:p>
        </w:tc>
      </w:tr>
      <w:tr>
        <w:trPr>
          <w:cantSplit/>
        </w:trPr>
        <w:tc>
          <w:tcPr>
            <w:tcW w:type="dxa" w:w="2952"/>
            <w:vAlign w:val="center"/>
            <w:shd w:fill="F2F5F7"/>
          </w:tcPr>
          <w:p>
            <w:pPr>
              <w:keepNext w:val="0"/>
              <w:spacing w:after="40" w:before="20" w:line="250" w:lineRule="auto"/>
            </w:pPr>
            <w:r>
              <w:rPr>
                <w:rFonts w:ascii="Calibri" w:hAnsi="Calibri"/>
                <w:b w:val="0"/>
                <w:color w:val="000000"/>
                <w:sz w:val="19"/>
              </w:rPr>
              <w:t>Meeting SDK web móvil</w:t>
            </w:r>
          </w:p>
        </w:tc>
        <w:tc>
          <w:tcPr>
            <w:tcW w:type="dxa" w:w="7042"/>
            <w:vAlign w:val="center"/>
            <w:shd w:fill="F2F5F7"/>
          </w:tcPr>
          <w:p>
            <w:pPr>
              <w:keepNext w:val="0"/>
              <w:spacing w:after="40" w:before="20" w:line="250" w:lineRule="auto"/>
            </w:pPr>
            <w:r>
              <w:rPr>
                <w:rFonts w:ascii="Calibri" w:hAnsi="Calibri"/>
                <w:b w:val="0"/>
                <w:color w:val="000000"/>
                <w:sz w:val="19"/>
              </w:rPr>
              <w:t>No ofrecer envío de pantalla como capacidad disponible</w:t>
            </w:r>
          </w:p>
        </w:tc>
      </w:tr>
    </w:tbl>
    <w:p>
      <w:pPr>
        <w:spacing w:after="40" w:before="0" w:line="40" w:lineRule="exact"/>
      </w:pPr>
      <w:r>
        <w:rPr>
          <w:sz w:val="4"/>
        </w:rPr>
      </w:r>
    </w:p>
    <w:p>
      <w:pPr>
        <w:pStyle w:val="Heading2"/>
      </w:pPr>
      <w:r>
        <w:t>Pruebas de aceptación de pantalla</w:t>
      </w:r>
    </w:p>
    <w:p>
      <w:pPr>
        <w:pStyle w:val="ListBullet"/>
      </w:pPr>
      <w:r>
        <w:t>Docente comparte diapositivas; alumno las recibe y conserva interacción académica.</w:t>
      </w:r>
    </w:p>
    <w:p>
      <w:pPr>
        <w:pStyle w:val="ListBullet"/>
      </w:pPr>
      <w:r>
        <w:t>La presentación con sonido se verifica en los entornos que admiten captura de audio.</w:t>
      </w:r>
    </w:p>
    <w:p>
      <w:pPr>
        <w:pStyle w:val="ListBullet"/>
      </w:pPr>
      <w:r>
        <w:t>Cancelar el selector, detener desde navegador, desconectarse y cambiar de presentador deja la UI coherente.</w:t>
      </w:r>
    </w:p>
    <w:p>
      <w:pPr>
        <w:pStyle w:val="ListBullet"/>
      </w:pPr>
      <w:r>
        <w:t>Un alumno sin permiso no comparte; la revocación de un presentador conectado tiene efecto.</w:t>
      </w:r>
    </w:p>
    <w:p>
      <w:r>
        <w:t>El resultado de la matriz se documentará con versión de navegador, OS y SDK. Si se requieren botones multimedia totalmente propios, se ejecutará la entrega Video SDK de la sección 11.</w:t>
      </w:r>
    </w:p>
    <w:p>
      <w:pPr>
        <w:spacing w:after="80"/>
      </w:pPr>
      <w:r>
        <w:rPr>
          <w:sz w:val="18"/>
        </w:rPr>
        <w:t xml:space="preserve">Referencia oficial  </w:t>
      </w:r>
      <w:hyperlink r:id="rId12">
        <w:r>
          <w:rPr>
            <w:color w:val="234D70"/>
            <w:u w:val="single"/>
          </w:rPr>
          <w:t>Z04 Funciones de Component View</w:t>
        </w:r>
      </w:hyperlink>
      <w:r>
        <w:t xml:space="preserve">  |  </w:t>
      </w:r>
      <w:hyperlink r:id="rId14">
        <w:r>
          <w:rPr>
            <w:color w:val="234D70"/>
            <w:u w:val="single"/>
          </w:rPr>
          <w:t>Z05 Compatibilidad de navegador</w:t>
        </w:r>
      </w:hyperlink>
      <w:r>
        <w:t xml:space="preserve">  |  </w:t>
      </w:r>
      <w:hyperlink r:id="rId17">
        <w:r>
          <w:rPr>
            <w:color w:val="234D70"/>
            <w:u w:val="single"/>
          </w:rPr>
          <w:t>Z08 Screen share Video SDK</w:t>
        </w:r>
      </w:hyperlink>
    </w:p>
    <w:p>
      <w:r>
        <w:br w:type="page"/>
      </w:r>
    </w:p>
    <w:p>
      <w:pPr>
        <w:pStyle w:val="Heading1"/>
      </w:pPr>
      <w:r>
        <w:t>8 Eventos duraderos y asistencia verificable</w:t>
      </w:r>
    </w:p>
    <w:p>
      <w:pPr>
        <w:pStyle w:val="Heading2"/>
      </w:pPr>
      <w:r>
        <w:t>T11 Bandeja de webhook y worker</w:t>
      </w:r>
    </w:p>
    <w:p>
      <w:r>
        <w:t>El handler verificará HMAC sobre el body original, ventana temporal y cuenta asociada a una conexión. Guardará una entrega duradera con clave de deduplicación antes de confirmar. Un worker procesará el cambio, registrará intentos y enviará fallos permanentes a revisión. Zoom solicita confirmación dentro de tres segundos.</w:t>
      </w:r>
    </w:p>
    <w:p>
      <w:r>
        <w:t>La clave combinará los identificadores estables disponibles y un hash del payload. Conservaremos UUID de instancia, event_ts y tiempos de recepción. No dependeremos de un event ID que no exista en todos los payloads. Las reglas impedirán que duplicados o eventos antiguos reviertan un estado final.</w:t>
      </w:r>
    </w:p>
    <w:p>
      <w:pPr>
        <w:pStyle w:val="Heading2"/>
      </w:pPr>
      <w:r>
        <w:t>T12 Conciliación y operaciones inciertas</w:t>
      </w:r>
    </w:p>
    <w:p>
      <w:r>
        <w:t>Una tarea conciliará solicitudes pending/uncertain, recursos remotos sin confirmación local y sesiones activas sin señales. Agregaremos correlación de operación cuando la API lo admita. Si no se puede identificar un recurso con certeza, se enviará a revisión; no borrar ni recrear recursos por coincidencia de título.</w:t>
      </w:r>
    </w:p>
    <w:p>
      <w:pPr>
        <w:pStyle w:val="Heading2"/>
      </w:pPr>
      <w:r>
        <w:t>T13 Participación y certificados</w:t>
      </w:r>
    </w:p>
    <w:p>
      <w:r>
        <w:t>Conservaremos presencia de página como indicador independiente. Para participación, registraremos entradas/salidas del proveedor y conciliación posterior cuando el plan lo permita. El nombre visible no prueba identidad. El mapeo usará registro o identificadores verificados y marcará los casos no correlacionados.</w:t>
      </w:r>
    </w:p>
    <w:p>
      <w:r>
        <w:t>Calcularemos unión de intervalos por usuario/instancia para evitar doble conteo por reconexiones o varios dispositivos. Producto definirá umbral, excepciones y efecto en certificados. Ninguna señal de navegador se convertirá automáticamente en minutos acreditados.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3096"/>
        <w:gridCol w:w="6898"/>
      </w:tblGrid>
      <w:tr>
        <w:trPr>
          <w:tblHeader w:val="true"/>
          <w:cantSplit/>
        </w:trPr>
        <w:tc>
          <w:tcPr>
            <w:tcW w:type="dxa" w:w="3096"/>
            <w:vAlign w:val="center"/>
            <w:shd w:fill="233E54"/>
          </w:tcPr>
          <w:p>
            <w:pPr>
              <w:keepNext w:val="0"/>
              <w:spacing w:after="40" w:before="20" w:line="250" w:lineRule="auto"/>
            </w:pPr>
            <w:r>
              <w:rPr>
                <w:rFonts w:ascii="Calibri" w:hAnsi="Calibri"/>
                <w:b/>
                <w:color w:val="FFFFFF"/>
                <w:sz w:val="19"/>
              </w:rPr>
              <w:t>Prueba</w:t>
            </w:r>
          </w:p>
        </w:tc>
        <w:tc>
          <w:tcPr>
            <w:tcW w:type="dxa" w:w="6898"/>
            <w:vAlign w:val="center"/>
            <w:shd w:fill="233E54"/>
          </w:tcPr>
          <w:p>
            <w:pPr>
              <w:keepNext w:val="0"/>
              <w:spacing w:after="40" w:before="20" w:line="250" w:lineRule="auto"/>
            </w:pPr>
            <w:r>
              <w:rPr>
                <w:rFonts w:ascii="Calibri" w:hAnsi="Calibri"/>
                <w:b/>
                <w:color w:val="FFFFFF"/>
                <w:sz w:val="19"/>
              </w:rPr>
              <w:t>Resultado esperado</w:t>
            </w:r>
          </w:p>
        </w:tc>
      </w:tr>
      <w:tr>
        <w:trPr>
          <w:cantSplit/>
        </w:trPr>
        <w:tc>
          <w:tcPr>
            <w:tcW w:type="dxa" w:w="3096"/>
            <w:vAlign w:val="center"/>
            <w:shd w:fill="FFFFFF"/>
          </w:tcPr>
          <w:p>
            <w:pPr>
              <w:keepNext w:val="0"/>
              <w:spacing w:after="40" w:before="20" w:line="250" w:lineRule="auto"/>
            </w:pPr>
            <w:r>
              <w:rPr>
                <w:rFonts w:ascii="Calibri" w:hAnsi="Calibri"/>
                <w:b w:val="0"/>
                <w:color w:val="000000"/>
                <w:sz w:val="19"/>
              </w:rPr>
              <w:t>Webhook duplicado o desordenado</w:t>
            </w:r>
          </w:p>
        </w:tc>
        <w:tc>
          <w:tcPr>
            <w:tcW w:type="dxa" w:w="6898"/>
            <w:vAlign w:val="center"/>
            <w:shd w:fill="FFFFFF"/>
          </w:tcPr>
          <w:p>
            <w:pPr>
              <w:keepNext w:val="0"/>
              <w:spacing w:after="40" w:before="20" w:line="250" w:lineRule="auto"/>
            </w:pPr>
            <w:r>
              <w:rPr>
                <w:rFonts w:ascii="Calibri" w:hAnsi="Calibri"/>
                <w:b w:val="0"/>
                <w:color w:val="000000"/>
                <w:sz w:val="19"/>
              </w:rPr>
              <w:t>Un efecto válido y trazabilidad del descarte</w:t>
            </w:r>
          </w:p>
        </w:tc>
      </w:tr>
      <w:tr>
        <w:trPr>
          <w:cantSplit/>
        </w:trPr>
        <w:tc>
          <w:tcPr>
            <w:tcW w:type="dxa" w:w="3096"/>
            <w:vAlign w:val="center"/>
            <w:shd w:fill="F2F5F7"/>
          </w:tcPr>
          <w:p>
            <w:pPr>
              <w:keepNext w:val="0"/>
              <w:spacing w:after="40" w:before="20" w:line="250" w:lineRule="auto"/>
            </w:pPr>
            <w:r>
              <w:rPr>
                <w:rFonts w:ascii="Calibri" w:hAnsi="Calibri"/>
                <w:b w:val="0"/>
                <w:color w:val="000000"/>
                <w:sz w:val="19"/>
              </w:rPr>
              <w:t>Worker detenido y reiniciado</w:t>
            </w:r>
          </w:p>
        </w:tc>
        <w:tc>
          <w:tcPr>
            <w:tcW w:type="dxa" w:w="6898"/>
            <w:vAlign w:val="center"/>
            <w:shd w:fill="F2F5F7"/>
          </w:tcPr>
          <w:p>
            <w:pPr>
              <w:keepNext w:val="0"/>
              <w:spacing w:after="40" w:before="20" w:line="250" w:lineRule="auto"/>
            </w:pPr>
            <w:r>
              <w:rPr>
                <w:rFonts w:ascii="Calibri" w:hAnsi="Calibri"/>
                <w:b w:val="0"/>
                <w:color w:val="000000"/>
                <w:sz w:val="19"/>
              </w:rPr>
              <w:t>Entregas pendientes recuperadas</w:t>
            </w:r>
          </w:p>
        </w:tc>
      </w:tr>
      <w:tr>
        <w:trPr>
          <w:cantSplit/>
        </w:trPr>
        <w:tc>
          <w:tcPr>
            <w:tcW w:type="dxa" w:w="3096"/>
            <w:vAlign w:val="center"/>
            <w:shd w:fill="FFFFFF"/>
          </w:tcPr>
          <w:p>
            <w:pPr>
              <w:keepNext w:val="0"/>
              <w:spacing w:after="40" w:before="20" w:line="250" w:lineRule="auto"/>
            </w:pPr>
            <w:r>
              <w:rPr>
                <w:rFonts w:ascii="Calibri" w:hAnsi="Calibri"/>
                <w:b w:val="0"/>
                <w:color w:val="000000"/>
                <w:sz w:val="19"/>
              </w:rPr>
              <w:t>Reconexión y doble dispositivo</w:t>
            </w:r>
          </w:p>
        </w:tc>
        <w:tc>
          <w:tcPr>
            <w:tcW w:type="dxa" w:w="6898"/>
            <w:vAlign w:val="center"/>
            <w:shd w:fill="FFFFFF"/>
          </w:tcPr>
          <w:p>
            <w:pPr>
              <w:keepNext w:val="0"/>
              <w:spacing w:after="40" w:before="20" w:line="250" w:lineRule="auto"/>
            </w:pPr>
            <w:r>
              <w:rPr>
                <w:rFonts w:ascii="Calibri" w:hAnsi="Calibri"/>
                <w:b w:val="0"/>
                <w:color w:val="000000"/>
                <w:sz w:val="19"/>
              </w:rPr>
              <w:t>Intervalos unidos sin asistencia duplicada</w:t>
            </w:r>
          </w:p>
        </w:tc>
      </w:tr>
      <w:tr>
        <w:trPr>
          <w:cantSplit/>
        </w:trPr>
        <w:tc>
          <w:tcPr>
            <w:tcW w:type="dxa" w:w="3096"/>
            <w:vAlign w:val="center"/>
            <w:shd w:fill="F2F5F7"/>
          </w:tcPr>
          <w:p>
            <w:pPr>
              <w:keepNext w:val="0"/>
              <w:spacing w:after="40" w:before="20" w:line="250" w:lineRule="auto"/>
            </w:pPr>
            <w:r>
              <w:rPr>
                <w:rFonts w:ascii="Calibri" w:hAnsi="Calibri"/>
                <w:b w:val="0"/>
                <w:color w:val="000000"/>
                <w:sz w:val="19"/>
              </w:rPr>
              <w:t>Identidad sin correspondencia</w:t>
            </w:r>
          </w:p>
        </w:tc>
        <w:tc>
          <w:tcPr>
            <w:tcW w:type="dxa" w:w="6898"/>
            <w:vAlign w:val="center"/>
            <w:shd w:fill="F2F5F7"/>
          </w:tcPr>
          <w:p>
            <w:pPr>
              <w:keepNext w:val="0"/>
              <w:spacing w:after="40" w:before="20" w:line="250" w:lineRule="auto"/>
            </w:pPr>
            <w:r>
              <w:rPr>
                <w:rFonts w:ascii="Calibri" w:hAnsi="Calibri"/>
                <w:b w:val="0"/>
                <w:color w:val="000000"/>
                <w:sz w:val="19"/>
              </w:rPr>
              <w:t>Registro pendiente sin acreditación automática</w:t>
            </w:r>
          </w:p>
        </w:tc>
      </w:tr>
    </w:tbl>
    <w:p>
      <w:pPr>
        <w:spacing w:after="40" w:before="0" w:line="40" w:lineRule="exact"/>
      </w:pPr>
      <w:r>
        <w:rPr>
          <w:sz w:val="4"/>
        </w:rPr>
      </w:r>
    </w:p>
    <w:p>
      <w:pPr>
        <w:spacing w:after="80"/>
      </w:pPr>
      <w:r>
        <w:rPr>
          <w:sz w:val="18"/>
        </w:rPr>
        <w:t xml:space="preserve">Referencia oficial  </w:t>
      </w:r>
      <w:hyperlink r:id="rId18">
        <w:r>
          <w:rPr>
            <w:color w:val="234D70"/>
            <w:u w:val="single"/>
          </w:rPr>
          <w:t>Z12 Webhooks Zoom</w:t>
        </w:r>
      </w:hyperlink>
    </w:p>
    <w:p>
      <w:r>
        <w:br w:type="page"/>
      </w:r>
    </w:p>
    <w:p>
      <w:pPr>
        <w:pStyle w:val="Heading1"/>
      </w:pPr>
      <w:r>
        <w:t>9 Webinars y control de audiencia</w:t>
      </w:r>
    </w:p>
    <w:p>
      <w:pPr>
        <w:pStyle w:val="Heading2"/>
      </w:pPr>
      <w:r>
        <w:t>T14 Registro y permisos</w:t>
      </w:r>
    </w:p>
    <w:p>
      <w:r>
        <w:t>Añadiremos session_kind webinar y validación de licencia del host. El contrato distinguirá anfitrión, panelista y asistente. Emitir role 1 no convierte a un panelista en anfitrión; el acceso será coherente con su registro y permisos del recurso.</w:t>
      </w:r>
    </w:p>
    <w:p>
      <w:r>
        <w:t>El SDK recibirá userEmail y, cuando corresponda, tk obtenido de la URL individual de registro. Estos accesos se guardarán en almacenamiento privado y se devolverán al usuario autorizado. El host iniciará con ZAK de su vínculo activo.</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4536"/>
        <w:gridCol w:w="5458"/>
      </w:tblGrid>
      <w:tr>
        <w:trPr>
          <w:tblHeader w:val="true"/>
          <w:cantSplit/>
        </w:trPr>
        <w:tc>
          <w:tcPr>
            <w:tcW w:type="dxa" w:w="4536"/>
            <w:vAlign w:val="center"/>
            <w:shd w:fill="233E54"/>
          </w:tcPr>
          <w:p>
            <w:pPr>
              <w:keepNext w:val="0"/>
              <w:spacing w:after="40" w:before="20" w:line="250" w:lineRule="auto"/>
            </w:pPr>
            <w:r>
              <w:rPr>
                <w:rFonts w:ascii="Calibri" w:hAnsi="Calibri"/>
                <w:b/>
                <w:color w:val="FFFFFF"/>
                <w:sz w:val="19"/>
              </w:rPr>
              <w:t>Operación</w:t>
            </w:r>
          </w:p>
        </w:tc>
        <w:tc>
          <w:tcPr>
            <w:tcW w:type="dxa" w:w="5458"/>
            <w:vAlign w:val="center"/>
            <w:shd w:fill="233E54"/>
          </w:tcPr>
          <w:p>
            <w:pPr>
              <w:keepNext w:val="0"/>
              <w:spacing w:after="40" w:before="20" w:line="250" w:lineRule="auto"/>
            </w:pPr>
            <w:r>
              <w:rPr>
                <w:rFonts w:ascii="Calibri" w:hAnsi="Calibri"/>
                <w:b/>
                <w:color w:val="FFFFFF"/>
                <w:sz w:val="19"/>
              </w:rPr>
              <w:t>Trabajo</w:t>
            </w:r>
          </w:p>
        </w:tc>
      </w:tr>
      <w:tr>
        <w:trPr>
          <w:cantSplit/>
        </w:trPr>
        <w:tc>
          <w:tcPr>
            <w:tcW w:type="dxa" w:w="4536"/>
            <w:vAlign w:val="center"/>
            <w:shd w:fill="FFFFFF"/>
          </w:tcPr>
          <w:p>
            <w:pPr>
              <w:keepNext w:val="0"/>
              <w:spacing w:after="40" w:before="20" w:line="250" w:lineRule="auto"/>
            </w:pPr>
            <w:r>
              <w:rPr>
                <w:rFonts w:ascii="Calibri" w:hAnsi="Calibri"/>
                <w:b w:val="0"/>
                <w:color w:val="000000"/>
                <w:sz w:val="19"/>
              </w:rPr>
              <w:t>POST /users/{userId}/webinars</w:t>
            </w:r>
          </w:p>
        </w:tc>
        <w:tc>
          <w:tcPr>
            <w:tcW w:type="dxa" w:w="5458"/>
            <w:vAlign w:val="center"/>
            <w:shd w:fill="FFFFFF"/>
          </w:tcPr>
          <w:p>
            <w:pPr>
              <w:keepNext w:val="0"/>
              <w:spacing w:after="40" w:before="20" w:line="250" w:lineRule="auto"/>
            </w:pPr>
            <w:r>
              <w:rPr>
                <w:rFonts w:ascii="Calibri" w:hAnsi="Calibri"/>
                <w:b w:val="0"/>
                <w:color w:val="000000"/>
                <w:sz w:val="19"/>
              </w:rPr>
              <w:t>Crear webinar con host habilitado</w:t>
            </w:r>
          </w:p>
        </w:tc>
      </w:tr>
      <w:tr>
        <w:trPr>
          <w:cantSplit/>
        </w:trPr>
        <w:tc>
          <w:tcPr>
            <w:tcW w:type="dxa" w:w="4536"/>
            <w:vAlign w:val="center"/>
            <w:shd w:fill="F2F5F7"/>
          </w:tcPr>
          <w:p>
            <w:pPr>
              <w:keepNext w:val="0"/>
              <w:spacing w:after="40" w:before="20" w:line="250" w:lineRule="auto"/>
            </w:pPr>
            <w:r>
              <w:rPr>
                <w:rFonts w:ascii="Calibri" w:hAnsi="Calibri"/>
                <w:b w:val="0"/>
                <w:color w:val="000000"/>
                <w:sz w:val="19"/>
              </w:rPr>
              <w:t>/webinars/{webinarId}</w:t>
            </w:r>
          </w:p>
        </w:tc>
        <w:tc>
          <w:tcPr>
            <w:tcW w:type="dxa" w:w="5458"/>
            <w:vAlign w:val="center"/>
            <w:shd w:fill="F2F5F7"/>
          </w:tcPr>
          <w:p>
            <w:pPr>
              <w:keepNext w:val="0"/>
              <w:spacing w:after="40" w:before="20" w:line="250" w:lineRule="auto"/>
            </w:pPr>
            <w:r>
              <w:rPr>
                <w:rFonts w:ascii="Calibri" w:hAnsi="Calibri"/>
                <w:b w:val="0"/>
                <w:color w:val="000000"/>
                <w:sz w:val="19"/>
              </w:rPr>
              <w:t>Consulta, actualización y cancelación</w:t>
            </w:r>
          </w:p>
        </w:tc>
      </w:tr>
      <w:tr>
        <w:trPr>
          <w:cantSplit/>
        </w:trPr>
        <w:tc>
          <w:tcPr>
            <w:tcW w:type="dxa" w:w="4536"/>
            <w:vAlign w:val="center"/>
            <w:shd w:fill="FFFFFF"/>
          </w:tcPr>
          <w:p>
            <w:pPr>
              <w:keepNext w:val="0"/>
              <w:spacing w:after="40" w:before="20" w:line="250" w:lineRule="auto"/>
            </w:pPr>
            <w:r>
              <w:rPr>
                <w:rFonts w:ascii="Calibri" w:hAnsi="Calibri"/>
                <w:b w:val="0"/>
                <w:color w:val="000000"/>
                <w:sz w:val="19"/>
              </w:rPr>
              <w:t>/webinars/{webinarId}/registrants</w:t>
            </w:r>
          </w:p>
        </w:tc>
        <w:tc>
          <w:tcPr>
            <w:tcW w:type="dxa" w:w="5458"/>
            <w:vAlign w:val="center"/>
            <w:shd w:fill="FFFFFF"/>
          </w:tcPr>
          <w:p>
            <w:pPr>
              <w:keepNext w:val="0"/>
              <w:spacing w:after="40" w:before="20" w:line="250" w:lineRule="auto"/>
            </w:pPr>
            <w:r>
              <w:rPr>
                <w:rFonts w:ascii="Calibri" w:hAnsi="Calibri"/>
                <w:b w:val="0"/>
                <w:color w:val="000000"/>
                <w:sz w:val="19"/>
              </w:rPr>
              <w:t>Inscripción y acceso individual</w:t>
            </w:r>
          </w:p>
        </w:tc>
      </w:tr>
      <w:tr>
        <w:trPr>
          <w:cantSplit/>
        </w:trPr>
        <w:tc>
          <w:tcPr>
            <w:tcW w:type="dxa" w:w="4536"/>
            <w:vAlign w:val="center"/>
            <w:shd w:fill="F2F5F7"/>
          </w:tcPr>
          <w:p>
            <w:pPr>
              <w:keepNext w:val="0"/>
              <w:spacing w:after="40" w:before="20" w:line="250" w:lineRule="auto"/>
            </w:pPr>
            <w:r>
              <w:rPr>
                <w:rFonts w:ascii="Calibri" w:hAnsi="Calibri"/>
                <w:b w:val="0"/>
                <w:color w:val="000000"/>
                <w:sz w:val="19"/>
              </w:rPr>
              <w:t>/webinars/{webinarId}/panelists</w:t>
            </w:r>
          </w:p>
        </w:tc>
        <w:tc>
          <w:tcPr>
            <w:tcW w:type="dxa" w:w="5458"/>
            <w:vAlign w:val="center"/>
            <w:shd w:fill="F2F5F7"/>
          </w:tcPr>
          <w:p>
            <w:pPr>
              <w:keepNext w:val="0"/>
              <w:spacing w:after="40" w:before="20" w:line="250" w:lineRule="auto"/>
            </w:pPr>
            <w:r>
              <w:rPr>
                <w:rFonts w:ascii="Calibri" w:hAnsi="Calibri"/>
                <w:b w:val="0"/>
                <w:color w:val="000000"/>
                <w:sz w:val="19"/>
              </w:rPr>
              <w:t>Asignación y acceso de panelistas</w:t>
            </w:r>
          </w:p>
        </w:tc>
      </w:tr>
    </w:tbl>
    <w:p>
      <w:pPr>
        <w:spacing w:after="40" w:before="0" w:line="40" w:lineRule="exact"/>
      </w:pPr>
      <w:r>
        <w:rPr>
          <w:sz w:val="4"/>
        </w:rPr>
      </w:r>
    </w:p>
    <w:p>
      <w:pPr>
        <w:pStyle w:val="Heading2"/>
      </w:pPr>
      <w:r>
        <w:t>T15 Práctica y difusión</w:t>
      </w:r>
    </w:p>
    <w:p>
      <w:r>
        <w:t>Implementaremos un modo específico Client View o cliente Zoom para las funciones de producción que Component View no admite. Práctica y difusión serán estados remotos distintos. La clase no se presentará como emitida al público solo porque el host inició la sala de práctica.</w:t>
      </w:r>
    </w:p>
    <w:p>
      <w:pPr>
        <w:pStyle w:val="Heading2"/>
      </w:pPr>
      <w:r>
        <w:t>T16 Interacción y ciclo de vida</w:t>
      </w:r>
    </w:p>
    <w:p>
      <w:r>
        <w:t>Añadiremos eventos de webinars, participantes y conciliación. Producto definirá dónde se hacen preguntas: Q&amp;A de Zoom o chat Soflia. Los quizzes y materiales académicos seguirán usando el dominio actual; no duplicaremos sus respuestas sin una necesidad definida.</w:t>
      </w:r>
    </w:p>
    <w:p>
      <w:r>
        <w:t>Aceptación: host inicia emisión; panelista entra con su acceso; asistente recibe y pregunta sin privilegios de host; un tk no se entrega a otro alumno; fin remoto cierra la sesión y preserva materiales.</w:t>
      </w:r>
    </w:p>
    <w:p>
      <w:pPr>
        <w:spacing w:after="80"/>
      </w:pPr>
      <w:r>
        <w:rPr>
          <w:sz w:val="18"/>
        </w:rPr>
        <w:t xml:space="preserve">Referencia oficial  </w:t>
      </w:r>
      <w:hyperlink r:id="rId16">
        <w:r>
          <w:rPr>
            <w:color w:val="234D70"/>
            <w:u w:val="single"/>
          </w:rPr>
          <w:t>Z02 Zoom Meetings y Webinars API</w:t>
        </w:r>
      </w:hyperlink>
      <w:r>
        <w:t xml:space="preserve">  |  </w:t>
      </w:r>
      <w:hyperlink r:id="rId12">
        <w:r>
          <w:rPr>
            <w:color w:val="234D70"/>
            <w:u w:val="single"/>
          </w:rPr>
          <w:t>Z04 Funciones de Component View</w:t>
        </w:r>
      </w:hyperlink>
      <w:r>
        <w:t xml:space="preserve">  |  </w:t>
      </w:r>
      <w:hyperlink r:id="rId19">
        <w:r>
          <w:rPr>
            <w:color w:val="234D70"/>
            <w:u w:val="single"/>
          </w:rPr>
          <w:t>Z17 Meeting SDK entrada a webinars</w:t>
        </w:r>
      </w:hyperlink>
    </w:p>
    <w:p>
      <w:r>
        <w:br w:type="page"/>
      </w:r>
    </w:p>
    <w:p>
      <w:pPr>
        <w:pStyle w:val="Heading1"/>
      </w:pPr>
      <w:r>
        <w:t>10 Webinars Plus y Events</w:t>
      </w:r>
    </w:p>
    <w:p>
      <w:r>
        <w:t>Implementaremos una capa de evento con hub, agenda y acceso individual. Cada sesión conservará su vínculo con curso y aprendizaje. La primera entrega operativa usará el portal/cliente oficial para entrar al evento; no prometerá lobby completamente embebido.</w:t>
      </w:r>
    </w:p>
    <w:p>
      <w:pPr>
        <w:pStyle w:val="Heading2"/>
      </w:pPr>
      <w:r>
        <w:t>T17 Crear y publicar</w:t>
      </w:r>
    </w:p>
    <w:p>
      <w:r>
        <w:t>1. Validar licencia y hub autorizado para la organización.</w:t>
      </w:r>
    </w:p>
    <w:p>
      <w:r>
        <w:t>2. Crear borrador con tipo de evento, zona horaria, calendario y acceso.</w:t>
      </w:r>
    </w:p>
    <w:p>
      <w:r>
        <w:t>3. Crear sesiones adicionales solo en tipos que admiten varias sesiones.</w:t>
      </w:r>
    </w:p>
    <w:p>
      <w:r>
        <w:t>4. Revisar datos y publicar con event_actions y operation publish.</w:t>
      </w:r>
    </w:p>
    <w:p>
      <w:r>
        <w:t>5. Crear tickets/preinscripciones después de publicar; guardar resultados individuales y errores parciales.</w:t>
      </w:r>
    </w:p>
    <w:p>
      <w:r>
        <w:t>6. Conciliar estado del evento, acceso y resultados de cada sesión.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5083"/>
        <w:gridCol w:w="4910"/>
      </w:tblGrid>
      <w:tr>
        <w:trPr>
          <w:tblHeader w:val="true"/>
          <w:cantSplit/>
        </w:trPr>
        <w:tc>
          <w:tcPr>
            <w:tcW w:type="dxa" w:w="5083"/>
            <w:vAlign w:val="center"/>
            <w:shd w:fill="233E54"/>
          </w:tcPr>
          <w:p>
            <w:pPr>
              <w:keepNext w:val="0"/>
              <w:spacing w:after="40" w:before="20" w:line="250" w:lineRule="auto"/>
            </w:pPr>
            <w:r>
              <w:rPr>
                <w:rFonts w:ascii="Calibri" w:hAnsi="Calibri"/>
                <w:b/>
                <w:color w:val="FFFFFF"/>
                <w:sz w:val="19"/>
              </w:rPr>
              <w:t>Endpoint</w:t>
            </w:r>
          </w:p>
        </w:tc>
        <w:tc>
          <w:tcPr>
            <w:tcW w:type="dxa" w:w="4910"/>
            <w:vAlign w:val="center"/>
            <w:shd w:fill="233E54"/>
          </w:tcPr>
          <w:p>
            <w:pPr>
              <w:keepNext w:val="0"/>
              <w:spacing w:after="40" w:before="20" w:line="250" w:lineRule="auto"/>
            </w:pPr>
            <w:r>
              <w:rPr>
                <w:rFonts w:ascii="Calibri" w:hAnsi="Calibri"/>
                <w:b/>
                <w:color w:val="FFFFFF"/>
                <w:sz w:val="19"/>
              </w:rPr>
              <w:t>Finalidad</w:t>
            </w:r>
          </w:p>
        </w:tc>
      </w:tr>
      <w:tr>
        <w:trPr>
          <w:cantSplit/>
        </w:trPr>
        <w:tc>
          <w:tcPr>
            <w:tcW w:type="dxa" w:w="5083"/>
            <w:vAlign w:val="center"/>
            <w:shd w:fill="FFFFFF"/>
          </w:tcPr>
          <w:p>
            <w:pPr>
              <w:keepNext w:val="0"/>
              <w:spacing w:after="40" w:before="20" w:line="250" w:lineRule="auto"/>
            </w:pPr>
            <w:r>
              <w:rPr>
                <w:rFonts w:ascii="Calibri" w:hAnsi="Calibri"/>
                <w:b w:val="0"/>
                <w:color w:val="000000"/>
                <w:sz w:val="19"/>
              </w:rPr>
              <w:t>GET /zoom_events/hubs</w:t>
            </w:r>
          </w:p>
        </w:tc>
        <w:tc>
          <w:tcPr>
            <w:tcW w:type="dxa" w:w="4910"/>
            <w:vAlign w:val="center"/>
            <w:shd w:fill="FFFFFF"/>
          </w:tcPr>
          <w:p>
            <w:pPr>
              <w:keepNext w:val="0"/>
              <w:spacing w:after="40" w:before="20" w:line="250" w:lineRule="auto"/>
            </w:pPr>
            <w:r>
              <w:rPr>
                <w:rFonts w:ascii="Calibri" w:hAnsi="Calibri"/>
                <w:b w:val="0"/>
                <w:color w:val="000000"/>
                <w:sz w:val="19"/>
              </w:rPr>
              <w:t>Hubs permitidos</w:t>
            </w:r>
          </w:p>
        </w:tc>
      </w:tr>
      <w:tr>
        <w:trPr>
          <w:cantSplit/>
        </w:trPr>
        <w:tc>
          <w:tcPr>
            <w:tcW w:type="dxa" w:w="5083"/>
            <w:vAlign w:val="center"/>
            <w:shd w:fill="F2F5F7"/>
          </w:tcPr>
          <w:p>
            <w:pPr>
              <w:keepNext w:val="0"/>
              <w:spacing w:after="40" w:before="20" w:line="250" w:lineRule="auto"/>
            </w:pPr>
            <w:r>
              <w:rPr>
                <w:rFonts w:ascii="Calibri" w:hAnsi="Calibri"/>
                <w:b w:val="0"/>
                <w:color w:val="000000"/>
                <w:sz w:val="19"/>
              </w:rPr>
              <w:t>POST /zoom_events/events</w:t>
            </w:r>
          </w:p>
        </w:tc>
        <w:tc>
          <w:tcPr>
            <w:tcW w:type="dxa" w:w="4910"/>
            <w:vAlign w:val="center"/>
            <w:shd w:fill="F2F5F7"/>
          </w:tcPr>
          <w:p>
            <w:pPr>
              <w:keepNext w:val="0"/>
              <w:spacing w:after="40" w:before="20" w:line="250" w:lineRule="auto"/>
            </w:pPr>
            <w:r>
              <w:rPr>
                <w:rFonts w:ascii="Calibri" w:hAnsi="Calibri"/>
                <w:b w:val="0"/>
                <w:color w:val="000000"/>
                <w:sz w:val="19"/>
              </w:rPr>
              <w:t>Evento en borrador</w:t>
            </w:r>
          </w:p>
        </w:tc>
      </w:tr>
      <w:tr>
        <w:trPr>
          <w:cantSplit/>
        </w:trPr>
        <w:tc>
          <w:tcPr>
            <w:tcW w:type="dxa" w:w="5083"/>
            <w:vAlign w:val="center"/>
            <w:shd w:fill="FFFFFF"/>
          </w:tcPr>
          <w:p>
            <w:pPr>
              <w:keepNext w:val="0"/>
              <w:spacing w:after="40" w:before="20" w:line="250" w:lineRule="auto"/>
            </w:pPr>
            <w:r>
              <w:rPr>
                <w:rFonts w:ascii="Calibri" w:hAnsi="Calibri"/>
                <w:b w:val="0"/>
                <w:color w:val="000000"/>
                <w:sz w:val="19"/>
              </w:rPr>
              <w:t>/zoom_events/events/{eventId}/sessions</w:t>
            </w:r>
          </w:p>
        </w:tc>
        <w:tc>
          <w:tcPr>
            <w:tcW w:type="dxa" w:w="4910"/>
            <w:vAlign w:val="center"/>
            <w:shd w:fill="FFFFFF"/>
          </w:tcPr>
          <w:p>
            <w:pPr>
              <w:keepNext w:val="0"/>
              <w:spacing w:after="40" w:before="20" w:line="250" w:lineRule="auto"/>
            </w:pPr>
            <w:r>
              <w:rPr>
                <w:rFonts w:ascii="Calibri" w:hAnsi="Calibri"/>
                <w:b w:val="0"/>
                <w:color w:val="000000"/>
                <w:sz w:val="19"/>
              </w:rPr>
              <w:t>Agenda de varias sesiones cuando se admite</w:t>
            </w:r>
          </w:p>
        </w:tc>
      </w:tr>
      <w:tr>
        <w:trPr>
          <w:cantSplit/>
        </w:trPr>
        <w:tc>
          <w:tcPr>
            <w:tcW w:type="dxa" w:w="5083"/>
            <w:vAlign w:val="center"/>
            <w:shd w:fill="F2F5F7"/>
          </w:tcPr>
          <w:p>
            <w:pPr>
              <w:keepNext w:val="0"/>
              <w:spacing w:after="40" w:before="20" w:line="250" w:lineRule="auto"/>
            </w:pPr>
            <w:r>
              <w:rPr>
                <w:rFonts w:ascii="Calibri" w:hAnsi="Calibri"/>
                <w:b w:val="0"/>
                <w:color w:val="000000"/>
                <w:sz w:val="19"/>
              </w:rPr>
              <w:t>/zoom_events/events/{eventId}/event_actions</w:t>
            </w:r>
          </w:p>
        </w:tc>
        <w:tc>
          <w:tcPr>
            <w:tcW w:type="dxa" w:w="4910"/>
            <w:vAlign w:val="center"/>
            <w:shd w:fill="F2F5F7"/>
          </w:tcPr>
          <w:p>
            <w:pPr>
              <w:keepNext w:val="0"/>
              <w:spacing w:after="40" w:before="20" w:line="250" w:lineRule="auto"/>
            </w:pPr>
            <w:r>
              <w:rPr>
                <w:rFonts w:ascii="Calibri" w:hAnsi="Calibri"/>
                <w:b w:val="0"/>
                <w:color w:val="000000"/>
                <w:sz w:val="19"/>
              </w:rPr>
              <w:t>Publicación y otras acciones autorizadas</w:t>
            </w:r>
          </w:p>
        </w:tc>
      </w:tr>
      <w:tr>
        <w:trPr>
          <w:cantSplit/>
        </w:trPr>
        <w:tc>
          <w:tcPr>
            <w:tcW w:type="dxa" w:w="5083"/>
            <w:vAlign w:val="center"/>
            <w:shd w:fill="FFFFFF"/>
          </w:tcPr>
          <w:p>
            <w:pPr>
              <w:keepNext w:val="0"/>
              <w:spacing w:after="40" w:before="20" w:line="250" w:lineRule="auto"/>
            </w:pPr>
            <w:r>
              <w:rPr>
                <w:rFonts w:ascii="Calibri" w:hAnsi="Calibri"/>
                <w:b w:val="0"/>
                <w:color w:val="000000"/>
                <w:sz w:val="19"/>
              </w:rPr>
              <w:t>/zoom_events/events/{eventId}/tickets</w:t>
            </w:r>
          </w:p>
        </w:tc>
        <w:tc>
          <w:tcPr>
            <w:tcW w:type="dxa" w:w="4910"/>
            <w:vAlign w:val="center"/>
            <w:shd w:fill="FFFFFF"/>
          </w:tcPr>
          <w:p>
            <w:pPr>
              <w:keepNext w:val="0"/>
              <w:spacing w:after="40" w:before="20" w:line="250" w:lineRule="auto"/>
            </w:pPr>
            <w:r>
              <w:rPr>
                <w:rFonts w:ascii="Calibri" w:hAnsi="Calibri"/>
                <w:b w:val="0"/>
                <w:color w:val="000000"/>
                <w:sz w:val="19"/>
              </w:rPr>
              <w:t>Acceso individual y lotes de hasta 30</w:t>
            </w:r>
          </w:p>
        </w:tc>
      </w:tr>
    </w:tbl>
    <w:p>
      <w:pPr>
        <w:spacing w:after="40" w:before="0" w:line="40" w:lineRule="exact"/>
      </w:pPr>
      <w:r>
        <w:rPr>
          <w:sz w:val="4"/>
        </w:rPr>
      </w:r>
    </w:p>
    <w:p>
      <w:pPr>
        <w:pStyle w:val="Heading2"/>
      </w:pPr>
      <w:r>
        <w:t>T18 Acceso y resultados</w:t>
      </w:r>
    </w:p>
    <w:p>
      <w:r>
        <w:t>eventId no es meetingNumber. Un enlace PSL requiere una ruta compatible; Component View no lo soporta según la matriz actual. Probaremos Client View de forma separada antes de incluir entrada embebida. Mantendremos enlaces/tickets privados y reintentos por elemento, sin duplicar todo un lote exitoso parcialmente.</w:t>
      </w:r>
    </w:p>
    <w:p>
      <w:r>
        <w:t>Aceptación: publicación, tickets, agenda de varias sesiones, acceso restringido y recuperación de errores parciales. Definir tipo de evento antes de publicar porque algunas opciones dejan de ser editables.</w:t>
      </w:r>
    </w:p>
    <w:p>
      <w:pPr>
        <w:spacing w:after="80"/>
      </w:pPr>
      <w:r>
        <w:rPr>
          <w:sz w:val="18"/>
        </w:rPr>
        <w:t xml:space="preserve">Referencia oficial  </w:t>
      </w:r>
      <w:hyperlink r:id="rId12">
        <w:r>
          <w:rPr>
            <w:color w:val="234D70"/>
            <w:u w:val="single"/>
          </w:rPr>
          <w:t>Z04 Funciones de Component View</w:t>
        </w:r>
      </w:hyperlink>
      <w:r>
        <w:t xml:space="preserve">  |  </w:t>
      </w:r>
      <w:hyperlink r:id="rId20">
        <w:r>
          <w:rPr>
            <w:color w:val="234D70"/>
            <w:u w:val="single"/>
          </w:rPr>
          <w:t>Z10 Webinars Plus y Events API</w:t>
        </w:r>
      </w:hyperlink>
      <w:r>
        <w:t xml:space="preserve">  |  </w:t>
      </w:r>
      <w:hyperlink r:id="rId21">
        <w:r>
          <w:rPr>
            <w:color w:val="234D70"/>
            <w:u w:val="single"/>
          </w:rPr>
          <w:t>Z11 Creación y publicación de eventos</w:t>
        </w:r>
      </w:hyperlink>
    </w:p>
    <w:p>
      <w:r>
        <w:br w:type="page"/>
      </w:r>
    </w:p>
    <w:p>
      <w:pPr>
        <w:pStyle w:val="Heading1"/>
      </w:pPr>
      <w:r>
        <w:t>11 Video SDK para controles propios</w:t>
      </w:r>
    </w:p>
    <w:p>
      <w:r>
        <w:t>Esta entrega se activará si producto exige una UI multimedia diseñada por Soflia. Reutilizaremos agenda, cursos, permisos, chat y actividades, y construiremos un cliente independiente. Video SDK no se unirá a Meetings ni Webinars.</w:t>
      </w:r>
    </w:p>
    <w:p>
      <w:pPr>
        <w:pStyle w:val="Heading2"/>
      </w:pPr>
      <w:r>
        <w:t>T19 Sesión y autorización</w:t>
      </w:r>
    </w:p>
    <w:p>
      <w:r>
        <w:t>Añadiremos credenciales específicas y una versión soportada fijada en lockfile. El servidor reservará un nombre opaco por sesión/ocurrencia y emitirá JWT con app_key, tpc, role_type, version, iat y exp. Rol y nombre se derivan de datos autorizados. La validez respetará el mínimo documentado de 30 minutos.</w:t>
      </w:r>
    </w:p>
    <w:p>
      <w:pPr>
        <w:pStyle w:val="Heading2"/>
      </w:pPr>
      <w:r>
        <w:t>T20 Cliente multimedia y pantalla</w:t>
      </w:r>
    </w:p>
    <w:p>
      <w:pPr>
        <w:pStyle w:val="ListBullet"/>
      </w:pPr>
      <w:r>
        <w:t>Crear VideoSdkStage y hook de cliente; inicializar, entrar y obtener mediaStream.</w:t>
      </w:r>
    </w:p>
    <w:p>
      <w:pPr>
        <w:pStyle w:val="ListBullet"/>
      </w:pPr>
      <w:r>
        <w:t>Implementar preview, dispositivos, cámara, audio, participantes, moderación, reconexión y cierre.</w:t>
      </w:r>
    </w:p>
    <w:p>
      <w:pPr>
        <w:pStyle w:val="ListBullet"/>
      </w:pPr>
      <w:r>
        <w:t>Iniciar pantalla tras clic con startShareScreen y selección de video/canvas por capacidad.</w:t>
      </w:r>
    </w:p>
    <w:p>
      <w:pPr>
        <w:pStyle w:val="ListBullet"/>
      </w:pPr>
      <w:r>
        <w:t>Renderizar recepción con attachShareView/detachShareView y eventos de share; usar contenedor separado de cámaras.</w:t>
      </w:r>
    </w:p>
    <w:p>
      <w:pPr>
        <w:pStyle w:val="ListBullet"/>
      </w:pPr>
      <w:r>
        <w:t>Sincronizar stopShareScreen y passively-stop-share; serializar cambios de presentador y limpiar listeners.</w:t>
      </w:r>
    </w:p>
    <w:p>
      <w:pPr>
        <w:pStyle w:val="Heading2"/>
      </w:pPr>
      <w:r>
        <w:t>Cierre e identidad de la sesión</w:t>
      </w:r>
    </w:p>
    <w:p>
      <w:r>
        <w:t>El fin académico permanecerá persistido aunque el medio termine por salida del último usuario. La revocación de acceso conectado requerirá acción efectiva del proveedor. Un JWT ya entregado no se revoca simplemente ocultando el botón; se gestionarán expiración, expulsión y cierre explícitos.</w:t>
      </w:r>
    </w:p>
    <w:p>
      <w:r>
        <w:t>Aceptación: toda la clase usa controles Soflia; alumno no eleva rol; pantalla, salida y reingreso funcionan; identidad y consumo quedan correlacionados por organización. La conectividad y versiones se comprobarán por navegador.</w:t>
      </w:r>
    </w:p>
    <w:p>
      <w:pPr>
        <w:spacing w:after="80"/>
      </w:pPr>
      <w:r>
        <w:rPr>
          <w:sz w:val="18"/>
        </w:rPr>
        <w:t xml:space="preserve">Referencia oficial  </w:t>
      </w:r>
      <w:hyperlink r:id="rId11">
        <w:r>
          <w:rPr>
            <w:color w:val="234D70"/>
            <w:u w:val="single"/>
          </w:rPr>
          <w:t>Z07 Autorización Video SDK</w:t>
        </w:r>
      </w:hyperlink>
      <w:r>
        <w:t xml:space="preserve">  |  </w:t>
      </w:r>
      <w:hyperlink r:id="rId17">
        <w:r>
          <w:rPr>
            <w:color w:val="234D70"/>
            <w:u w:val="single"/>
          </w:rPr>
          <w:t>Z08 Screen share Video SDK</w:t>
        </w:r>
      </w:hyperlink>
      <w:r>
        <w:t xml:space="preserve">  |  </w:t>
      </w:r>
      <w:hyperlink r:id="rId22">
        <w:r>
          <w:rPr>
            <w:color w:val="234D70"/>
            <w:u w:val="single"/>
          </w:rPr>
          <w:t>Z15 Minutos de participante en Build Platform</w:t>
        </w:r>
      </w:hyperlink>
    </w:p>
    <w:p>
      <w:r>
        <w:br w:type="page"/>
      </w:r>
    </w:p>
    <w:p>
      <w:pPr>
        <w:pStyle w:val="Heading1"/>
      </w:pPr>
      <w:r>
        <w:t>12 Rooms subgrupos y cuentas externas</w:t>
      </w:r>
    </w:p>
    <w:p>
      <w:pPr>
        <w:pStyle w:val="Heading2"/>
      </w:pPr>
      <w:r>
        <w:t>T21 Salas físicas de Zoom Rooms</w:t>
      </w:r>
    </w:p>
    <w:p>
      <w:r>
        <w:t>Si hay aulas equipadas, añadiremos inventario por organización, calendario y reserva sin solapamiento. El servidor usará GET /rooms y PATCH /rooms/{id}/events para comandos permitidos como zoomroom.meeting_join. Requiere sala configurada y en línea; reserva/check-in puede depender del calendario institucional.</w:t>
      </w:r>
    </w:p>
    <w:p>
      <w:r>
        <w:t>Los comandos tendrán permiso específico, auditoría y estado confirmado. No expondremos un ejecutor genérico al cliente. Aceptación: clase híbrida, equipo offline, rechazo de sala ajena y doble reserva evitada.</w:t>
      </w:r>
    </w:p>
    <w:p>
      <w:pPr>
        <w:pStyle w:val="Heading2"/>
      </w:pPr>
      <w:r>
        <w:t>T22 Equipos dentro de la clase</w:t>
      </w:r>
    </w:p>
    <w:p>
      <w:r>
        <w:t>Los grupos académicos se mapearán a breakout rooms de Meetings o subsessions de Video SDK. Incluiremos asignación, apertura, cambio, regreso y cierre. El contenido de grupo tendrá autorización propia. No dependeremos de email para preasignar invitados con identidad Zoom no verificada.</w:t>
      </w:r>
    </w:p>
    <w:p>
      <w:r>
        <w:t>Aceptación: alumno tardío, reasignación y retorno; ningún alumno lee materiales privados de otro grupo. No se usará Rooms API para crear equipos virtuales.</w:t>
      </w:r>
    </w:p>
    <w:p>
      <w:pPr>
        <w:pStyle w:val="Heading2"/>
      </w:pPr>
      <w:r>
        <w:t>T23 Conexiones OAuth de organizaciones</w:t>
      </w:r>
    </w:p>
    <w:p>
      <w:r>
        <w:t>Cuando cada organización aporte su cuenta, añadiremos consentimiento, state, callback, protección/renovación de tokens y desconexión. Cada operación resolverá su conexión en servidor. La autorización REST no garantiza entrada externa del Meeting SDK: se verificará revisión de app y atribución ZAK/OBF.</w:t>
      </w:r>
    </w:p>
    <w:p>
      <w:r>
        <w:t>OBF permite entrada vinculada a un usuario presente; no inicia la reunión como host. Se probará con dos cuentas Zoom independientes antes de ofrecer un flujo a terceros. No entregar ZAK de otra persona a alumnos para resolver acceso externo.</w:t>
      </w:r>
    </w:p>
    <w:p>
      <w:r>
        <w:t>Estas tres entregas son independientes. Rooms exige hardware y licencia; los subgrupos requieren una necesidad pedagógica; multicuenta exige autorización y posible revisión externa. No retrasarán el piloto de Meetings salvo decisión de producto.</w:t>
      </w:r>
    </w:p>
    <w:p>
      <w:pPr>
        <w:spacing w:after="80"/>
      </w:pPr>
      <w:r>
        <w:rPr>
          <w:sz w:val="18"/>
        </w:rPr>
        <w:t xml:space="preserve">Referencia oficial  </w:t>
      </w:r>
      <w:hyperlink r:id="rId23">
        <w:r>
          <w:rPr>
            <w:color w:val="234D70"/>
            <w:u w:val="single"/>
          </w:rPr>
          <w:t>Z09 Zoom Rooms API</w:t>
        </w:r>
      </w:hyperlink>
      <w:r>
        <w:t xml:space="preserve">  |  </w:t>
      </w:r>
      <w:hyperlink r:id="rId15">
        <w:r>
          <w:rPr>
            <w:color w:val="234D70"/>
            <w:u w:val="single"/>
          </w:rPr>
          <w:t>Z06 Autorización Meeting SDK</w:t>
        </w:r>
      </w:hyperlink>
      <w:r>
        <w:t xml:space="preserve">  |  </w:t>
      </w:r>
      <w:hyperlink r:id="rId24">
        <w:r>
          <w:rPr>
            <w:color w:val="234D70"/>
            <w:u w:val="single"/>
          </w:rPr>
          <w:t>Z16 OAuth de cuentas externas</w:t>
        </w:r>
      </w:hyperlink>
    </w:p>
    <w:p>
      <w:r>
        <w:br w:type="page"/>
      </w:r>
    </w:p>
    <w:p>
      <w:pPr>
        <w:pStyle w:val="Heading1"/>
      </w:pPr>
      <w:r>
        <w:t>13 Grabaciones y contexto continuo de Soflia</w:t>
      </w:r>
    </w:p>
    <w:p>
      <w:pPr>
        <w:pStyle w:val="Heading2"/>
      </w:pPr>
      <w:r>
        <w:t>T24 Grabación privada y retención</w:t>
      </w:r>
    </w:p>
    <w:p>
      <w:r>
        <w:t>Añadiremos política por sesión, procesamiento, eventos de finalización y catálogo de grabación. Un worker descargará archivos de forma autorizada, los conservará privados y ofrecerá reproducción según el curso. La licencia/configuración debe permitir cloud recording. No publicar enlaces de host ni tokens de descarga.</w:t>
      </w:r>
    </w:p>
    <w:p>
      <w:pPr>
        <w:pStyle w:val="Heading2"/>
      </w:pPr>
      <w:r>
        <w:t>T25 Transcripción mediante RTMS</w:t>
      </w:r>
    </w:p>
    <w:p>
      <w:r>
        <w:t>El flujo vigente capta subtítulos desde el navegador del host. Para una transcripción continua independiente del navegador, ejecutaremos un consumidor RTMS persistente en apps/api o servicio separado. El webhook disparará trabajo de stream; no sostendrá la conexión WebSocket dentro de un request Next.</w:t>
      </w:r>
    </w:p>
    <w:p>
      <w:pPr>
        <w:pStyle w:val="ListBullet"/>
      </w:pPr>
      <w:r>
        <w:t>Validar créditos, scopes, activación y capacidad concurrente de RTMS.</w:t>
      </w:r>
    </w:p>
    <w:p>
      <w:pPr>
        <w:pStyle w:val="ListBullet"/>
      </w:pPr>
      <w:r>
        <w:t>Gestionar eventos rtms_started/rtms_stopped, handshake, reconexión y cierre.</w:t>
      </w:r>
    </w:p>
    <w:p>
      <w:pPr>
        <w:pStyle w:val="ListBullet"/>
      </w:pPr>
      <w:r>
        <w:t>Persistir segmentos deduplicados por instancia, orden y origen; marcar discontinuidades.</w:t>
      </w:r>
    </w:p>
    <w:p>
      <w:pPr>
        <w:pStyle w:val="ListBullet"/>
      </w:pPr>
      <w:r>
        <w:t>Entregar a Soflia solo contexto autorizado, con estado de disponibilidad y antigüedad.</w:t>
      </w:r>
    </w:p>
    <w:p>
      <w:pPr>
        <w:pStyle w:val="Heading2"/>
      </w:pPr>
      <w:r>
        <w:t>Límites del contexto académico</w:t>
      </w:r>
    </w:p>
    <w:p>
      <w:r>
        <w:t>Compartir una presentación no entrega automáticamente sus diapositivas a la IA. Si se necesita ese contenido, se definirá una ingesta autorizada del material. La ventana de contexto seguirá siendo acotada; ampliar memoria de la clase requiere resúmenes o recuperación por tema y evaluación de calidad.</w:t>
      </w:r>
    </w:p>
    <w:p>
      <w:r>
        <w:t>Zoom indica RTMS como vía para IA e ingesta de medios. Se revisará ese requisito antes de ampliar el uso de Meeting SDK como capturador. La retención y uso de grabación/transcripción deben ser decisiones explícitas de producto.</w:t>
      </w:r>
    </w:p>
    <w:p>
      <w:r>
        <w:t>Aceptación: cierre del navegador del docente no elimina el contexto RTMS mientras el stream autorizado siga activo; fallos muestran contexto incompleto; grabación solo accesible al curso; proceso de retención ejecutable y auditado.</w:t>
      </w:r>
    </w:p>
    <w:p>
      <w:pPr>
        <w:spacing w:after="80"/>
      </w:pPr>
      <w:r>
        <w:rPr>
          <w:sz w:val="18"/>
        </w:rPr>
        <w:t xml:space="preserve">Referencia oficial  </w:t>
      </w:r>
      <w:hyperlink r:id="rId10">
        <w:r>
          <w:rPr>
            <w:color w:val="234D70"/>
            <w:u w:val="single"/>
          </w:rPr>
          <w:t>Z03 Meeting SDK web</w:t>
        </w:r>
      </w:hyperlink>
      <w:r>
        <w:t xml:space="preserve">  |  </w:t>
      </w:r>
      <w:hyperlink r:id="rId25">
        <w:r>
          <w:rPr>
            <w:color w:val="234D70"/>
            <w:u w:val="single"/>
          </w:rPr>
          <w:t>Z13 RTMS</w:t>
        </w:r>
      </w:hyperlink>
      <w:r>
        <w:t xml:space="preserve">  |  </w:t>
      </w:r>
      <w:hyperlink r:id="rId26">
        <w:r>
          <w:rPr>
            <w:color w:val="234D70"/>
            <w:u w:val="single"/>
          </w:rPr>
          <w:t>Z14 RTMS y WebSockets</w:t>
        </w:r>
      </w:hyperlink>
    </w:p>
    <w:p>
      <w:r>
        <w:br w:type="page"/>
      </w:r>
    </w:p>
    <w:p>
      <w:pPr>
        <w:pStyle w:val="Heading1"/>
      </w:pPr>
      <w:r>
        <w:t>14 Entregas esfuerzo y responsabilidades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90" w:type="dxa"/>
          <w:bottom w:w="90" w:type="dxa"/>
          <w:left w:w="110" w:type="dxa"/>
          <w:right w:w="110" w:type="dxa"/>
        </w:tblCellMar>
      </w:tblPr>
      <w:tblGrid>
        <w:gridCol w:w="2592"/>
        <w:gridCol w:w="3269"/>
        <w:gridCol w:w="4133"/>
      </w:tblGrid>
      <w:tr>
        <w:trPr>
          <w:tblHeader w:val="true"/>
          <w:cantSplit/>
        </w:trPr>
        <w:tc>
          <w:tcPr>
            <w:tcW w:type="dxa" w:w="2592"/>
            <w:vAlign w:val="center"/>
            <w:shd w:fill="233E54"/>
          </w:tcPr>
          <w:p>
            <w:pPr>
              <w:keepNext w:val="0"/>
              <w:spacing w:after="40" w:before="20" w:line="250" w:lineRule="auto"/>
            </w:pPr>
            <w:r>
              <w:rPr>
                <w:rFonts w:ascii="Calibri" w:hAnsi="Calibri"/>
                <w:b/>
                <w:color w:val="FFFFFF"/>
                <w:sz w:val="19"/>
              </w:rPr>
              <w:t>Entrega</w:t>
            </w:r>
          </w:p>
        </w:tc>
        <w:tc>
          <w:tcPr>
            <w:tcW w:type="dxa" w:w="3269"/>
            <w:vAlign w:val="center"/>
            <w:shd w:fill="233E54"/>
          </w:tcPr>
          <w:p>
            <w:pPr>
              <w:keepNext w:val="0"/>
              <w:spacing w:after="40" w:before="20" w:line="250" w:lineRule="auto"/>
            </w:pPr>
            <w:r>
              <w:rPr>
                <w:rFonts w:ascii="Calibri" w:hAnsi="Calibri"/>
                <w:b/>
                <w:color w:val="FFFFFF"/>
                <w:sz w:val="19"/>
              </w:rPr>
              <w:t>Tareas</w:t>
            </w:r>
          </w:p>
        </w:tc>
        <w:tc>
          <w:tcPr>
            <w:tcW w:type="dxa" w:w="4133"/>
            <w:vAlign w:val="center"/>
            <w:shd w:fill="233E54"/>
          </w:tcPr>
          <w:p>
            <w:pPr>
              <w:keepNext w:val="0"/>
              <w:spacing w:after="40" w:before="20" w:line="250" w:lineRule="auto"/>
            </w:pPr>
            <w:r>
              <w:rPr>
                <w:rFonts w:ascii="Calibri" w:hAnsi="Calibri"/>
                <w:b/>
                <w:color w:val="FFFFFF"/>
                <w:sz w:val="19"/>
              </w:rPr>
              <w:t>Esfuerzo orientativo</w:t>
            </w:r>
          </w:p>
        </w:tc>
      </w:tr>
      <w:tr>
        <w:trPr>
          <w:cantSplit/>
        </w:trPr>
        <w:tc>
          <w:tcPr>
            <w:tcW w:type="dxa" w:w="2592"/>
            <w:vAlign w:val="center"/>
            <w:shd w:fill="FFFFFF"/>
          </w:tcPr>
          <w:p>
            <w:pPr>
              <w:keepNext w:val="0"/>
              <w:spacing w:after="40" w:before="20" w:line="250" w:lineRule="auto"/>
            </w:pPr>
            <w:r>
              <w:rPr>
                <w:rFonts w:ascii="Calibri" w:hAnsi="Calibri"/>
                <w:b w:val="0"/>
                <w:color w:val="000000"/>
                <w:sz w:val="19"/>
              </w:rPr>
              <w:t>E0 Viabilidad</w:t>
            </w:r>
          </w:p>
        </w:tc>
        <w:tc>
          <w:tcPr>
            <w:tcW w:type="dxa" w:w="3269"/>
            <w:vAlign w:val="center"/>
            <w:shd w:fill="FFFFFF"/>
          </w:tcPr>
          <w:p>
            <w:pPr>
              <w:keepNext w:val="0"/>
              <w:spacing w:after="40" w:before="20" w:line="250" w:lineRule="auto"/>
            </w:pPr>
            <w:r>
              <w:rPr>
                <w:rFonts w:ascii="Calibri" w:hAnsi="Calibri"/>
                <w:b w:val="0"/>
                <w:color w:val="000000"/>
                <w:sz w:val="19"/>
              </w:rPr>
              <w:t>T00 a T02</w:t>
            </w:r>
          </w:p>
        </w:tc>
        <w:tc>
          <w:tcPr>
            <w:tcW w:type="dxa" w:w="4133"/>
            <w:vAlign w:val="center"/>
            <w:shd w:fill="FFFFFF"/>
          </w:tcPr>
          <w:p>
            <w:pPr>
              <w:keepNext w:val="0"/>
              <w:spacing w:after="40" w:before="20" w:line="250" w:lineRule="auto"/>
            </w:pPr>
            <w:r>
              <w:rPr>
                <w:rFonts w:ascii="Calibri" w:hAnsi="Calibri"/>
                <w:b w:val="0"/>
                <w:color w:val="000000"/>
                <w:sz w:val="19"/>
              </w:rPr>
              <w:t>2 a 4 días de ingeniería</w:t>
            </w:r>
          </w:p>
        </w:tc>
      </w:tr>
      <w:tr>
        <w:trPr>
          <w:cantSplit/>
        </w:trPr>
        <w:tc>
          <w:tcPr>
            <w:tcW w:type="dxa" w:w="2592"/>
            <w:vAlign w:val="center"/>
            <w:shd w:fill="F2F5F7"/>
          </w:tcPr>
          <w:p>
            <w:pPr>
              <w:keepNext w:val="0"/>
              <w:spacing w:after="40" w:before="20" w:line="250" w:lineRule="auto"/>
            </w:pPr>
            <w:r>
              <w:rPr>
                <w:rFonts w:ascii="Calibri" w:hAnsi="Calibri"/>
                <w:b w:val="0"/>
                <w:color w:val="000000"/>
                <w:sz w:val="19"/>
              </w:rPr>
              <w:t>E1 Seguridad y base</w:t>
            </w:r>
          </w:p>
        </w:tc>
        <w:tc>
          <w:tcPr>
            <w:tcW w:type="dxa" w:w="3269"/>
            <w:vAlign w:val="center"/>
            <w:shd w:fill="F2F5F7"/>
          </w:tcPr>
          <w:p>
            <w:pPr>
              <w:keepNext w:val="0"/>
              <w:spacing w:after="40" w:before="20" w:line="250" w:lineRule="auto"/>
            </w:pPr>
            <w:r>
              <w:rPr>
                <w:rFonts w:ascii="Calibri" w:hAnsi="Calibri"/>
                <w:b w:val="0"/>
                <w:color w:val="000000"/>
                <w:sz w:val="19"/>
              </w:rPr>
              <w:t>T03 a T05 y modelo mínimo</w:t>
            </w:r>
          </w:p>
        </w:tc>
        <w:tc>
          <w:tcPr>
            <w:tcW w:type="dxa" w:w="4133"/>
            <w:vAlign w:val="center"/>
            <w:shd w:fill="F2F5F7"/>
          </w:tcPr>
          <w:p>
            <w:pPr>
              <w:keepNext w:val="0"/>
              <w:spacing w:after="40" w:before="20" w:line="250" w:lineRule="auto"/>
            </w:pPr>
            <w:r>
              <w:rPr>
                <w:rFonts w:ascii="Calibri" w:hAnsi="Calibri"/>
                <w:b w:val="0"/>
                <w:color w:val="000000"/>
                <w:sz w:val="19"/>
              </w:rPr>
              <w:t>4 a 7 días</w:t>
            </w:r>
          </w:p>
        </w:tc>
      </w:tr>
      <w:tr>
        <w:trPr>
          <w:cantSplit/>
        </w:trPr>
        <w:tc>
          <w:tcPr>
            <w:tcW w:type="dxa" w:w="2592"/>
            <w:vAlign w:val="center"/>
            <w:shd w:fill="FFFFFF"/>
          </w:tcPr>
          <w:p>
            <w:pPr>
              <w:keepNext w:val="0"/>
              <w:spacing w:after="40" w:before="20" w:line="250" w:lineRule="auto"/>
            </w:pPr>
            <w:r>
              <w:rPr>
                <w:rFonts w:ascii="Calibri" w:hAnsi="Calibri"/>
                <w:b w:val="0"/>
                <w:color w:val="000000"/>
                <w:sz w:val="19"/>
              </w:rPr>
              <w:t>E2 Clases y pantalla</w:t>
            </w:r>
          </w:p>
        </w:tc>
        <w:tc>
          <w:tcPr>
            <w:tcW w:type="dxa" w:w="3269"/>
            <w:vAlign w:val="center"/>
            <w:shd w:fill="FFFFFF"/>
          </w:tcPr>
          <w:p>
            <w:pPr>
              <w:keepNext w:val="0"/>
              <w:spacing w:after="40" w:before="20" w:line="250" w:lineRule="auto"/>
            </w:pPr>
            <w:r>
              <w:rPr>
                <w:rFonts w:ascii="Calibri" w:hAnsi="Calibri"/>
                <w:b w:val="0"/>
                <w:color w:val="000000"/>
                <w:sz w:val="19"/>
              </w:rPr>
              <w:t>T06 a T10</w:t>
            </w:r>
          </w:p>
        </w:tc>
        <w:tc>
          <w:tcPr>
            <w:tcW w:type="dxa" w:w="4133"/>
            <w:vAlign w:val="center"/>
            <w:shd w:fill="FFFFFF"/>
          </w:tcPr>
          <w:p>
            <w:pPr>
              <w:keepNext w:val="0"/>
              <w:spacing w:after="40" w:before="20" w:line="250" w:lineRule="auto"/>
            </w:pPr>
            <w:r>
              <w:rPr>
                <w:rFonts w:ascii="Calibri" w:hAnsi="Calibri"/>
                <w:b w:val="0"/>
                <w:color w:val="000000"/>
                <w:sz w:val="19"/>
              </w:rPr>
              <w:t>4 a 7 días</w:t>
            </w:r>
          </w:p>
        </w:tc>
      </w:tr>
      <w:tr>
        <w:trPr>
          <w:cantSplit/>
        </w:trPr>
        <w:tc>
          <w:tcPr>
            <w:tcW w:type="dxa" w:w="2592"/>
            <w:vAlign w:val="center"/>
            <w:shd w:fill="F2F5F7"/>
          </w:tcPr>
          <w:p>
            <w:pPr>
              <w:keepNext w:val="0"/>
              <w:spacing w:after="40" w:before="20" w:line="250" w:lineRule="auto"/>
            </w:pPr>
            <w:r>
              <w:rPr>
                <w:rFonts w:ascii="Calibri" w:hAnsi="Calibri"/>
                <w:b w:val="0"/>
                <w:color w:val="000000"/>
                <w:sz w:val="19"/>
              </w:rPr>
              <w:t>E3 Operación y asistencia</w:t>
            </w:r>
          </w:p>
        </w:tc>
        <w:tc>
          <w:tcPr>
            <w:tcW w:type="dxa" w:w="3269"/>
            <w:vAlign w:val="center"/>
            <w:shd w:fill="F2F5F7"/>
          </w:tcPr>
          <w:p>
            <w:pPr>
              <w:keepNext w:val="0"/>
              <w:spacing w:after="40" w:before="20" w:line="250" w:lineRule="auto"/>
            </w:pPr>
            <w:r>
              <w:rPr>
                <w:rFonts w:ascii="Calibri" w:hAnsi="Calibri"/>
                <w:b w:val="0"/>
                <w:color w:val="000000"/>
                <w:sz w:val="19"/>
              </w:rPr>
              <w:t>T11 a T13</w:t>
            </w:r>
          </w:p>
        </w:tc>
        <w:tc>
          <w:tcPr>
            <w:tcW w:type="dxa" w:w="4133"/>
            <w:vAlign w:val="center"/>
            <w:shd w:fill="F2F5F7"/>
          </w:tcPr>
          <w:p>
            <w:pPr>
              <w:keepNext w:val="0"/>
              <w:spacing w:after="40" w:before="20" w:line="250" w:lineRule="auto"/>
            </w:pPr>
            <w:r>
              <w:rPr>
                <w:rFonts w:ascii="Calibri" w:hAnsi="Calibri"/>
                <w:b w:val="0"/>
                <w:color w:val="000000"/>
                <w:sz w:val="19"/>
              </w:rPr>
              <w:t>4 a 7 días</w:t>
            </w:r>
          </w:p>
        </w:tc>
      </w:tr>
      <w:tr>
        <w:trPr>
          <w:cantSplit/>
        </w:trPr>
        <w:tc>
          <w:tcPr>
            <w:tcW w:type="dxa" w:w="2592"/>
            <w:vAlign w:val="center"/>
            <w:shd w:fill="FFFFFF"/>
          </w:tcPr>
          <w:p>
            <w:pPr>
              <w:keepNext w:val="0"/>
              <w:spacing w:after="40" w:before="20" w:line="250" w:lineRule="auto"/>
            </w:pPr>
            <w:r>
              <w:rPr>
                <w:rFonts w:ascii="Calibri" w:hAnsi="Calibri"/>
                <w:b w:val="0"/>
                <w:color w:val="000000"/>
                <w:sz w:val="19"/>
              </w:rPr>
              <w:t>E4 Webinars</w:t>
            </w:r>
          </w:p>
        </w:tc>
        <w:tc>
          <w:tcPr>
            <w:tcW w:type="dxa" w:w="3269"/>
            <w:vAlign w:val="center"/>
            <w:shd w:fill="FFFFFF"/>
          </w:tcPr>
          <w:p>
            <w:pPr>
              <w:keepNext w:val="0"/>
              <w:spacing w:after="40" w:before="20" w:line="250" w:lineRule="auto"/>
            </w:pPr>
            <w:r>
              <w:rPr>
                <w:rFonts w:ascii="Calibri" w:hAnsi="Calibri"/>
                <w:b w:val="0"/>
                <w:color w:val="000000"/>
                <w:sz w:val="19"/>
              </w:rPr>
              <w:t>T14 a T16</w:t>
            </w:r>
          </w:p>
        </w:tc>
        <w:tc>
          <w:tcPr>
            <w:tcW w:type="dxa" w:w="4133"/>
            <w:vAlign w:val="center"/>
            <w:shd w:fill="FFFFFF"/>
          </w:tcPr>
          <w:p>
            <w:pPr>
              <w:keepNext w:val="0"/>
              <w:spacing w:after="40" w:before="20" w:line="250" w:lineRule="auto"/>
            </w:pPr>
            <w:r>
              <w:rPr>
                <w:rFonts w:ascii="Calibri" w:hAnsi="Calibri"/>
                <w:b w:val="0"/>
                <w:color w:val="000000"/>
                <w:sz w:val="19"/>
              </w:rPr>
              <w:t>4 a 7 días</w:t>
            </w:r>
          </w:p>
        </w:tc>
      </w:tr>
      <w:tr>
        <w:trPr>
          <w:cantSplit/>
        </w:trPr>
        <w:tc>
          <w:tcPr>
            <w:tcW w:type="dxa" w:w="2592"/>
            <w:vAlign w:val="center"/>
            <w:shd w:fill="F2F5F7"/>
          </w:tcPr>
          <w:p>
            <w:pPr>
              <w:keepNext w:val="0"/>
              <w:spacing w:after="40" w:before="20" w:line="250" w:lineRule="auto"/>
            </w:pPr>
            <w:r>
              <w:rPr>
                <w:rFonts w:ascii="Calibri" w:hAnsi="Calibri"/>
                <w:b w:val="0"/>
                <w:color w:val="000000"/>
                <w:sz w:val="19"/>
              </w:rPr>
              <w:t>E5 Events</w:t>
            </w:r>
          </w:p>
        </w:tc>
        <w:tc>
          <w:tcPr>
            <w:tcW w:type="dxa" w:w="3269"/>
            <w:vAlign w:val="center"/>
            <w:shd w:fill="F2F5F7"/>
          </w:tcPr>
          <w:p>
            <w:pPr>
              <w:keepNext w:val="0"/>
              <w:spacing w:after="40" w:before="20" w:line="250" w:lineRule="auto"/>
            </w:pPr>
            <w:r>
              <w:rPr>
                <w:rFonts w:ascii="Calibri" w:hAnsi="Calibri"/>
                <w:b w:val="0"/>
                <w:color w:val="000000"/>
                <w:sz w:val="19"/>
              </w:rPr>
              <w:t>T17 a T18</w:t>
            </w:r>
          </w:p>
        </w:tc>
        <w:tc>
          <w:tcPr>
            <w:tcW w:type="dxa" w:w="4133"/>
            <w:vAlign w:val="center"/>
            <w:shd w:fill="F2F5F7"/>
          </w:tcPr>
          <w:p>
            <w:pPr>
              <w:keepNext w:val="0"/>
              <w:spacing w:after="40" w:before="20" w:line="250" w:lineRule="auto"/>
            </w:pPr>
            <w:r>
              <w:rPr>
                <w:rFonts w:ascii="Calibri" w:hAnsi="Calibri"/>
                <w:b w:val="0"/>
                <w:color w:val="000000"/>
                <w:sz w:val="19"/>
              </w:rPr>
              <w:t>6 a 10 días</w:t>
            </w:r>
          </w:p>
        </w:tc>
      </w:tr>
      <w:tr>
        <w:trPr>
          <w:cantSplit/>
        </w:trPr>
        <w:tc>
          <w:tcPr>
            <w:tcW w:type="dxa" w:w="2592"/>
            <w:vAlign w:val="center"/>
            <w:shd w:fill="FFFFFF"/>
          </w:tcPr>
          <w:p>
            <w:pPr>
              <w:keepNext w:val="0"/>
              <w:spacing w:after="40" w:before="20" w:line="250" w:lineRule="auto"/>
            </w:pPr>
            <w:r>
              <w:rPr>
                <w:rFonts w:ascii="Calibri" w:hAnsi="Calibri"/>
                <w:b w:val="0"/>
                <w:color w:val="000000"/>
                <w:sz w:val="19"/>
              </w:rPr>
              <w:t>E6 UI propia</w:t>
            </w:r>
          </w:p>
        </w:tc>
        <w:tc>
          <w:tcPr>
            <w:tcW w:type="dxa" w:w="3269"/>
            <w:vAlign w:val="center"/>
            <w:shd w:fill="FFFFFF"/>
          </w:tcPr>
          <w:p>
            <w:pPr>
              <w:keepNext w:val="0"/>
              <w:spacing w:after="40" w:before="20" w:line="250" w:lineRule="auto"/>
            </w:pPr>
            <w:r>
              <w:rPr>
                <w:rFonts w:ascii="Calibri" w:hAnsi="Calibri"/>
                <w:b w:val="0"/>
                <w:color w:val="000000"/>
                <w:sz w:val="19"/>
              </w:rPr>
              <w:t>T19 a T20</w:t>
            </w:r>
          </w:p>
        </w:tc>
        <w:tc>
          <w:tcPr>
            <w:tcW w:type="dxa" w:w="4133"/>
            <w:vAlign w:val="center"/>
            <w:shd w:fill="FFFFFF"/>
          </w:tcPr>
          <w:p>
            <w:pPr>
              <w:keepNext w:val="0"/>
              <w:spacing w:after="40" w:before="20" w:line="250" w:lineRule="auto"/>
            </w:pPr>
            <w:r>
              <w:rPr>
                <w:rFonts w:ascii="Calibri" w:hAnsi="Calibri"/>
                <w:b w:val="0"/>
                <w:color w:val="000000"/>
                <w:sz w:val="19"/>
              </w:rPr>
              <w:t>10 a 18 días</w:t>
            </w:r>
          </w:p>
        </w:tc>
      </w:tr>
      <w:tr>
        <w:trPr>
          <w:cantSplit/>
        </w:trPr>
        <w:tc>
          <w:tcPr>
            <w:tcW w:type="dxa" w:w="2592"/>
            <w:vAlign w:val="center"/>
            <w:shd w:fill="F2F5F7"/>
          </w:tcPr>
          <w:p>
            <w:pPr>
              <w:keepNext w:val="0"/>
              <w:spacing w:after="40" w:before="20" w:line="250" w:lineRule="auto"/>
            </w:pPr>
            <w:r>
              <w:rPr>
                <w:rFonts w:ascii="Calibri" w:hAnsi="Calibri"/>
                <w:b w:val="0"/>
                <w:color w:val="000000"/>
                <w:sz w:val="19"/>
              </w:rPr>
              <w:t>E7 Rooms o subgrupos</w:t>
            </w:r>
          </w:p>
        </w:tc>
        <w:tc>
          <w:tcPr>
            <w:tcW w:type="dxa" w:w="3269"/>
            <w:vAlign w:val="center"/>
            <w:shd w:fill="F2F5F7"/>
          </w:tcPr>
          <w:p>
            <w:pPr>
              <w:keepNext w:val="0"/>
              <w:spacing w:after="40" w:before="20" w:line="250" w:lineRule="auto"/>
            </w:pPr>
            <w:r>
              <w:rPr>
                <w:rFonts w:ascii="Calibri" w:hAnsi="Calibri"/>
                <w:b w:val="0"/>
                <w:color w:val="000000"/>
                <w:sz w:val="19"/>
              </w:rPr>
              <w:t>T21 / T22</w:t>
            </w:r>
          </w:p>
        </w:tc>
        <w:tc>
          <w:tcPr>
            <w:tcW w:type="dxa" w:w="4133"/>
            <w:vAlign w:val="center"/>
            <w:shd w:fill="F2F5F7"/>
          </w:tcPr>
          <w:p>
            <w:pPr>
              <w:keepNext w:val="0"/>
              <w:spacing w:after="40" w:before="20" w:line="250" w:lineRule="auto"/>
            </w:pPr>
            <w:r>
              <w:rPr>
                <w:rFonts w:ascii="Calibri" w:hAnsi="Calibri"/>
                <w:b w:val="0"/>
                <w:color w:val="000000"/>
                <w:sz w:val="19"/>
              </w:rPr>
              <w:t>4 a 8 / 3 a 5 días</w:t>
            </w:r>
          </w:p>
        </w:tc>
      </w:tr>
      <w:tr>
        <w:trPr>
          <w:cantSplit/>
        </w:trPr>
        <w:tc>
          <w:tcPr>
            <w:tcW w:type="dxa" w:w="2592"/>
            <w:vAlign w:val="center"/>
            <w:shd w:fill="FFFFFF"/>
          </w:tcPr>
          <w:p>
            <w:pPr>
              <w:keepNext w:val="0"/>
              <w:spacing w:after="40" w:before="20" w:line="250" w:lineRule="auto"/>
            </w:pPr>
            <w:r>
              <w:rPr>
                <w:rFonts w:ascii="Calibri" w:hAnsi="Calibri"/>
                <w:b w:val="0"/>
                <w:color w:val="000000"/>
                <w:sz w:val="19"/>
              </w:rPr>
              <w:t>E8 Multicuenta</w:t>
            </w:r>
          </w:p>
        </w:tc>
        <w:tc>
          <w:tcPr>
            <w:tcW w:type="dxa" w:w="3269"/>
            <w:vAlign w:val="center"/>
            <w:shd w:fill="FFFFFF"/>
          </w:tcPr>
          <w:p>
            <w:pPr>
              <w:keepNext w:val="0"/>
              <w:spacing w:after="40" w:before="20" w:line="250" w:lineRule="auto"/>
            </w:pPr>
            <w:r>
              <w:rPr>
                <w:rFonts w:ascii="Calibri" w:hAnsi="Calibri"/>
                <w:b w:val="0"/>
                <w:color w:val="000000"/>
                <w:sz w:val="19"/>
              </w:rPr>
              <w:t>T23</w:t>
            </w:r>
          </w:p>
        </w:tc>
        <w:tc>
          <w:tcPr>
            <w:tcW w:type="dxa" w:w="4133"/>
            <w:vAlign w:val="center"/>
            <w:shd w:fill="FFFFFF"/>
          </w:tcPr>
          <w:p>
            <w:pPr>
              <w:keepNext w:val="0"/>
              <w:spacing w:after="40" w:before="20" w:line="250" w:lineRule="auto"/>
            </w:pPr>
            <w:r>
              <w:rPr>
                <w:rFonts w:ascii="Calibri" w:hAnsi="Calibri"/>
                <w:b w:val="0"/>
                <w:color w:val="000000"/>
                <w:sz w:val="19"/>
              </w:rPr>
              <w:t>5 a 9 días más revisión externa</w:t>
            </w:r>
          </w:p>
        </w:tc>
      </w:tr>
      <w:tr>
        <w:trPr>
          <w:cantSplit/>
        </w:trPr>
        <w:tc>
          <w:tcPr>
            <w:tcW w:type="dxa" w:w="2592"/>
            <w:vAlign w:val="center"/>
            <w:shd w:fill="F2F5F7"/>
          </w:tcPr>
          <w:p>
            <w:pPr>
              <w:keepNext w:val="0"/>
              <w:spacing w:after="40" w:before="20" w:line="250" w:lineRule="auto"/>
            </w:pPr>
            <w:r>
              <w:rPr>
                <w:rFonts w:ascii="Calibri" w:hAnsi="Calibri"/>
                <w:b w:val="0"/>
                <w:color w:val="000000"/>
                <w:sz w:val="19"/>
              </w:rPr>
              <w:t>E9 Media persistente</w:t>
            </w:r>
          </w:p>
        </w:tc>
        <w:tc>
          <w:tcPr>
            <w:tcW w:type="dxa" w:w="3269"/>
            <w:vAlign w:val="center"/>
            <w:shd w:fill="F2F5F7"/>
          </w:tcPr>
          <w:p>
            <w:pPr>
              <w:keepNext w:val="0"/>
              <w:spacing w:after="40" w:before="20" w:line="250" w:lineRule="auto"/>
            </w:pPr>
            <w:r>
              <w:rPr>
                <w:rFonts w:ascii="Calibri" w:hAnsi="Calibri"/>
                <w:b w:val="0"/>
                <w:color w:val="000000"/>
                <w:sz w:val="19"/>
              </w:rPr>
              <w:t>T24 a T25</w:t>
            </w:r>
          </w:p>
        </w:tc>
        <w:tc>
          <w:tcPr>
            <w:tcW w:type="dxa" w:w="4133"/>
            <w:vAlign w:val="center"/>
            <w:shd w:fill="F2F5F7"/>
          </w:tcPr>
          <w:p>
            <w:pPr>
              <w:keepNext w:val="0"/>
              <w:spacing w:after="40" w:before="20" w:line="250" w:lineRule="auto"/>
            </w:pPr>
            <w:r>
              <w:rPr>
                <w:rFonts w:ascii="Calibri" w:hAnsi="Calibri"/>
                <w:b w:val="0"/>
                <w:color w:val="000000"/>
                <w:sz w:val="19"/>
              </w:rPr>
              <w:t>4 a 8 días adicionales</w:t>
            </w:r>
          </w:p>
        </w:tc>
      </w:tr>
    </w:tbl>
    <w:p>
      <w:pPr>
        <w:spacing w:after="40" w:before="0" w:line="40" w:lineRule="exact"/>
      </w:pPr>
      <w:r>
        <w:rPr>
          <w:sz w:val="4"/>
        </w:rPr>
      </w:r>
    </w:p>
    <w:p>
      <w:r>
        <w:t>Estimaciones propias de trabajo, no calendario ni cotización. Incluyen desarrollo y validación focalizada; dependen de licencias y staging. El alcance central E0 a E3 suma 14 a 25 días de ingeniería. E4 y E5 añaden 10 a 17 días. Las ampliaciones se estimarán de nuevo tras E0 para evitar doble conteo de infraestructura compartida.</w:t>
      </w:r>
    </w:p>
    <w:p>
      <w:pPr>
        <w:pStyle w:val="Heading2"/>
      </w:pPr>
      <w:r>
        <w:t>Secuencia y responsables propuestos</w:t>
      </w:r>
    </w:p>
    <w:p>
      <w:r>
        <w:t>E0 prepara entorno y permisos; la demo T02 se cierra en E1 después de T03 y T04. E2 y E3 dependen de esa base. Webinars precede al acceso avanzado de Events. UI propia puede seguir a E1 si es requisito de lanzamiento. Cada entrega tendrá responsables de desarrollo y validación; producto define los criterios académicos y el administrador Zoom prepara cuenta y permisos.</w:t>
      </w:r>
    </w:p>
    <w:p>
      <w:pPr>
        <w:pStyle w:val="Heading2"/>
      </w:pPr>
      <w:r>
        <w:t>Cambios de alcance</w:t>
      </w:r>
    </w:p>
    <w:p>
      <w:r>
        <w:t>Un complemento se registrará con ID de tarea, necesidad, criterio de aceptación, dependencia, esfuerzo y entrega afectada. Antes de ejecutar una ampliación se actualizarán ambos planes. No se fijarán fechas de producción hasta confirmar capacidad del equipo y dependencias externas.</w:t>
      </w:r>
    </w:p>
    <w:p>
      <w:r>
        <w:br w:type="page"/>
      </w:r>
    </w:p>
    <w:p>
      <w:pPr>
        <w:pStyle w:val="Heading1"/>
      </w:pPr>
      <w:r>
        <w:t>15 Validación lanzamiento y fuentes</w:t>
      </w:r>
    </w:p>
    <w:p>
      <w:pPr>
        <w:pStyle w:val="Heading2"/>
      </w:pPr>
      <w:r>
        <w:t>Pruebas obligatorias del alcance elegido</w:t>
      </w:r>
    </w:p>
    <w:p>
      <w:pPr>
        <w:pStyle w:val="ListBullet"/>
      </w:pPr>
      <w:r>
        <w:t>Autorización entre organizaciones, anfitrión ajeno y ausencia de secretos en Realtime.</w:t>
      </w:r>
    </w:p>
    <w:p>
      <w:pPr>
        <w:pStyle w:val="ListBullet"/>
      </w:pPr>
      <w:r>
        <w:t>Creación con respuestas perdidas, compensación fallida y recuperación sin duplicados.</w:t>
      </w:r>
    </w:p>
    <w:p>
      <w:pPr>
        <w:pStyle w:val="ListBullet"/>
      </w:pPr>
      <w:r>
        <w:t>Webhooks repetidos/desordenados, worker reiniciado y estados externos conciliados.</w:t>
      </w:r>
    </w:p>
    <w:p>
      <w:pPr>
        <w:pStyle w:val="ListBullet"/>
      </w:pPr>
      <w:r>
        <w:t>Pantalla/audio/cámara por navegador, permisos rechazados y reingreso con cleanup.</w:t>
      </w:r>
    </w:p>
    <w:p>
      <w:pPr>
        <w:pStyle w:val="ListBullet"/>
      </w:pPr>
      <w:r>
        <w:t>Asistencia por identidad e intervalos; roles y acceso individual para webinar/evento.</w:t>
      </w:r>
    </w:p>
    <w:p>
      <w:pPr>
        <w:pStyle w:val="ListBullet"/>
      </w:pPr>
      <w:r>
        <w:t>Migración compatible, compilación, checks de tipos aplicables y pruebas de carga del piloto.</w:t>
      </w:r>
    </w:p>
    <w:p>
      <w:r>
        <w:t>El piloto propuesto comprende un curso, dos organizaciones y clases con docente y alumnos de prueba. Tras aprobar los criterios, ampliar por organización/capacidad. Desactivar la bandera o capacidad constituye rollback de aplicación y conserva la información. Monitorizar errores por código, retraso de eventos, solicitudes inciertas y consumo sin guardar credenciales ni contenido en logs.</w:t>
      </w:r>
    </w:p>
    <w:p>
      <w:pPr>
        <w:pStyle w:val="Heading2"/>
      </w:pPr>
      <w:r>
        <w:t>Indicadores propuestos para el piloto</w:t>
      </w:r>
    </w:p>
    <w:p>
      <w:r>
        <w:t>Medir porcentaje de entradas exitosas, tiempo de entrada, retraso de actualización de estado, recuperaciones de operación y errores de autorización. Los umbrales iniciales se acordarán tras la demo E0; no se presentan como capacidad certificada de Zoom o Soflia.</w:t>
      </w:r>
    </w:p>
    <w:p>
      <w:pPr>
        <w:pStyle w:val="Heading2"/>
      </w:pPr>
      <w:r>
        <w:t>Evidencia y referencias</w:t>
      </w:r>
    </w:p>
    <w:p>
      <w:r>
        <w:t>Base de código: commit 7ec2c3135cdf9ff1a1ec438c5cd2b0201856e14e; comparación con HEAD 36b4b35c. Investigación original en docs/architecture/zoom-investigation-plan.md. La evidencia local aprobó 13 pruebas; requiere restaurar PGlite y Meeting SDK para completar validación de migración y bundle.</w:t>
      </w:r>
    </w:p>
    <w:p>
      <w:r>
        <w:t>Las referencias oficiales Z01 a Z17 enlazadas junto a cada entrega sustentan las capacidades del proveedor. Antes de programar, contrastar contratos y scopes con la versión fijada y la cuenta de staging. La investigación no acredita todavía configuración de licencias ni funcionamiento multimedia real.</w:t>
      </w:r>
    </w:p>
    <w:p>
      <w:r>
        <w:t xml:space="preserve">Contexto de producto  </w:t>
      </w:r>
      <w:hyperlink r:id="rId27">
        <w:r>
          <w:rPr>
            <w:color w:val="234D70"/>
            <w:u w:val="single"/>
          </w:rPr>
          <w:t>Chat compartido de Gemini</w:t>
        </w:r>
      </w:hyperlink>
    </w:p>
    <w:p>
      <w:r>
        <w:t xml:space="preserve">Referencia base  </w:t>
      </w:r>
      <w:hyperlink r:id="rId13">
        <w:r>
          <w:rPr>
            <w:color w:val="234D70"/>
            <w:u w:val="single"/>
          </w:rPr>
          <w:t>Zoom Developer API</w:t>
        </w:r>
      </w:hyperlink>
    </w:p>
    <w:sectPr w:rsidR="00FC693F" w:rsidRPr="0006063C" w:rsidSect="00034616">
      <w:footerReference w:type="default" r:id="rId9"/>
      <w:pgSz w:w="12240" w:h="15840"/>
      <w:pgMar w:top="965" w:right="1123" w:bottom="965" w:left="1123"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000000"/>
        <w:sz w:val="16"/>
      </w:rPr>
      <w:t xml:space="preserve">Soflia  Plan técnico  |  </w:t>
    </w:r>
    <w:r>
      <w:rPr>
        <w:rFonts w:ascii="Calibri" w:hAnsi="Calibri"/>
        <w:color w:val="000000"/>
        <w:sz w:val="16"/>
      </w:rPr>
      <w:fldChar w:fldCharType="begin"/>
      <w:instrText>PAGE</w:instrText>
      <w:fldChar w:fldCharType="end"/>
    </w:r>
    <w:r>
      <w:rPr>
        <w:rFonts w:ascii="Calibri" w:hAnsi="Calibri"/>
        <w:color w:val="000000"/>
        <w:sz w:val="16"/>
      </w:rPr>
      <w:t xml:space="preserve"> de </w:t>
    </w:r>
    <w:r>
      <w:rPr>
        <w:rFonts w:ascii="Calibri" w:hAnsi="Calibri"/>
        <w:color w:val="000000"/>
        <w:sz w:val="16"/>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4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20"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zoom.us/docs/meeting-sdk/web/" TargetMode="External"/><Relationship Id="rId11" Type="http://schemas.openxmlformats.org/officeDocument/2006/relationships/hyperlink" Target="https://developers.zoom.us/docs/video-sdk/auth/" TargetMode="External"/><Relationship Id="rId12" Type="http://schemas.openxmlformats.org/officeDocument/2006/relationships/hyperlink" Target="https://developers.zoom.us/docs/meeting-sdk/web/component-view/supported/" TargetMode="External"/><Relationship Id="rId13" Type="http://schemas.openxmlformats.org/officeDocument/2006/relationships/hyperlink" Target="https://developers.zoom.us/docs/api/" TargetMode="External"/><Relationship Id="rId14" Type="http://schemas.openxmlformats.org/officeDocument/2006/relationships/hyperlink" Target="https://developers.zoom.us/docs/meeting-sdk/web/browser-support/" TargetMode="External"/><Relationship Id="rId15" Type="http://schemas.openxmlformats.org/officeDocument/2006/relationships/hyperlink" Target="https://developers.zoom.us/docs/meeting-sdk/auth/" TargetMode="External"/><Relationship Id="rId16" Type="http://schemas.openxmlformats.org/officeDocument/2006/relationships/hyperlink" Target="https://developers.zoom.us/docs/api/meetings/" TargetMode="External"/><Relationship Id="rId17" Type="http://schemas.openxmlformats.org/officeDocument/2006/relationships/hyperlink" Target="https://developers.zoom.us/docs/video-sdk/web/share/" TargetMode="External"/><Relationship Id="rId18" Type="http://schemas.openxmlformats.org/officeDocument/2006/relationships/hyperlink" Target="https://developers.zoom.us/docs/api/webhooks/" TargetMode="External"/><Relationship Id="rId19" Type="http://schemas.openxmlformats.org/officeDocument/2006/relationships/hyperlink" Target="https://developers.zoom.us/docs/meeting-sdk/web/component-view/meetings-webinars/" TargetMode="External"/><Relationship Id="rId20" Type="http://schemas.openxmlformats.org/officeDocument/2006/relationships/hyperlink" Target="https://developers.zoom.us/docs/api/events/" TargetMode="External"/><Relationship Id="rId21" Type="http://schemas.openxmlformats.org/officeDocument/2006/relationships/hyperlink" Target="https://developers.zoom.us/docs/events/api-guides/create-virtual-event/" TargetMode="External"/><Relationship Id="rId22" Type="http://schemas.openxmlformats.org/officeDocument/2006/relationships/hyperlink" Target="https://developers.zoom.us/docs/build/dashboard/" TargetMode="External"/><Relationship Id="rId23" Type="http://schemas.openxmlformats.org/officeDocument/2006/relationships/hyperlink" Target="https://developers.zoom.us/docs/api/rooms/" TargetMode="External"/><Relationship Id="rId24" Type="http://schemas.openxmlformats.org/officeDocument/2006/relationships/hyperlink" Target="https://developers.zoom.us/docs/integrations/oauth/" TargetMode="External"/><Relationship Id="rId25" Type="http://schemas.openxmlformats.org/officeDocument/2006/relationships/hyperlink" Target="https://developers.zoom.us/docs/rtms/" TargetMode="External"/><Relationship Id="rId26" Type="http://schemas.openxmlformats.org/officeDocument/2006/relationships/hyperlink" Target="https://developers.zoom.us/docs/rtms/meetings/quickstart-websockets/" TargetMode="External"/><Relationship Id="rId27" Type="http://schemas.openxmlformats.org/officeDocument/2006/relationships/hyperlink" Target="https://gemini.google.com/share/3caffc9a58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técnico de integración de Zoom en Soflia</dc:title>
  <dc:subject>Plan de ejecución para desarrollo y validación</dc:subject>
  <dc:creator>Soflia</dc:creator>
  <cp:keywords>Zoom, Soflia, sesiones síncronas, plan</cp:keywords>
  <dc:description>generated by python-docx</dc:description>
  <cp:lastModifiedBy/>
  <cp:revision>1</cp:revision>
  <dcterms:created xsi:type="dcterms:W3CDTF">2026-10-10T16:00:00Z</dcterms:created>
  <dcterms:modified xsi:type="dcterms:W3CDTF">2026-10-10T16:00:00Z</dcterms:modified>
  <cp:category/>
</cp:coreProperties>
</file>