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C57" w:rsidRPr="002946BB" w:rsidRDefault="004F7C57" w:rsidP="004F7C57">
      <w:pPr>
        <w:spacing w:after="0" w:line="288" w:lineRule="auto"/>
        <w:rPr>
          <w:rFonts w:ascii="Verdana" w:hAnsi="Verdana"/>
          <w:b/>
          <w:sz w:val="20"/>
          <w:szCs w:val="20"/>
        </w:rPr>
      </w:pPr>
      <w:r w:rsidRPr="002946BB">
        <w:rPr>
          <w:rFonts w:ascii="Verdana" w:hAnsi="Verdana"/>
          <w:b/>
          <w:sz w:val="20"/>
          <w:szCs w:val="20"/>
        </w:rPr>
        <w:t>Calidad y transparencia</w:t>
      </w:r>
    </w:p>
    <w:p w:rsidR="004F7C57" w:rsidRDefault="004F7C57" w:rsidP="004F7C57">
      <w:pPr>
        <w:spacing w:after="0" w:line="288" w:lineRule="auto"/>
        <w:rPr>
          <w:rFonts w:ascii="Verdana" w:hAnsi="Verdana"/>
          <w:b/>
          <w:sz w:val="20"/>
          <w:szCs w:val="20"/>
          <w:highlight w:val="yellow"/>
        </w:rPr>
      </w:pPr>
    </w:p>
    <w:p w:rsidR="004F7C57" w:rsidRPr="005018D6" w:rsidRDefault="004F7C57" w:rsidP="004F7C57">
      <w:pPr>
        <w:spacing w:after="0" w:line="288" w:lineRule="auto"/>
        <w:rPr>
          <w:rFonts w:ascii="Verdana" w:hAnsi="Verdana"/>
          <w:b/>
          <w:sz w:val="20"/>
          <w:szCs w:val="20"/>
        </w:rPr>
      </w:pPr>
      <w:r w:rsidRPr="005018D6">
        <w:rPr>
          <w:rFonts w:ascii="Verdana" w:hAnsi="Verdana"/>
          <w:b/>
          <w:sz w:val="20"/>
          <w:szCs w:val="20"/>
        </w:rPr>
        <w:t>HACIENDA</w:t>
      </w:r>
    </w:p>
    <w:p w:rsidR="004F7C57" w:rsidRDefault="004F7C57" w:rsidP="004F7C57">
      <w:pPr>
        <w:spacing w:after="0" w:line="288" w:lineRule="auto"/>
        <w:rPr>
          <w:rFonts w:ascii="Verdana" w:hAnsi="Verdana"/>
          <w:b/>
          <w:sz w:val="20"/>
          <w:szCs w:val="20"/>
          <w:highlight w:val="yellow"/>
        </w:rPr>
      </w:pPr>
    </w:p>
    <w:p w:rsidR="004F7C57" w:rsidRPr="002F0A35" w:rsidRDefault="004F7C57" w:rsidP="004F7C57">
      <w:pPr>
        <w:jc w:val="both"/>
        <w:rPr>
          <w:rFonts w:ascii="Verdana" w:hAnsi="Verdana" w:cs="Arial"/>
          <w:sz w:val="20"/>
          <w:szCs w:val="20"/>
          <w:lang w:val="es-MX"/>
        </w:rPr>
      </w:pPr>
      <w:r w:rsidRPr="002F0A35">
        <w:rPr>
          <w:rFonts w:ascii="Verdana" w:hAnsi="Verdana" w:cs="Arial"/>
          <w:sz w:val="20"/>
          <w:szCs w:val="20"/>
          <w:lang w:val="es-MX"/>
        </w:rPr>
        <w:t>El escenario de pandemia trajo grandes oportunidades para la Secretaría de Hacienda, período en el cual trasladamos toda la operatoria presencial a una modalidad de trabajo virtual, diaria y continua. Esto se realizó en un contexto de incertidumbre sobre la continuidad y certeza de los ingresos de la entidad provenientes de</w:t>
      </w:r>
      <w:r w:rsidR="00902F38">
        <w:rPr>
          <w:rFonts w:ascii="Verdana" w:hAnsi="Verdana" w:cs="Arial"/>
          <w:sz w:val="20"/>
          <w:szCs w:val="20"/>
          <w:lang w:val="es-MX"/>
        </w:rPr>
        <w:t>l</w:t>
      </w:r>
      <w:r w:rsidRPr="002F0A35">
        <w:rPr>
          <w:rFonts w:ascii="Verdana" w:hAnsi="Verdana" w:cs="Arial"/>
          <w:sz w:val="20"/>
          <w:szCs w:val="20"/>
          <w:lang w:val="es-MX"/>
        </w:rPr>
        <w:t xml:space="preserve"> INACAP y</w:t>
      </w:r>
      <w:r>
        <w:rPr>
          <w:rFonts w:ascii="Verdana" w:hAnsi="Verdana" w:cs="Arial"/>
          <w:sz w:val="20"/>
          <w:szCs w:val="20"/>
          <w:lang w:val="es-MX"/>
        </w:rPr>
        <w:t>,</w:t>
      </w:r>
      <w:r w:rsidRPr="002F0A35">
        <w:rPr>
          <w:rFonts w:ascii="Verdana" w:hAnsi="Verdana" w:cs="Arial"/>
          <w:sz w:val="20"/>
          <w:szCs w:val="20"/>
          <w:lang w:val="es-MX"/>
        </w:rPr>
        <w:t xml:space="preserve"> por otro lado</w:t>
      </w:r>
      <w:r>
        <w:rPr>
          <w:rFonts w:ascii="Verdana" w:hAnsi="Verdana" w:cs="Arial"/>
          <w:sz w:val="20"/>
          <w:szCs w:val="20"/>
          <w:lang w:val="es-MX"/>
        </w:rPr>
        <w:t>,</w:t>
      </w:r>
      <w:r w:rsidRPr="002F0A35">
        <w:rPr>
          <w:rFonts w:ascii="Verdana" w:hAnsi="Verdana" w:cs="Arial"/>
          <w:sz w:val="20"/>
          <w:szCs w:val="20"/>
          <w:lang w:val="es-MX"/>
        </w:rPr>
        <w:t xml:space="preserve"> con la firme certeza de querer cumplir con los compromisos asumido</w:t>
      </w:r>
      <w:r>
        <w:rPr>
          <w:rFonts w:ascii="Verdana" w:hAnsi="Verdana" w:cs="Arial"/>
          <w:sz w:val="20"/>
          <w:szCs w:val="20"/>
          <w:lang w:val="es-MX"/>
        </w:rPr>
        <w:t>s</w:t>
      </w:r>
      <w:r w:rsidRPr="002F0A35">
        <w:rPr>
          <w:rFonts w:ascii="Verdana" w:hAnsi="Verdana" w:cs="Arial"/>
          <w:sz w:val="20"/>
          <w:szCs w:val="20"/>
          <w:lang w:val="es-MX"/>
        </w:rPr>
        <w:t xml:space="preserve"> con las entidades y los sueldos del personal. </w:t>
      </w:r>
    </w:p>
    <w:p w:rsidR="004F7C57" w:rsidRDefault="004F7C57" w:rsidP="004F7C57">
      <w:pPr>
        <w:jc w:val="both"/>
        <w:rPr>
          <w:rFonts w:ascii="Verdana" w:hAnsi="Verdana" w:cs="Arial"/>
          <w:sz w:val="20"/>
          <w:szCs w:val="20"/>
          <w:lang w:val="es-MX"/>
        </w:rPr>
      </w:pPr>
      <w:r w:rsidRPr="002F0A35">
        <w:rPr>
          <w:rFonts w:ascii="Verdana" w:hAnsi="Verdana" w:cs="Arial"/>
          <w:sz w:val="20"/>
          <w:szCs w:val="20"/>
          <w:lang w:val="es-MX"/>
        </w:rPr>
        <w:t xml:space="preserve">A partir de mediados de marzo, con la cuarentena obligatoria para los comercios que eran considerados no esenciales, se adaptaron los circuitos y procesos de todos los sectores, situación que se solucionó de manera ágil y oportuna, no afectando de esta manera la continuidad de la labor diaria de la entidad. </w:t>
      </w:r>
    </w:p>
    <w:p w:rsidR="004F7C57" w:rsidRDefault="004F7C57" w:rsidP="004F7C57">
      <w:pPr>
        <w:jc w:val="both"/>
        <w:rPr>
          <w:rFonts w:ascii="Verdana" w:hAnsi="Verdana" w:cs="Arial"/>
          <w:sz w:val="20"/>
          <w:szCs w:val="20"/>
          <w:lang w:val="es-MX"/>
        </w:rPr>
      </w:pPr>
      <w:r w:rsidRPr="002F0A35">
        <w:rPr>
          <w:rFonts w:ascii="Verdana" w:hAnsi="Verdana" w:cs="Arial"/>
          <w:sz w:val="20"/>
          <w:szCs w:val="20"/>
          <w:lang w:val="es-MX"/>
        </w:rPr>
        <w:t xml:space="preserve">Ante este nuevo contexto de trabajo, se armó un plan de contingencia económica que trabajó </w:t>
      </w:r>
      <w:bookmarkStart w:id="0" w:name="_GoBack"/>
      <w:bookmarkEnd w:id="0"/>
      <w:r w:rsidRPr="002F0A35">
        <w:rPr>
          <w:rFonts w:ascii="Verdana" w:hAnsi="Verdana" w:cs="Arial"/>
          <w:sz w:val="20"/>
          <w:szCs w:val="20"/>
          <w:lang w:val="es-MX"/>
        </w:rPr>
        <w:t>sobre los siguientes tópicos:</w:t>
      </w:r>
    </w:p>
    <w:p w:rsidR="00D557DC" w:rsidRDefault="00D557DC" w:rsidP="004F7C57">
      <w:pPr>
        <w:jc w:val="both"/>
        <w:rPr>
          <w:rFonts w:ascii="Verdana" w:hAnsi="Verdana" w:cs="Arial"/>
          <w:sz w:val="20"/>
          <w:szCs w:val="20"/>
          <w:lang w:val="es-MX"/>
        </w:rPr>
      </w:pPr>
    </w:p>
    <w:p w:rsidR="00D557DC" w:rsidRDefault="00D557DC" w:rsidP="00D557DC">
      <w:pPr>
        <w:pStyle w:val="NormalWeb"/>
        <w:jc w:val="both"/>
        <w:rPr>
          <w:rFonts w:ascii="Verdana" w:hAnsi="Verdana"/>
          <w:sz w:val="20"/>
          <w:szCs w:val="20"/>
        </w:rPr>
      </w:pPr>
      <w:r w:rsidRPr="0036309F">
        <w:rPr>
          <w:rFonts w:ascii="Verdana" w:hAnsi="Verdana"/>
          <w:b/>
          <w:sz w:val="20"/>
          <w:szCs w:val="20"/>
          <w:highlight w:val="yellow"/>
        </w:rPr>
        <w:t>Ref. Gráfica:</w:t>
      </w:r>
      <w:r>
        <w:rPr>
          <w:rFonts w:ascii="Verdana" w:hAnsi="Verdana"/>
          <w:sz w:val="20"/>
          <w:szCs w:val="20"/>
        </w:rPr>
        <w:t xml:space="preserve"> </w:t>
      </w:r>
      <w:proofErr w:type="spellStart"/>
      <w:r>
        <w:rPr>
          <w:rFonts w:ascii="Verdana" w:hAnsi="Verdana"/>
          <w:sz w:val="20"/>
          <w:szCs w:val="20"/>
        </w:rPr>
        <w:t>Styled</w:t>
      </w:r>
      <w:proofErr w:type="spellEnd"/>
      <w:r>
        <w:rPr>
          <w:rFonts w:ascii="Verdana" w:hAnsi="Verdana"/>
          <w:sz w:val="20"/>
          <w:szCs w:val="20"/>
        </w:rPr>
        <w:t xml:space="preserve"> </w:t>
      </w:r>
      <w:proofErr w:type="spellStart"/>
      <w:r>
        <w:rPr>
          <w:rFonts w:ascii="Verdana" w:hAnsi="Verdana"/>
          <w:sz w:val="20"/>
          <w:szCs w:val="20"/>
        </w:rPr>
        <w:t>Icons</w:t>
      </w:r>
      <w:proofErr w:type="spellEnd"/>
      <w:r>
        <w:rPr>
          <w:rFonts w:ascii="Verdana" w:hAnsi="Verdana"/>
          <w:sz w:val="20"/>
          <w:szCs w:val="20"/>
        </w:rPr>
        <w:t xml:space="preserve">: </w:t>
      </w:r>
      <w:hyperlink r:id="rId5" w:history="1">
        <w:r w:rsidRPr="00F34758">
          <w:rPr>
            <w:rStyle w:val="Hipervnculo"/>
            <w:rFonts w:ascii="Verdana" w:hAnsi="Verdana"/>
            <w:sz w:val="20"/>
            <w:szCs w:val="20"/>
          </w:rPr>
          <w:t>http://themes.semicolonweb.com/html/canvas/styled-icons.html</w:t>
        </w:r>
      </w:hyperlink>
      <w:r>
        <w:rPr>
          <w:rFonts w:ascii="Verdana" w:hAnsi="Verdana"/>
          <w:sz w:val="20"/>
          <w:szCs w:val="20"/>
        </w:rPr>
        <w:t xml:space="preserve"> </w:t>
      </w:r>
    </w:p>
    <w:p w:rsidR="004F7C57" w:rsidRPr="002F0A35" w:rsidRDefault="004F7C57" w:rsidP="004F7C57">
      <w:pPr>
        <w:pStyle w:val="Prrafodelista"/>
        <w:numPr>
          <w:ilvl w:val="0"/>
          <w:numId w:val="4"/>
        </w:numPr>
        <w:spacing w:after="160" w:line="259" w:lineRule="auto"/>
        <w:jc w:val="both"/>
        <w:rPr>
          <w:rFonts w:ascii="Verdana" w:hAnsi="Verdana" w:cs="Arial"/>
          <w:sz w:val="20"/>
          <w:szCs w:val="20"/>
          <w:lang w:val="es-MX"/>
        </w:rPr>
      </w:pPr>
      <w:r w:rsidRPr="002F0A35">
        <w:rPr>
          <w:rFonts w:ascii="Verdana" w:hAnsi="Verdana" w:cs="Arial"/>
          <w:sz w:val="20"/>
          <w:szCs w:val="20"/>
          <w:lang w:val="es-MX"/>
        </w:rPr>
        <w:t>Preservar los salarios de los empleados.</w:t>
      </w:r>
    </w:p>
    <w:p w:rsidR="004F7C57" w:rsidRPr="002F0A35" w:rsidRDefault="004F7C57" w:rsidP="004F7C57">
      <w:pPr>
        <w:pStyle w:val="Prrafodelista"/>
        <w:numPr>
          <w:ilvl w:val="0"/>
          <w:numId w:val="4"/>
        </w:numPr>
        <w:spacing w:after="160" w:line="259" w:lineRule="auto"/>
        <w:jc w:val="both"/>
        <w:rPr>
          <w:rFonts w:ascii="Verdana" w:hAnsi="Verdana" w:cs="Arial"/>
          <w:sz w:val="20"/>
          <w:szCs w:val="20"/>
          <w:lang w:val="es-MX"/>
        </w:rPr>
      </w:pPr>
      <w:r w:rsidRPr="002F0A35">
        <w:rPr>
          <w:rFonts w:ascii="Verdana" w:hAnsi="Verdana" w:cs="Arial"/>
          <w:sz w:val="20"/>
          <w:szCs w:val="20"/>
          <w:lang w:val="es-MX"/>
        </w:rPr>
        <w:t xml:space="preserve">Cumplir con los compromisos asumidos con todas las entidades, asegurando los aportes a aquellas que perciben fondos del INACAP, teniendo en cuenta que debían afrontan gastos de sueldos, servicios, infraestructura y capacitación; y sobre todo en las entidades del interior, </w:t>
      </w:r>
      <w:r>
        <w:rPr>
          <w:rFonts w:ascii="Verdana" w:hAnsi="Verdana" w:cs="Arial"/>
          <w:sz w:val="20"/>
          <w:szCs w:val="20"/>
          <w:lang w:val="es-MX"/>
        </w:rPr>
        <w:t xml:space="preserve">a las </w:t>
      </w:r>
      <w:r w:rsidRPr="002F0A35">
        <w:rPr>
          <w:rFonts w:ascii="Verdana" w:hAnsi="Verdana" w:cs="Arial"/>
          <w:sz w:val="20"/>
          <w:szCs w:val="20"/>
          <w:lang w:val="es-MX"/>
        </w:rPr>
        <w:t xml:space="preserve">que este aporte </w:t>
      </w:r>
      <w:r>
        <w:rPr>
          <w:rFonts w:ascii="Verdana" w:hAnsi="Verdana" w:cs="Arial"/>
          <w:sz w:val="20"/>
          <w:szCs w:val="20"/>
          <w:lang w:val="es-MX"/>
        </w:rPr>
        <w:t xml:space="preserve">les </w:t>
      </w:r>
      <w:r w:rsidRPr="002F0A35">
        <w:rPr>
          <w:rFonts w:ascii="Verdana" w:hAnsi="Verdana" w:cs="Arial"/>
          <w:sz w:val="20"/>
          <w:szCs w:val="20"/>
          <w:lang w:val="es-MX"/>
        </w:rPr>
        <w:t>representa el principal</w:t>
      </w:r>
      <w:r>
        <w:rPr>
          <w:rFonts w:ascii="Verdana" w:hAnsi="Verdana" w:cs="Arial"/>
          <w:sz w:val="20"/>
          <w:szCs w:val="20"/>
          <w:lang w:val="es-MX"/>
        </w:rPr>
        <w:t>,</w:t>
      </w:r>
      <w:r w:rsidRPr="002F0A35">
        <w:rPr>
          <w:rFonts w:ascii="Verdana" w:hAnsi="Verdana" w:cs="Arial"/>
          <w:sz w:val="20"/>
          <w:szCs w:val="20"/>
          <w:lang w:val="es-MX"/>
        </w:rPr>
        <w:t xml:space="preserve"> sino el único ingreso.</w:t>
      </w:r>
    </w:p>
    <w:p w:rsidR="004F7C57" w:rsidRPr="002F0A35" w:rsidRDefault="004F7C57" w:rsidP="004F7C57">
      <w:pPr>
        <w:pStyle w:val="Prrafodelista"/>
        <w:numPr>
          <w:ilvl w:val="0"/>
          <w:numId w:val="4"/>
        </w:numPr>
        <w:spacing w:after="160" w:line="259" w:lineRule="auto"/>
        <w:jc w:val="both"/>
        <w:rPr>
          <w:rFonts w:ascii="Verdana" w:hAnsi="Verdana" w:cs="Arial"/>
          <w:sz w:val="20"/>
          <w:szCs w:val="20"/>
          <w:lang w:val="es-MX"/>
        </w:rPr>
      </w:pPr>
      <w:r w:rsidRPr="002F0A35">
        <w:rPr>
          <w:rFonts w:ascii="Verdana" w:hAnsi="Verdana" w:cs="Arial"/>
          <w:sz w:val="20"/>
          <w:szCs w:val="20"/>
          <w:lang w:val="es-MX"/>
        </w:rPr>
        <w:t>Realizar un estricto ajuste de todos los gastos que no fueran indispensables</w:t>
      </w:r>
      <w:r w:rsidR="00902F38">
        <w:rPr>
          <w:rFonts w:ascii="Verdana" w:hAnsi="Verdana" w:cs="Arial"/>
          <w:sz w:val="20"/>
          <w:szCs w:val="20"/>
          <w:lang w:val="es-MX"/>
        </w:rPr>
        <w:t>.</w:t>
      </w:r>
      <w:r w:rsidRPr="002F0A35">
        <w:rPr>
          <w:rFonts w:ascii="Verdana" w:hAnsi="Verdana" w:cs="Arial"/>
          <w:sz w:val="20"/>
          <w:szCs w:val="20"/>
          <w:lang w:val="es-MX"/>
        </w:rPr>
        <w:t xml:space="preserve"> </w:t>
      </w:r>
      <w:r w:rsidR="00902F38">
        <w:rPr>
          <w:rFonts w:ascii="Verdana" w:hAnsi="Verdana" w:cs="Arial"/>
          <w:sz w:val="20"/>
          <w:szCs w:val="20"/>
          <w:lang w:val="es-MX"/>
        </w:rPr>
        <w:t>P</w:t>
      </w:r>
      <w:r w:rsidRPr="002F0A35">
        <w:rPr>
          <w:rFonts w:ascii="Verdana" w:hAnsi="Verdana" w:cs="Arial"/>
          <w:sz w:val="20"/>
          <w:szCs w:val="20"/>
          <w:lang w:val="es-MX"/>
        </w:rPr>
        <w:t>ara ello</w:t>
      </w:r>
      <w:r>
        <w:rPr>
          <w:rFonts w:ascii="Verdana" w:hAnsi="Verdana" w:cs="Arial"/>
          <w:sz w:val="20"/>
          <w:szCs w:val="20"/>
          <w:lang w:val="es-MX"/>
        </w:rPr>
        <w:t>,</w:t>
      </w:r>
      <w:r w:rsidRPr="002F0A35">
        <w:rPr>
          <w:rFonts w:ascii="Verdana" w:hAnsi="Verdana" w:cs="Arial"/>
          <w:sz w:val="20"/>
          <w:szCs w:val="20"/>
          <w:lang w:val="es-MX"/>
        </w:rPr>
        <w:t xml:space="preserve"> fue fundamental el apoyo de todos los sectores de la entidad, los cuales analizaron uno a uno cada servicio que tenían contratado.</w:t>
      </w:r>
    </w:p>
    <w:p w:rsidR="004F7C57" w:rsidRPr="002F0A35" w:rsidRDefault="004F7C57" w:rsidP="004F7C57">
      <w:pPr>
        <w:pStyle w:val="Prrafodelista"/>
        <w:numPr>
          <w:ilvl w:val="0"/>
          <w:numId w:val="4"/>
        </w:numPr>
        <w:spacing w:after="160" w:line="259" w:lineRule="auto"/>
        <w:jc w:val="both"/>
        <w:rPr>
          <w:rFonts w:ascii="Verdana" w:hAnsi="Verdana" w:cs="Arial"/>
          <w:sz w:val="20"/>
          <w:szCs w:val="20"/>
          <w:lang w:val="es-MX"/>
        </w:rPr>
      </w:pPr>
      <w:r w:rsidRPr="002F0A35">
        <w:rPr>
          <w:rFonts w:ascii="Verdana" w:hAnsi="Verdana" w:cs="Arial"/>
          <w:sz w:val="20"/>
          <w:szCs w:val="20"/>
          <w:lang w:val="es-MX"/>
        </w:rPr>
        <w:t>Renegociar los contratos vigentes, logrando obtener una disminución en el costo de varios servicios, como ser limpieza, seguridad, mantenimiento</w:t>
      </w:r>
      <w:r>
        <w:rPr>
          <w:rFonts w:ascii="Verdana" w:hAnsi="Verdana" w:cs="Arial"/>
          <w:sz w:val="20"/>
          <w:szCs w:val="20"/>
          <w:lang w:val="es-MX"/>
        </w:rPr>
        <w:t>,</w:t>
      </w:r>
      <w:r w:rsidRPr="002F0A35">
        <w:rPr>
          <w:rFonts w:ascii="Verdana" w:hAnsi="Verdana" w:cs="Arial"/>
          <w:sz w:val="20"/>
          <w:szCs w:val="20"/>
          <w:lang w:val="es-MX"/>
        </w:rPr>
        <w:t xml:space="preserve"> entre otros.</w:t>
      </w:r>
    </w:p>
    <w:p w:rsidR="004F7C57" w:rsidRPr="002F0A35" w:rsidRDefault="004F7C57" w:rsidP="004F7C57">
      <w:pPr>
        <w:jc w:val="both"/>
        <w:rPr>
          <w:rFonts w:ascii="Verdana" w:hAnsi="Verdana" w:cs="Arial"/>
          <w:sz w:val="20"/>
          <w:szCs w:val="20"/>
          <w:lang w:val="es-MX"/>
        </w:rPr>
      </w:pPr>
      <w:r w:rsidRPr="002F0A35">
        <w:rPr>
          <w:rFonts w:ascii="Verdana" w:hAnsi="Verdana" w:cs="Arial"/>
          <w:sz w:val="20"/>
          <w:szCs w:val="20"/>
          <w:lang w:val="es-MX"/>
        </w:rPr>
        <w:t xml:space="preserve">Para seguir con el normal funcionamiento, hubo que reconvertir todo el circuito administrativo de control, autorización y pago de los compromisos de un sistema presencial a una modalidad virtual, respetando las normas de control y seguridad.  </w:t>
      </w:r>
    </w:p>
    <w:p w:rsidR="004F7C57" w:rsidRPr="002F0A35" w:rsidRDefault="004F7C57" w:rsidP="004F7C57">
      <w:pPr>
        <w:jc w:val="both"/>
        <w:rPr>
          <w:rFonts w:ascii="Verdana" w:hAnsi="Verdana" w:cs="Arial"/>
          <w:sz w:val="20"/>
          <w:szCs w:val="20"/>
          <w:lang w:val="es-MX"/>
        </w:rPr>
      </w:pPr>
      <w:r w:rsidRPr="002F0A35">
        <w:rPr>
          <w:rFonts w:ascii="Verdana" w:hAnsi="Verdana" w:cs="Arial"/>
          <w:sz w:val="20"/>
          <w:szCs w:val="20"/>
          <w:lang w:val="es-MX"/>
        </w:rPr>
        <w:t>A esta situación, debemos agregar que las reuniones de Consejo Directivo se realizaron desde el inicio de la cuarentena en forma virtual evitando el traslado de los directivos a la sede de CAME.</w:t>
      </w:r>
    </w:p>
    <w:p w:rsidR="004F7C57" w:rsidRPr="002F0A35" w:rsidRDefault="004F7C57" w:rsidP="004F7C57">
      <w:pPr>
        <w:jc w:val="both"/>
        <w:rPr>
          <w:rFonts w:ascii="Verdana" w:hAnsi="Verdana" w:cs="Arial"/>
          <w:sz w:val="20"/>
          <w:szCs w:val="20"/>
          <w:lang w:val="es-MX"/>
        </w:rPr>
      </w:pPr>
      <w:r w:rsidRPr="002F0A35">
        <w:rPr>
          <w:rFonts w:ascii="Verdana" w:hAnsi="Verdana" w:cs="Arial"/>
          <w:sz w:val="20"/>
          <w:szCs w:val="20"/>
          <w:lang w:val="es-MX"/>
        </w:rPr>
        <w:t>En el mes de mayo solicitamos un ATP</w:t>
      </w:r>
      <w:r>
        <w:rPr>
          <w:rFonts w:ascii="Verdana" w:hAnsi="Verdana" w:cs="Arial"/>
          <w:sz w:val="20"/>
          <w:szCs w:val="20"/>
          <w:lang w:val="es-MX"/>
        </w:rPr>
        <w:t>,</w:t>
      </w:r>
      <w:r w:rsidRPr="002F0A35">
        <w:rPr>
          <w:rFonts w:ascii="Verdana" w:hAnsi="Verdana" w:cs="Arial"/>
          <w:sz w:val="20"/>
          <w:szCs w:val="20"/>
          <w:lang w:val="es-MX"/>
        </w:rPr>
        <w:t xml:space="preserve"> debido a la caída de los ingresos en el mes de abril de casi un 30</w:t>
      </w:r>
      <w:r>
        <w:rPr>
          <w:rFonts w:ascii="Verdana" w:hAnsi="Verdana" w:cs="Arial"/>
          <w:sz w:val="20"/>
          <w:szCs w:val="20"/>
          <w:lang w:val="es-MX"/>
        </w:rPr>
        <w:t xml:space="preserve"> </w:t>
      </w:r>
      <w:r w:rsidRPr="002F0A35">
        <w:rPr>
          <w:rFonts w:ascii="Verdana" w:hAnsi="Verdana" w:cs="Arial"/>
          <w:sz w:val="20"/>
          <w:szCs w:val="20"/>
          <w:lang w:val="es-MX"/>
        </w:rPr>
        <w:t>%, logrando tener un alivio para pagar sueldos y 1° cuota del aguinaldo.</w:t>
      </w:r>
    </w:p>
    <w:p w:rsidR="004F7C57" w:rsidRPr="002F0A35" w:rsidRDefault="004F7C57" w:rsidP="004F7C57">
      <w:pPr>
        <w:jc w:val="both"/>
        <w:rPr>
          <w:rFonts w:ascii="Verdana" w:hAnsi="Verdana" w:cs="Arial"/>
          <w:sz w:val="20"/>
          <w:szCs w:val="20"/>
          <w:lang w:val="es-MX"/>
        </w:rPr>
      </w:pPr>
      <w:r w:rsidRPr="002F0A35">
        <w:rPr>
          <w:rFonts w:ascii="Verdana" w:hAnsi="Verdana" w:cs="Arial"/>
          <w:sz w:val="20"/>
          <w:szCs w:val="20"/>
          <w:lang w:val="es-MX"/>
        </w:rPr>
        <w:t>Todas estas acciones lograron dos efectos. En primer lugar, dar un resultado económico favorable y</w:t>
      </w:r>
      <w:r>
        <w:rPr>
          <w:rFonts w:ascii="Verdana" w:hAnsi="Verdana" w:cs="Arial"/>
          <w:sz w:val="20"/>
          <w:szCs w:val="20"/>
          <w:lang w:val="es-MX"/>
        </w:rPr>
        <w:t>,</w:t>
      </w:r>
      <w:r w:rsidRPr="002F0A35">
        <w:rPr>
          <w:rFonts w:ascii="Verdana" w:hAnsi="Verdana" w:cs="Arial"/>
          <w:sz w:val="20"/>
          <w:szCs w:val="20"/>
          <w:lang w:val="es-MX"/>
        </w:rPr>
        <w:t xml:space="preserve"> en segundo lugar, agilizar el circuito de pagos al pasar de la emisión de cheques a la transferencia directa a las </w:t>
      </w:r>
      <w:r>
        <w:rPr>
          <w:rFonts w:ascii="Verdana" w:hAnsi="Verdana" w:cs="Arial"/>
          <w:sz w:val="20"/>
          <w:szCs w:val="20"/>
          <w:lang w:val="es-MX"/>
        </w:rPr>
        <w:t>e</w:t>
      </w:r>
      <w:r w:rsidRPr="002F0A35">
        <w:rPr>
          <w:rFonts w:ascii="Verdana" w:hAnsi="Verdana" w:cs="Arial"/>
          <w:sz w:val="20"/>
          <w:szCs w:val="20"/>
          <w:lang w:val="es-MX"/>
        </w:rPr>
        <w:t>ntidades y proveedores.</w:t>
      </w:r>
    </w:p>
    <w:p w:rsidR="004F7C57" w:rsidRPr="002F0A35" w:rsidRDefault="004F7C57" w:rsidP="004F7C57">
      <w:pPr>
        <w:jc w:val="both"/>
        <w:rPr>
          <w:rFonts w:ascii="Verdana" w:eastAsia="Times New Roman" w:hAnsi="Verdana" w:cs="Calibri"/>
          <w:color w:val="000000"/>
          <w:sz w:val="20"/>
          <w:szCs w:val="20"/>
          <w:lang w:val="es-ES" w:eastAsia="es-ES"/>
        </w:rPr>
      </w:pPr>
      <w:r w:rsidRPr="002F0A35">
        <w:rPr>
          <w:rFonts w:ascii="Verdana" w:hAnsi="Verdana" w:cs="Arial"/>
          <w:sz w:val="20"/>
          <w:szCs w:val="20"/>
          <w:lang w:val="es-MX"/>
        </w:rPr>
        <w:lastRenderedPageBreak/>
        <w:t>Hubo un aumento significativo en el activo producto del avance de la obra que otorga mayor valor al inmueble</w:t>
      </w:r>
      <w:r>
        <w:rPr>
          <w:rFonts w:ascii="Verdana" w:hAnsi="Verdana" w:cs="Arial"/>
          <w:sz w:val="20"/>
          <w:szCs w:val="20"/>
          <w:lang w:val="es-MX"/>
        </w:rPr>
        <w:t>,</w:t>
      </w:r>
      <w:r w:rsidRPr="002F0A35">
        <w:rPr>
          <w:rFonts w:ascii="Verdana" w:hAnsi="Verdana" w:cs="Arial"/>
          <w:sz w:val="20"/>
          <w:szCs w:val="20"/>
          <w:lang w:val="es-MX"/>
        </w:rPr>
        <w:t xml:space="preserve"> sito en Roque S</w:t>
      </w:r>
      <w:r>
        <w:rPr>
          <w:rFonts w:ascii="Verdana" w:hAnsi="Verdana" w:cs="Arial"/>
          <w:sz w:val="20"/>
          <w:szCs w:val="20"/>
          <w:lang w:val="es-MX"/>
        </w:rPr>
        <w:t>á</w:t>
      </w:r>
      <w:r w:rsidRPr="002F0A35">
        <w:rPr>
          <w:rFonts w:ascii="Verdana" w:hAnsi="Verdana" w:cs="Arial"/>
          <w:sz w:val="20"/>
          <w:szCs w:val="20"/>
          <w:lang w:val="es-MX"/>
        </w:rPr>
        <w:t xml:space="preserve">enz Peña 900, quedando valuado al 31 de diciembre de 2020 en </w:t>
      </w:r>
      <w:r w:rsidRPr="002F0A35">
        <w:rPr>
          <w:rFonts w:ascii="Verdana" w:hAnsi="Verdana" w:cs="Arial"/>
          <w:sz w:val="20"/>
          <w:szCs w:val="20"/>
          <w:highlight w:val="yellow"/>
          <w:lang w:val="es-MX"/>
        </w:rPr>
        <w:t>$ 325.802.361,80</w:t>
      </w:r>
      <w:r>
        <w:rPr>
          <w:rFonts w:ascii="Verdana" w:hAnsi="Verdana" w:cs="Arial"/>
          <w:sz w:val="20"/>
          <w:szCs w:val="20"/>
          <w:lang w:val="es-MX"/>
        </w:rPr>
        <w:t>.</w:t>
      </w:r>
    </w:p>
    <w:p w:rsidR="004F7C57" w:rsidRPr="002F0A35" w:rsidRDefault="004F7C57" w:rsidP="004F7C57">
      <w:pPr>
        <w:jc w:val="both"/>
        <w:rPr>
          <w:rFonts w:ascii="Verdana" w:eastAsia="Times New Roman" w:hAnsi="Verdana" w:cs="Arial"/>
          <w:b/>
          <w:bCs/>
          <w:sz w:val="20"/>
          <w:szCs w:val="20"/>
          <w:lang w:val="es-ES" w:eastAsia="es-ES"/>
        </w:rPr>
      </w:pPr>
      <w:r w:rsidRPr="002F0A35">
        <w:rPr>
          <w:rFonts w:ascii="Verdana" w:hAnsi="Verdana" w:cs="Arial"/>
          <w:sz w:val="20"/>
          <w:szCs w:val="20"/>
          <w:lang w:val="es-MX"/>
        </w:rPr>
        <w:t>Con respecto a la participación en el Instituto Asegurador Mercantil Compañía de Seguros S.A., la Confederación posee una participación del 49,85</w:t>
      </w:r>
      <w:r>
        <w:rPr>
          <w:rFonts w:ascii="Verdana" w:hAnsi="Verdana" w:cs="Arial"/>
          <w:sz w:val="20"/>
          <w:szCs w:val="20"/>
          <w:lang w:val="es-MX"/>
        </w:rPr>
        <w:t xml:space="preserve"> </w:t>
      </w:r>
      <w:r w:rsidRPr="002F0A35">
        <w:rPr>
          <w:rFonts w:ascii="Verdana" w:hAnsi="Verdana" w:cs="Arial"/>
          <w:sz w:val="20"/>
          <w:szCs w:val="20"/>
          <w:lang w:val="es-MX"/>
        </w:rPr>
        <w:t xml:space="preserve">% sobre el Patrimonio Neto del Instituto que ascendió a </w:t>
      </w:r>
      <w:r w:rsidRPr="002F0A35">
        <w:rPr>
          <w:rFonts w:ascii="Verdana" w:hAnsi="Verdana" w:cs="Arial"/>
          <w:sz w:val="20"/>
          <w:szCs w:val="20"/>
          <w:highlight w:val="yellow"/>
          <w:lang w:val="es-MX"/>
        </w:rPr>
        <w:t>$ 300.270.331,00</w:t>
      </w:r>
      <w:r w:rsidRPr="002F0A35">
        <w:rPr>
          <w:rFonts w:ascii="Verdana" w:hAnsi="Verdana" w:cs="Arial"/>
          <w:sz w:val="20"/>
          <w:szCs w:val="20"/>
          <w:lang w:val="es-MX"/>
        </w:rPr>
        <w:t xml:space="preserve"> al 31 de diciembre de 2020, quedando valuada nuestra participación en </w:t>
      </w:r>
      <w:r w:rsidRPr="002F0A35">
        <w:rPr>
          <w:rFonts w:ascii="Verdana" w:hAnsi="Verdana" w:cs="Arial"/>
          <w:sz w:val="20"/>
          <w:szCs w:val="20"/>
          <w:highlight w:val="yellow"/>
          <w:lang w:val="es-MX"/>
        </w:rPr>
        <w:t>$ 149.684.760,00</w:t>
      </w:r>
      <w:r w:rsidRPr="002F0A35">
        <w:rPr>
          <w:rFonts w:ascii="Verdana" w:hAnsi="Verdana" w:cs="Arial"/>
          <w:sz w:val="20"/>
          <w:szCs w:val="20"/>
          <w:lang w:val="es-MX"/>
        </w:rPr>
        <w:t xml:space="preserve">. El patrimonio neto del Instituto Asegurador incluye una reserva por revalúo técnico de inmuebles por $ </w:t>
      </w:r>
      <w:r w:rsidRPr="002F0A35">
        <w:rPr>
          <w:rFonts w:ascii="Verdana" w:hAnsi="Verdana" w:cs="Arial"/>
          <w:sz w:val="20"/>
          <w:szCs w:val="20"/>
          <w:highlight w:val="yellow"/>
          <w:lang w:val="es-MX"/>
        </w:rPr>
        <w:t xml:space="preserve">27.970.662,00. </w:t>
      </w:r>
      <w:r w:rsidRPr="002F0A35">
        <w:rPr>
          <w:rFonts w:ascii="Verdana" w:hAnsi="Verdana" w:cs="Arial"/>
          <w:sz w:val="20"/>
          <w:szCs w:val="20"/>
          <w:lang w:val="es-MX"/>
        </w:rPr>
        <w:t xml:space="preserve">El efecto de la mencionada reserva por revalúo técnico se ha imputado en el patrimonio neto de la Confederación en el rubro otras reservas en base al porcentaje de participación de la Confederación en dicha sociedad. </w:t>
      </w:r>
    </w:p>
    <w:p w:rsidR="004F7C57" w:rsidRPr="002F0A35" w:rsidRDefault="004F7C57" w:rsidP="004F7C57">
      <w:pPr>
        <w:jc w:val="both"/>
        <w:rPr>
          <w:rFonts w:ascii="Verdana" w:hAnsi="Verdana" w:cs="Arial"/>
          <w:sz w:val="20"/>
          <w:szCs w:val="20"/>
          <w:highlight w:val="yellow"/>
          <w:lang w:val="es-MX"/>
        </w:rPr>
      </w:pPr>
      <w:r w:rsidRPr="002F0A35">
        <w:rPr>
          <w:rFonts w:ascii="Verdana" w:hAnsi="Verdana" w:cs="Arial"/>
          <w:sz w:val="20"/>
          <w:szCs w:val="20"/>
          <w:lang w:val="es-MX"/>
        </w:rPr>
        <w:t>En lo que se refiere a la inversión en la Sociedad Tecnología e Información para Empresas S.A., la Confederación posee una participación del 95</w:t>
      </w:r>
      <w:r>
        <w:rPr>
          <w:rFonts w:ascii="Verdana" w:hAnsi="Verdana" w:cs="Arial"/>
          <w:sz w:val="20"/>
          <w:szCs w:val="20"/>
          <w:lang w:val="es-MX"/>
        </w:rPr>
        <w:t xml:space="preserve"> </w:t>
      </w:r>
      <w:r w:rsidRPr="002F0A35">
        <w:rPr>
          <w:rFonts w:ascii="Verdana" w:hAnsi="Verdana" w:cs="Arial"/>
          <w:sz w:val="20"/>
          <w:szCs w:val="20"/>
          <w:lang w:val="es-MX"/>
        </w:rPr>
        <w:t>% sobre el Patrimonio Neto de TEIPESA que ascendió a</w:t>
      </w:r>
      <w:r w:rsidRPr="002F0A35">
        <w:rPr>
          <w:rFonts w:ascii="Verdana" w:hAnsi="Verdana" w:cs="Arial"/>
          <w:sz w:val="20"/>
          <w:szCs w:val="20"/>
          <w:highlight w:val="yellow"/>
          <w:lang w:val="es-MX"/>
        </w:rPr>
        <w:t xml:space="preserve"> $ 21.487.136,21</w:t>
      </w:r>
      <w:r w:rsidRPr="002F0A35">
        <w:rPr>
          <w:rFonts w:ascii="Verdana" w:hAnsi="Verdana" w:cs="Arial"/>
          <w:sz w:val="20"/>
          <w:szCs w:val="20"/>
          <w:lang w:val="es-MX"/>
        </w:rPr>
        <w:t xml:space="preserve"> al 31 de diciembre de 2020, quedando valuada nuestra participación en </w:t>
      </w:r>
      <w:r w:rsidRPr="002F0A35">
        <w:rPr>
          <w:rFonts w:ascii="Verdana" w:hAnsi="Verdana" w:cs="Arial"/>
          <w:sz w:val="20"/>
          <w:szCs w:val="20"/>
          <w:highlight w:val="yellow"/>
          <w:lang w:val="es-MX"/>
        </w:rPr>
        <w:t>$ 20.412.779,40</w:t>
      </w:r>
      <w:r w:rsidRPr="00C15C00">
        <w:rPr>
          <w:rFonts w:ascii="Verdana" w:hAnsi="Verdana" w:cs="Arial"/>
          <w:sz w:val="20"/>
          <w:szCs w:val="20"/>
          <w:lang w:val="es-MX"/>
        </w:rPr>
        <w:t>.</w:t>
      </w:r>
    </w:p>
    <w:p w:rsidR="004F7C57" w:rsidRPr="002F0A35" w:rsidRDefault="004F7C57" w:rsidP="004F7C57">
      <w:pPr>
        <w:spacing w:after="0" w:line="288" w:lineRule="auto"/>
        <w:jc w:val="both"/>
        <w:rPr>
          <w:rFonts w:ascii="Verdana" w:hAnsi="Verdana"/>
          <w:b/>
          <w:sz w:val="20"/>
          <w:szCs w:val="20"/>
          <w:highlight w:val="yellow"/>
        </w:rPr>
      </w:pPr>
      <w:r w:rsidRPr="002F0A35">
        <w:rPr>
          <w:rFonts w:ascii="Verdana" w:hAnsi="Verdana" w:cs="Arial"/>
          <w:sz w:val="20"/>
          <w:szCs w:val="20"/>
          <w:lang w:val="es-MX"/>
        </w:rPr>
        <w:t>De acuerdo lo dispuesto por la Resolución Técnica 21 de la Federación Argentina de Consejos Profesionales de Ciencias Económicas se presenta en los Estados Contables de CAME el estado de situación patrimonial, los estados de resultados y de flujo de efectivo consolidados con TEIPESA al 31/12/2020.</w:t>
      </w:r>
    </w:p>
    <w:p w:rsidR="004F7C57" w:rsidRDefault="004F7C57" w:rsidP="004F7C57">
      <w:pPr>
        <w:spacing w:after="0" w:line="288" w:lineRule="auto"/>
        <w:rPr>
          <w:rFonts w:ascii="Verdana" w:hAnsi="Verdana"/>
          <w:b/>
          <w:sz w:val="20"/>
          <w:szCs w:val="20"/>
          <w:highlight w:val="yellow"/>
        </w:rPr>
      </w:pPr>
    </w:p>
    <w:p w:rsidR="004F7C57" w:rsidRDefault="004F7C57" w:rsidP="004F7C57">
      <w:pPr>
        <w:spacing w:after="0" w:line="288" w:lineRule="auto"/>
        <w:rPr>
          <w:rFonts w:ascii="Verdana" w:hAnsi="Verdana"/>
          <w:b/>
          <w:sz w:val="20"/>
          <w:szCs w:val="20"/>
          <w:highlight w:val="yellow"/>
        </w:rPr>
      </w:pPr>
    </w:p>
    <w:p w:rsidR="004F7C57" w:rsidRPr="005018D6" w:rsidRDefault="004F7C57" w:rsidP="004F7C57">
      <w:pPr>
        <w:spacing w:after="0" w:line="288" w:lineRule="auto"/>
        <w:rPr>
          <w:rFonts w:ascii="Verdana" w:hAnsi="Verdana"/>
          <w:b/>
          <w:sz w:val="20"/>
          <w:szCs w:val="20"/>
        </w:rPr>
      </w:pPr>
      <w:r w:rsidRPr="005018D6">
        <w:rPr>
          <w:rFonts w:ascii="Verdana" w:hAnsi="Verdana"/>
          <w:b/>
          <w:sz w:val="20"/>
          <w:szCs w:val="20"/>
        </w:rPr>
        <w:t>ADMINISTRACIÓN DE PRESUPUESTOS</w:t>
      </w:r>
    </w:p>
    <w:p w:rsidR="004F7C57" w:rsidRDefault="004F7C57" w:rsidP="004F7C57">
      <w:pPr>
        <w:pStyle w:val="NormalWeb"/>
        <w:jc w:val="both"/>
        <w:rPr>
          <w:rFonts w:ascii="Verdana" w:hAnsi="Verdana"/>
          <w:sz w:val="20"/>
          <w:szCs w:val="20"/>
        </w:rPr>
      </w:pPr>
      <w:r>
        <w:rPr>
          <w:rFonts w:ascii="Verdana" w:hAnsi="Verdana"/>
          <w:sz w:val="20"/>
          <w:szCs w:val="20"/>
        </w:rPr>
        <w:t>Desde e</w:t>
      </w:r>
      <w:r w:rsidRPr="00BF7B0C">
        <w:rPr>
          <w:rFonts w:ascii="Verdana" w:hAnsi="Verdana"/>
          <w:sz w:val="20"/>
          <w:szCs w:val="20"/>
        </w:rPr>
        <w:t>l sector Administración de Presupuestos</w:t>
      </w:r>
      <w:r>
        <w:rPr>
          <w:rFonts w:ascii="Verdana" w:hAnsi="Verdana"/>
          <w:sz w:val="20"/>
          <w:szCs w:val="20"/>
        </w:rPr>
        <w:t xml:space="preserve"> se</w:t>
      </w:r>
      <w:r w:rsidRPr="00BF7B0C">
        <w:rPr>
          <w:rFonts w:ascii="Verdana" w:hAnsi="Verdana"/>
          <w:sz w:val="20"/>
          <w:szCs w:val="20"/>
        </w:rPr>
        <w:t xml:space="preserve"> realizó una gestión enfocada en dos aristas: responder en tiempo y forma y con calidad y claridad a las entidades asociadas por temas presupuestarios, y, asimismo, seguir generando mecanismos para dar cada vez mayor transparencia a la distribución de los fondos destinados a</w:t>
      </w:r>
      <w:r>
        <w:rPr>
          <w:rFonts w:ascii="Verdana" w:hAnsi="Verdana"/>
          <w:sz w:val="20"/>
          <w:szCs w:val="20"/>
        </w:rPr>
        <w:t>l</w:t>
      </w:r>
      <w:r w:rsidRPr="00BF7B0C">
        <w:rPr>
          <w:rFonts w:ascii="Verdana" w:hAnsi="Verdana"/>
          <w:sz w:val="20"/>
          <w:szCs w:val="20"/>
        </w:rPr>
        <w:t xml:space="preserve"> fortalecimiento institucional y </w:t>
      </w:r>
      <w:r>
        <w:rPr>
          <w:rFonts w:ascii="Verdana" w:hAnsi="Verdana"/>
          <w:sz w:val="20"/>
          <w:szCs w:val="20"/>
        </w:rPr>
        <w:t xml:space="preserve">a la </w:t>
      </w:r>
      <w:r w:rsidRPr="00BF7B0C">
        <w:rPr>
          <w:rFonts w:ascii="Verdana" w:hAnsi="Verdana"/>
          <w:sz w:val="20"/>
          <w:szCs w:val="20"/>
        </w:rPr>
        <w:t xml:space="preserve">capacitación de nuestras asociadas. </w:t>
      </w:r>
    </w:p>
    <w:p w:rsidR="008C53A1" w:rsidRDefault="008C53A1" w:rsidP="004F7C57">
      <w:pPr>
        <w:pStyle w:val="NormalWeb"/>
        <w:jc w:val="both"/>
        <w:rPr>
          <w:rFonts w:ascii="Verdana" w:hAnsi="Verdana"/>
          <w:sz w:val="20"/>
          <w:szCs w:val="20"/>
        </w:rPr>
      </w:pPr>
      <w:r w:rsidRPr="0036309F">
        <w:rPr>
          <w:rFonts w:ascii="Verdana" w:hAnsi="Verdana"/>
          <w:b/>
          <w:sz w:val="20"/>
          <w:szCs w:val="20"/>
          <w:highlight w:val="yellow"/>
        </w:rPr>
        <w:t>Ref. Gráfica:</w:t>
      </w:r>
      <w:r>
        <w:rPr>
          <w:rFonts w:ascii="Verdana" w:hAnsi="Verdana"/>
          <w:sz w:val="20"/>
          <w:szCs w:val="20"/>
        </w:rPr>
        <w:t xml:space="preserve"> </w:t>
      </w:r>
      <w:proofErr w:type="spellStart"/>
      <w:r>
        <w:rPr>
          <w:rFonts w:ascii="Verdana" w:hAnsi="Verdana"/>
          <w:sz w:val="20"/>
          <w:szCs w:val="20"/>
        </w:rPr>
        <w:t>Styled</w:t>
      </w:r>
      <w:proofErr w:type="spellEnd"/>
      <w:r>
        <w:rPr>
          <w:rFonts w:ascii="Verdana" w:hAnsi="Verdana"/>
          <w:sz w:val="20"/>
          <w:szCs w:val="20"/>
        </w:rPr>
        <w:t xml:space="preserve"> </w:t>
      </w:r>
      <w:proofErr w:type="spellStart"/>
      <w:r>
        <w:rPr>
          <w:rFonts w:ascii="Verdana" w:hAnsi="Verdana"/>
          <w:sz w:val="20"/>
          <w:szCs w:val="20"/>
        </w:rPr>
        <w:t>Icons</w:t>
      </w:r>
      <w:proofErr w:type="spellEnd"/>
      <w:r>
        <w:rPr>
          <w:rFonts w:ascii="Verdana" w:hAnsi="Verdana"/>
          <w:sz w:val="20"/>
          <w:szCs w:val="20"/>
        </w:rPr>
        <w:t xml:space="preserve">: </w:t>
      </w:r>
      <w:hyperlink r:id="rId6" w:history="1">
        <w:r w:rsidRPr="00F34758">
          <w:rPr>
            <w:rStyle w:val="Hipervnculo"/>
            <w:rFonts w:ascii="Verdana" w:hAnsi="Verdana"/>
            <w:sz w:val="20"/>
            <w:szCs w:val="20"/>
          </w:rPr>
          <w:t>http://themes.semicolonweb.com/html/canvas/styled-icons.html</w:t>
        </w:r>
      </w:hyperlink>
      <w:r>
        <w:rPr>
          <w:rFonts w:ascii="Verdana" w:hAnsi="Verdana"/>
          <w:sz w:val="20"/>
          <w:szCs w:val="20"/>
        </w:rPr>
        <w:t xml:space="preserve"> </w:t>
      </w:r>
    </w:p>
    <w:p w:rsidR="008C53A1" w:rsidRPr="00BF7B0C" w:rsidRDefault="008C53A1" w:rsidP="004F7C57">
      <w:pPr>
        <w:pStyle w:val="NormalWeb"/>
        <w:jc w:val="both"/>
        <w:rPr>
          <w:rFonts w:ascii="Verdana" w:hAnsi="Verdana"/>
          <w:sz w:val="20"/>
          <w:szCs w:val="20"/>
        </w:rPr>
      </w:pPr>
    </w:p>
    <w:p w:rsidR="004F7C57" w:rsidRPr="00BF7B0C" w:rsidRDefault="008C53A1" w:rsidP="004F7C57">
      <w:pPr>
        <w:pStyle w:val="NormalWeb"/>
        <w:numPr>
          <w:ilvl w:val="0"/>
          <w:numId w:val="3"/>
        </w:numPr>
        <w:jc w:val="both"/>
        <w:rPr>
          <w:rFonts w:ascii="Verdana" w:hAnsi="Verdana" w:cs="Arial"/>
          <w:sz w:val="20"/>
          <w:szCs w:val="20"/>
        </w:rPr>
      </w:pPr>
      <w:r>
        <w:rPr>
          <w:rFonts w:ascii="Verdana" w:hAnsi="Verdana" w:cs="Arial"/>
          <w:sz w:val="20"/>
          <w:szCs w:val="20"/>
        </w:rPr>
        <w:t>Exitosa</w:t>
      </w:r>
      <w:r w:rsidR="004F7C57" w:rsidRPr="00BF7B0C">
        <w:rPr>
          <w:rFonts w:ascii="Verdana" w:hAnsi="Verdana" w:cs="Arial"/>
          <w:sz w:val="20"/>
          <w:szCs w:val="20"/>
        </w:rPr>
        <w:t xml:space="preserve"> Auditor</w:t>
      </w:r>
      <w:r w:rsidR="004F7C57">
        <w:rPr>
          <w:rFonts w:ascii="Verdana" w:hAnsi="Verdana" w:cs="Arial"/>
          <w:sz w:val="20"/>
          <w:szCs w:val="20"/>
        </w:rPr>
        <w:t>í</w:t>
      </w:r>
      <w:r w:rsidR="004F7C57" w:rsidRPr="00BF7B0C">
        <w:rPr>
          <w:rFonts w:ascii="Verdana" w:hAnsi="Verdana" w:cs="Arial"/>
          <w:sz w:val="20"/>
          <w:szCs w:val="20"/>
        </w:rPr>
        <w:t>a de Seguimiento del Instituto Argentino de Normalización y Certificación (IRAM), quien evaluó el grado de cumplimiento de los exigentes requisitos normativos de la Norma ISO 9001:2015</w:t>
      </w:r>
      <w:r>
        <w:rPr>
          <w:rFonts w:ascii="Verdana" w:hAnsi="Verdana" w:cs="Arial"/>
          <w:sz w:val="20"/>
          <w:szCs w:val="20"/>
        </w:rPr>
        <w:t>,</w:t>
      </w:r>
      <w:r w:rsidR="004F7C57" w:rsidRPr="00BF7B0C">
        <w:rPr>
          <w:rFonts w:ascii="Verdana" w:hAnsi="Verdana" w:cs="Arial"/>
          <w:sz w:val="20"/>
          <w:szCs w:val="20"/>
        </w:rPr>
        <w:t xml:space="preserve"> aplicable a la administración de partidas presupuestarias para capacitación y fortalecimiento institucional de las entidades gremiales </w:t>
      </w:r>
      <w:r w:rsidR="004F7C57">
        <w:rPr>
          <w:rFonts w:ascii="Verdana" w:hAnsi="Verdana" w:cs="Arial"/>
          <w:sz w:val="20"/>
          <w:szCs w:val="20"/>
        </w:rPr>
        <w:t>pymes</w:t>
      </w:r>
      <w:r w:rsidR="004F7C57" w:rsidRPr="00BF7B0C">
        <w:rPr>
          <w:rFonts w:ascii="Verdana" w:hAnsi="Verdana" w:cs="Arial"/>
          <w:sz w:val="20"/>
          <w:szCs w:val="20"/>
        </w:rPr>
        <w:t xml:space="preserve"> argentinas.</w:t>
      </w:r>
    </w:p>
    <w:p w:rsidR="004F7C57" w:rsidRPr="00BF7B0C" w:rsidRDefault="004F7C57" w:rsidP="004F7C57">
      <w:pPr>
        <w:pStyle w:val="NormalWeb"/>
        <w:numPr>
          <w:ilvl w:val="0"/>
          <w:numId w:val="3"/>
        </w:numPr>
        <w:jc w:val="both"/>
        <w:rPr>
          <w:rFonts w:ascii="Verdana" w:hAnsi="Verdana" w:cs="Arial"/>
          <w:sz w:val="20"/>
          <w:szCs w:val="20"/>
        </w:rPr>
      </w:pPr>
      <w:r w:rsidRPr="00BF7B0C">
        <w:rPr>
          <w:rFonts w:ascii="Verdana" w:hAnsi="Verdana"/>
          <w:sz w:val="20"/>
          <w:szCs w:val="20"/>
        </w:rPr>
        <w:t>Se establecieron objetivos de velocidad en la respuesta</w:t>
      </w:r>
      <w:r w:rsidR="008C53A1">
        <w:rPr>
          <w:rFonts w:ascii="Verdana" w:hAnsi="Verdana"/>
          <w:sz w:val="20"/>
          <w:szCs w:val="20"/>
        </w:rPr>
        <w:t>,</w:t>
      </w:r>
      <w:r w:rsidRPr="00BF7B0C">
        <w:rPr>
          <w:rFonts w:ascii="Verdana" w:hAnsi="Verdana"/>
          <w:sz w:val="20"/>
          <w:szCs w:val="20"/>
        </w:rPr>
        <w:t xml:space="preserve"> tanto en la gestión de comprobantes como en la respuesta a solicitudes concretas, logrando sostenerlos durante todo el año. </w:t>
      </w:r>
    </w:p>
    <w:p w:rsidR="008C53A1" w:rsidRPr="008C53A1" w:rsidRDefault="008C53A1" w:rsidP="004F7C57">
      <w:pPr>
        <w:pStyle w:val="NormalWeb"/>
        <w:numPr>
          <w:ilvl w:val="0"/>
          <w:numId w:val="3"/>
        </w:numPr>
        <w:jc w:val="both"/>
        <w:rPr>
          <w:rFonts w:ascii="Verdana" w:hAnsi="Verdana" w:cs="Arial"/>
          <w:sz w:val="20"/>
          <w:szCs w:val="20"/>
        </w:rPr>
      </w:pPr>
      <w:r>
        <w:rPr>
          <w:rFonts w:ascii="Verdana" w:hAnsi="Verdana"/>
          <w:sz w:val="20"/>
          <w:szCs w:val="20"/>
        </w:rPr>
        <w:t>E</w:t>
      </w:r>
      <w:r w:rsidR="004F7C57" w:rsidRPr="00BF7B0C">
        <w:rPr>
          <w:rFonts w:ascii="Verdana" w:hAnsi="Verdana"/>
          <w:sz w:val="20"/>
          <w:szCs w:val="20"/>
        </w:rPr>
        <w:t>ncuesta de satisfacción a las entidades a las que se brinda apoyo</w:t>
      </w:r>
      <w:r>
        <w:rPr>
          <w:rFonts w:ascii="Verdana" w:hAnsi="Verdana"/>
          <w:sz w:val="20"/>
          <w:szCs w:val="20"/>
        </w:rPr>
        <w:t>:</w:t>
      </w:r>
    </w:p>
    <w:p w:rsidR="008C53A1" w:rsidRPr="008C53A1" w:rsidRDefault="004F7C57" w:rsidP="008C53A1">
      <w:pPr>
        <w:pStyle w:val="NormalWeb"/>
        <w:numPr>
          <w:ilvl w:val="1"/>
          <w:numId w:val="3"/>
        </w:numPr>
        <w:jc w:val="both"/>
        <w:rPr>
          <w:rFonts w:ascii="Verdana" w:hAnsi="Verdana" w:cs="Arial"/>
          <w:sz w:val="20"/>
          <w:szCs w:val="20"/>
        </w:rPr>
      </w:pPr>
      <w:r w:rsidRPr="00BF7B0C">
        <w:rPr>
          <w:rFonts w:ascii="Verdana" w:hAnsi="Verdana"/>
          <w:sz w:val="20"/>
          <w:szCs w:val="20"/>
        </w:rPr>
        <w:t>73</w:t>
      </w:r>
      <w:r>
        <w:rPr>
          <w:rFonts w:ascii="Verdana" w:hAnsi="Verdana"/>
          <w:sz w:val="20"/>
          <w:szCs w:val="20"/>
        </w:rPr>
        <w:t xml:space="preserve"> </w:t>
      </w:r>
      <w:r w:rsidRPr="00BF7B0C">
        <w:rPr>
          <w:rFonts w:ascii="Verdana" w:hAnsi="Verdana"/>
          <w:sz w:val="20"/>
          <w:szCs w:val="20"/>
        </w:rPr>
        <w:t>% de respuestas</w:t>
      </w:r>
    </w:p>
    <w:p w:rsidR="008C53A1" w:rsidRPr="008C53A1" w:rsidRDefault="008C53A1" w:rsidP="008C53A1">
      <w:pPr>
        <w:pStyle w:val="NormalWeb"/>
        <w:numPr>
          <w:ilvl w:val="1"/>
          <w:numId w:val="3"/>
        </w:numPr>
        <w:jc w:val="both"/>
        <w:rPr>
          <w:rFonts w:ascii="Verdana" w:hAnsi="Verdana" w:cs="Arial"/>
          <w:sz w:val="20"/>
          <w:szCs w:val="20"/>
        </w:rPr>
      </w:pPr>
      <w:r>
        <w:rPr>
          <w:rFonts w:ascii="Verdana" w:hAnsi="Verdana"/>
          <w:sz w:val="20"/>
          <w:szCs w:val="20"/>
        </w:rPr>
        <w:t>R</w:t>
      </w:r>
      <w:r w:rsidR="004F7C57" w:rsidRPr="00BF7B0C">
        <w:rPr>
          <w:rFonts w:ascii="Verdana" w:hAnsi="Verdana"/>
          <w:sz w:val="20"/>
          <w:szCs w:val="20"/>
        </w:rPr>
        <w:t xml:space="preserve">esultado promedio de 9.20 entre los </w:t>
      </w:r>
      <w:r w:rsidR="004F7C57">
        <w:rPr>
          <w:rFonts w:ascii="Verdana" w:hAnsi="Verdana"/>
          <w:sz w:val="20"/>
          <w:szCs w:val="20"/>
        </w:rPr>
        <w:t>í</w:t>
      </w:r>
      <w:r w:rsidR="004F7C57" w:rsidRPr="00BF7B0C">
        <w:rPr>
          <w:rFonts w:ascii="Verdana" w:hAnsi="Verdana"/>
          <w:sz w:val="20"/>
          <w:szCs w:val="20"/>
        </w:rPr>
        <w:t>tems</w:t>
      </w:r>
      <w:r w:rsidR="004F7C57">
        <w:rPr>
          <w:rFonts w:ascii="Verdana" w:hAnsi="Verdana"/>
          <w:sz w:val="20"/>
          <w:szCs w:val="20"/>
        </w:rPr>
        <w:t>:</w:t>
      </w:r>
      <w:r w:rsidR="004F7C57" w:rsidRPr="00BF7B0C">
        <w:rPr>
          <w:rFonts w:ascii="Verdana" w:hAnsi="Verdana"/>
          <w:sz w:val="20"/>
          <w:szCs w:val="20"/>
        </w:rPr>
        <w:t xml:space="preserve"> Velocidad de respuesta a solicitudes, Atención del personal y Calidad del servicio prestado.</w:t>
      </w:r>
    </w:p>
    <w:p w:rsidR="004F7C57" w:rsidRPr="00BF7B0C" w:rsidRDefault="008C53A1" w:rsidP="008C53A1">
      <w:pPr>
        <w:pStyle w:val="NormalWeb"/>
        <w:numPr>
          <w:ilvl w:val="1"/>
          <w:numId w:val="3"/>
        </w:numPr>
        <w:jc w:val="both"/>
        <w:rPr>
          <w:rFonts w:ascii="Verdana" w:hAnsi="Verdana" w:cs="Arial"/>
          <w:sz w:val="20"/>
          <w:szCs w:val="20"/>
        </w:rPr>
      </w:pPr>
      <w:r>
        <w:rPr>
          <w:rFonts w:ascii="Verdana" w:hAnsi="Verdana"/>
          <w:sz w:val="20"/>
          <w:szCs w:val="20"/>
        </w:rPr>
        <w:lastRenderedPageBreak/>
        <w:t>E</w:t>
      </w:r>
      <w:r w:rsidR="004F7C57" w:rsidRPr="00BF7B0C">
        <w:rPr>
          <w:rFonts w:ascii="Verdana" w:hAnsi="Verdana"/>
          <w:sz w:val="20"/>
          <w:szCs w:val="20"/>
        </w:rPr>
        <w:t>ncuesta intern</w:t>
      </w:r>
      <w:r>
        <w:rPr>
          <w:rFonts w:ascii="Verdana" w:hAnsi="Verdana"/>
          <w:sz w:val="20"/>
          <w:szCs w:val="20"/>
        </w:rPr>
        <w:t xml:space="preserve">a a los directivos involucrados. Su </w:t>
      </w:r>
      <w:r w:rsidR="004F7C57" w:rsidRPr="00BF7B0C">
        <w:rPr>
          <w:rFonts w:ascii="Verdana" w:hAnsi="Verdana"/>
          <w:sz w:val="20"/>
          <w:szCs w:val="20"/>
        </w:rPr>
        <w:t>resultado fue un promedio de 9.33 entre los puntos</w:t>
      </w:r>
      <w:r>
        <w:rPr>
          <w:rFonts w:ascii="Verdana" w:hAnsi="Verdana"/>
          <w:sz w:val="20"/>
          <w:szCs w:val="20"/>
        </w:rPr>
        <w:t>:</w:t>
      </w:r>
      <w:r w:rsidR="004F7C57" w:rsidRPr="00BF7B0C">
        <w:rPr>
          <w:rFonts w:ascii="Verdana" w:hAnsi="Verdana"/>
          <w:sz w:val="20"/>
          <w:szCs w:val="20"/>
        </w:rPr>
        <w:t xml:space="preserve"> Gestión de </w:t>
      </w:r>
      <w:r w:rsidR="004F7C57">
        <w:rPr>
          <w:rFonts w:ascii="Verdana" w:hAnsi="Verdana"/>
          <w:sz w:val="20"/>
          <w:szCs w:val="20"/>
        </w:rPr>
        <w:t>a</w:t>
      </w:r>
      <w:r w:rsidR="004F7C57" w:rsidRPr="00BF7B0C">
        <w:rPr>
          <w:rFonts w:ascii="Verdana" w:hAnsi="Verdana"/>
          <w:sz w:val="20"/>
          <w:szCs w:val="20"/>
        </w:rPr>
        <w:t xml:space="preserve">utorizaciones y Reportes de </w:t>
      </w:r>
      <w:r w:rsidR="004F7C57">
        <w:rPr>
          <w:rFonts w:ascii="Verdana" w:hAnsi="Verdana"/>
          <w:sz w:val="20"/>
          <w:szCs w:val="20"/>
        </w:rPr>
        <w:t>g</w:t>
      </w:r>
      <w:r w:rsidR="004F7C57" w:rsidRPr="00BF7B0C">
        <w:rPr>
          <w:rFonts w:ascii="Verdana" w:hAnsi="Verdana"/>
          <w:sz w:val="20"/>
          <w:szCs w:val="20"/>
        </w:rPr>
        <w:t>estión.</w:t>
      </w:r>
    </w:p>
    <w:p w:rsidR="004F7C57" w:rsidRDefault="004F7C57" w:rsidP="004F7C57">
      <w:pPr>
        <w:pStyle w:val="NormalWeb"/>
        <w:jc w:val="both"/>
        <w:rPr>
          <w:rFonts w:ascii="Verdana" w:hAnsi="Verdana" w:cs="Arial"/>
          <w:sz w:val="20"/>
          <w:szCs w:val="20"/>
        </w:rPr>
      </w:pPr>
    </w:p>
    <w:p w:rsidR="005E399E" w:rsidRPr="005E399E" w:rsidRDefault="005E399E" w:rsidP="004F7C57">
      <w:pPr>
        <w:pStyle w:val="NormalWeb"/>
        <w:jc w:val="both"/>
        <w:rPr>
          <w:rFonts w:ascii="Verdana" w:hAnsi="Verdana" w:cs="Arial"/>
          <w:b/>
          <w:sz w:val="20"/>
          <w:szCs w:val="20"/>
        </w:rPr>
      </w:pPr>
      <w:r w:rsidRPr="007B04AF">
        <w:rPr>
          <w:rFonts w:ascii="Verdana" w:hAnsi="Verdana" w:cs="Arial"/>
          <w:b/>
          <w:sz w:val="20"/>
          <w:szCs w:val="20"/>
          <w:highlight w:val="yellow"/>
        </w:rPr>
        <w:t>Destacado:</w:t>
      </w:r>
      <w:r w:rsidR="00540ECA">
        <w:rPr>
          <w:rFonts w:ascii="Verdana" w:hAnsi="Verdana" w:cs="Arial"/>
          <w:b/>
          <w:sz w:val="20"/>
          <w:szCs w:val="20"/>
        </w:rPr>
        <w:t xml:space="preserve"> (Se puede usar algo como </w:t>
      </w:r>
      <w:r w:rsidR="00540ECA" w:rsidRPr="00540ECA">
        <w:rPr>
          <w:rFonts w:ascii="Verdana" w:hAnsi="Verdana" w:cs="Arial"/>
          <w:b/>
          <w:sz w:val="20"/>
          <w:szCs w:val="20"/>
        </w:rPr>
        <w:t>STAR RATINGS</w:t>
      </w:r>
      <w:r w:rsidR="00540ECA">
        <w:rPr>
          <w:rFonts w:ascii="Verdana" w:hAnsi="Verdana" w:cs="Arial"/>
          <w:b/>
          <w:sz w:val="20"/>
          <w:szCs w:val="20"/>
        </w:rPr>
        <w:t xml:space="preserve"> para el destacado: </w:t>
      </w:r>
      <w:hyperlink r:id="rId7" w:history="1">
        <w:r w:rsidR="00540ECA" w:rsidRPr="00F34758">
          <w:rPr>
            <w:rStyle w:val="Hipervnculo"/>
            <w:rFonts w:ascii="Verdana" w:hAnsi="Verdana" w:cs="Arial"/>
            <w:b/>
            <w:sz w:val="20"/>
            <w:szCs w:val="20"/>
          </w:rPr>
          <w:t>http://themes.semicolonweb.com/html/canvas/component-ratings.html</w:t>
        </w:r>
      </w:hyperlink>
      <w:r w:rsidR="00540ECA">
        <w:rPr>
          <w:rFonts w:ascii="Verdana" w:hAnsi="Verdana" w:cs="Arial"/>
          <w:b/>
          <w:sz w:val="20"/>
          <w:szCs w:val="20"/>
        </w:rPr>
        <w:t xml:space="preserve">) </w:t>
      </w:r>
    </w:p>
    <w:tbl>
      <w:tblPr>
        <w:tblStyle w:val="Tablaconcuadrcula"/>
        <w:tblW w:w="0" w:type="auto"/>
        <w:tblLook w:val="04A0" w:firstRow="1" w:lastRow="0" w:firstColumn="1" w:lastColumn="0" w:noHBand="0" w:noVBand="1"/>
      </w:tblPr>
      <w:tblGrid>
        <w:gridCol w:w="8828"/>
      </w:tblGrid>
      <w:tr w:rsidR="005E399E" w:rsidTr="005E399E">
        <w:tc>
          <w:tcPr>
            <w:tcW w:w="8828" w:type="dxa"/>
          </w:tcPr>
          <w:p w:rsidR="005E399E" w:rsidRDefault="005E399E" w:rsidP="004F7C57">
            <w:pPr>
              <w:rPr>
                <w:rFonts w:ascii="Verdana" w:hAnsi="Verdana"/>
                <w:sz w:val="20"/>
                <w:szCs w:val="20"/>
              </w:rPr>
            </w:pPr>
            <w:r w:rsidRPr="00BF7B0C">
              <w:rPr>
                <w:rFonts w:ascii="Verdana" w:hAnsi="Verdana"/>
                <w:sz w:val="20"/>
                <w:szCs w:val="20"/>
              </w:rPr>
              <w:t>En 2021</w:t>
            </w:r>
            <w:r>
              <w:rPr>
                <w:rFonts w:ascii="Verdana" w:hAnsi="Verdana"/>
                <w:sz w:val="20"/>
                <w:szCs w:val="20"/>
              </w:rPr>
              <w:t>,</w:t>
            </w:r>
            <w:r w:rsidRPr="00BF7B0C">
              <w:rPr>
                <w:rFonts w:ascii="Verdana" w:hAnsi="Verdana"/>
                <w:sz w:val="20"/>
                <w:szCs w:val="20"/>
              </w:rPr>
              <w:t xml:space="preserve"> el sector recertificará su Sistema de Gestión de la Calidad bajo la Norma IRAM 9001:2015, </w:t>
            </w:r>
            <w:r w:rsidRPr="00BF7B0C">
              <w:rPr>
                <w:rFonts w:ascii="Verdana" w:hAnsi="Verdana" w:cs="Arial"/>
                <w:sz w:val="20"/>
                <w:szCs w:val="20"/>
              </w:rPr>
              <w:t>siempre con el objetivo de enfocarse en los resultados de los procesos, la satisfacción de sus clientes y la mejora continua, con transparencia y eficiencia.</w:t>
            </w:r>
          </w:p>
        </w:tc>
      </w:tr>
    </w:tbl>
    <w:p w:rsidR="004F7C57" w:rsidRPr="00BF7B0C" w:rsidRDefault="004F7C57" w:rsidP="004F7C57">
      <w:pPr>
        <w:rPr>
          <w:rFonts w:ascii="Verdana" w:hAnsi="Verdana"/>
          <w:sz w:val="20"/>
          <w:szCs w:val="20"/>
        </w:rPr>
      </w:pPr>
    </w:p>
    <w:p w:rsidR="004F7C57" w:rsidRPr="00FC3A37" w:rsidRDefault="00FC3A37" w:rsidP="00FC3A37">
      <w:pPr>
        <w:rPr>
          <w:rFonts w:ascii="Verdana" w:hAnsi="Verdana"/>
          <w:b/>
          <w:sz w:val="20"/>
          <w:szCs w:val="20"/>
        </w:rPr>
      </w:pPr>
      <w:r w:rsidRPr="00FC3A37">
        <w:rPr>
          <w:rFonts w:ascii="Verdana" w:hAnsi="Verdana"/>
          <w:b/>
          <w:sz w:val="20"/>
          <w:szCs w:val="20"/>
          <w:highlight w:val="yellow"/>
        </w:rPr>
        <w:t xml:space="preserve">En esta tabla, se pueden usar </w:t>
      </w:r>
      <w:proofErr w:type="spellStart"/>
      <w:r w:rsidRPr="00FC3A37">
        <w:rPr>
          <w:rFonts w:ascii="Verdana" w:hAnsi="Verdana"/>
          <w:b/>
          <w:sz w:val="20"/>
          <w:szCs w:val="20"/>
          <w:highlight w:val="yellow"/>
        </w:rPr>
        <w:t>counters</w:t>
      </w:r>
      <w:proofErr w:type="spellEnd"/>
      <w:r w:rsidRPr="00FC3A37">
        <w:rPr>
          <w:rFonts w:ascii="Verdana" w:hAnsi="Verdana"/>
          <w:b/>
          <w:sz w:val="20"/>
          <w:szCs w:val="20"/>
          <w:highlight w:val="yellow"/>
        </w:rPr>
        <w:t>:</w:t>
      </w:r>
    </w:p>
    <w:p w:rsidR="004F7C57" w:rsidRPr="007E0A62" w:rsidRDefault="004F7C57" w:rsidP="005E399E">
      <w:pPr>
        <w:pStyle w:val="Prrafodelista"/>
        <w:spacing w:after="160" w:line="259" w:lineRule="auto"/>
        <w:ind w:left="1069"/>
        <w:rPr>
          <w:rFonts w:ascii="Verdana" w:hAnsi="Verdana"/>
          <w:sz w:val="20"/>
          <w:szCs w:val="20"/>
        </w:rPr>
      </w:pPr>
    </w:p>
    <w:tbl>
      <w:tblPr>
        <w:tblStyle w:val="Tablaconcuadrcula"/>
        <w:tblW w:w="0" w:type="auto"/>
        <w:jc w:val="center"/>
        <w:tblLook w:val="04A0" w:firstRow="1" w:lastRow="0" w:firstColumn="1" w:lastColumn="0" w:noHBand="0" w:noVBand="1"/>
      </w:tblPr>
      <w:tblGrid>
        <w:gridCol w:w="4414"/>
        <w:gridCol w:w="4414"/>
      </w:tblGrid>
      <w:tr w:rsidR="00FC3A37" w:rsidTr="00FC3A37">
        <w:trPr>
          <w:jc w:val="center"/>
        </w:trPr>
        <w:tc>
          <w:tcPr>
            <w:tcW w:w="4414" w:type="dxa"/>
            <w:vAlign w:val="center"/>
          </w:tcPr>
          <w:p w:rsidR="00FC3A37" w:rsidRDefault="00FC3A37" w:rsidP="004F7C57">
            <w:pPr>
              <w:spacing w:line="288" w:lineRule="auto"/>
              <w:rPr>
                <w:rFonts w:ascii="Verdana" w:hAnsi="Verdana"/>
                <w:b/>
                <w:sz w:val="20"/>
                <w:szCs w:val="20"/>
              </w:rPr>
            </w:pPr>
            <w:r w:rsidRPr="00BF7B0C">
              <w:rPr>
                <w:rFonts w:ascii="Verdana" w:hAnsi="Verdana"/>
                <w:sz w:val="20"/>
                <w:szCs w:val="20"/>
              </w:rPr>
              <w:t>De enero a diciembre 2020</w:t>
            </w:r>
            <w:r>
              <w:rPr>
                <w:rFonts w:ascii="Verdana" w:hAnsi="Verdana"/>
                <w:sz w:val="20"/>
                <w:szCs w:val="20"/>
              </w:rPr>
              <w:t>,</w:t>
            </w:r>
            <w:r w:rsidRPr="00BF7B0C">
              <w:rPr>
                <w:rFonts w:ascii="Verdana" w:hAnsi="Verdana"/>
                <w:sz w:val="20"/>
                <w:szCs w:val="20"/>
              </w:rPr>
              <w:t xml:space="preserve"> se brindó asistencia a un total de 267 entidades por un total de $ 352.405.220</w:t>
            </w:r>
            <w:r>
              <w:rPr>
                <w:rFonts w:ascii="Verdana" w:hAnsi="Verdana"/>
                <w:sz w:val="20"/>
                <w:szCs w:val="20"/>
              </w:rPr>
              <w:t>:</w:t>
            </w:r>
          </w:p>
        </w:tc>
        <w:tc>
          <w:tcPr>
            <w:tcW w:w="4414" w:type="dxa"/>
          </w:tcPr>
          <w:p w:rsidR="00FC3A37" w:rsidRPr="00BF7B0C" w:rsidRDefault="00FC3A37" w:rsidP="00FC3A37">
            <w:pPr>
              <w:pStyle w:val="Prrafodelista"/>
              <w:numPr>
                <w:ilvl w:val="0"/>
                <w:numId w:val="2"/>
              </w:numPr>
              <w:spacing w:after="160" w:line="259" w:lineRule="auto"/>
              <w:rPr>
                <w:rFonts w:ascii="Verdana" w:hAnsi="Verdana"/>
                <w:sz w:val="20"/>
                <w:szCs w:val="20"/>
              </w:rPr>
            </w:pPr>
            <w:r w:rsidRPr="00BF7B0C">
              <w:rPr>
                <w:rFonts w:ascii="Verdana" w:hAnsi="Verdana"/>
                <w:sz w:val="20"/>
                <w:szCs w:val="20"/>
              </w:rPr>
              <w:t>$ 331.790.516</w:t>
            </w:r>
            <w:r>
              <w:rPr>
                <w:rFonts w:ascii="Verdana" w:hAnsi="Verdana"/>
                <w:sz w:val="20"/>
                <w:szCs w:val="20"/>
              </w:rPr>
              <w:t xml:space="preserve"> en p</w:t>
            </w:r>
            <w:r w:rsidRPr="00BF7B0C">
              <w:rPr>
                <w:rFonts w:ascii="Verdana" w:hAnsi="Verdana"/>
                <w:sz w:val="20"/>
                <w:szCs w:val="20"/>
              </w:rPr>
              <w:t xml:space="preserve">resupuestos para capacitación y </w:t>
            </w:r>
            <w:r>
              <w:rPr>
                <w:rFonts w:ascii="Verdana" w:hAnsi="Verdana"/>
                <w:sz w:val="20"/>
                <w:szCs w:val="20"/>
              </w:rPr>
              <w:t>fortalecimiento institucional;</w:t>
            </w:r>
          </w:p>
          <w:p w:rsidR="00FC3A37" w:rsidRPr="00BF7B0C" w:rsidRDefault="00FC3A37" w:rsidP="00FC3A37">
            <w:pPr>
              <w:pStyle w:val="Prrafodelista"/>
              <w:numPr>
                <w:ilvl w:val="0"/>
                <w:numId w:val="2"/>
              </w:numPr>
              <w:spacing w:after="160" w:line="259" w:lineRule="auto"/>
              <w:rPr>
                <w:rFonts w:ascii="Verdana" w:hAnsi="Verdana"/>
                <w:sz w:val="20"/>
                <w:szCs w:val="20"/>
              </w:rPr>
            </w:pPr>
            <w:r w:rsidRPr="00BF7B0C">
              <w:rPr>
                <w:rFonts w:ascii="Verdana" w:hAnsi="Verdana"/>
                <w:sz w:val="20"/>
                <w:szCs w:val="20"/>
              </w:rPr>
              <w:t>$ 12.899.029</w:t>
            </w:r>
            <w:r>
              <w:rPr>
                <w:rFonts w:ascii="Verdana" w:hAnsi="Verdana"/>
                <w:sz w:val="20"/>
                <w:szCs w:val="20"/>
              </w:rPr>
              <w:t xml:space="preserve"> en a</w:t>
            </w:r>
            <w:r w:rsidRPr="00BF7B0C">
              <w:rPr>
                <w:rFonts w:ascii="Verdana" w:hAnsi="Verdana"/>
                <w:sz w:val="20"/>
                <w:szCs w:val="20"/>
              </w:rPr>
              <w:t>portes especiales: exposiciones</w:t>
            </w:r>
            <w:r>
              <w:rPr>
                <w:rFonts w:ascii="Verdana" w:hAnsi="Verdana"/>
                <w:sz w:val="20"/>
                <w:szCs w:val="20"/>
              </w:rPr>
              <w:t xml:space="preserve"> </w:t>
            </w:r>
            <w:r w:rsidRPr="00BF7B0C">
              <w:rPr>
                <w:rFonts w:ascii="Verdana" w:hAnsi="Verdana"/>
                <w:sz w:val="20"/>
                <w:szCs w:val="20"/>
              </w:rPr>
              <w:t xml:space="preserve">/ eventos/ talleres/ </w:t>
            </w:r>
            <w:r>
              <w:rPr>
                <w:rFonts w:ascii="Verdana" w:hAnsi="Verdana"/>
                <w:sz w:val="20"/>
                <w:szCs w:val="20"/>
              </w:rPr>
              <w:t>jornadas;</w:t>
            </w:r>
          </w:p>
          <w:p w:rsidR="00FC3A37" w:rsidRPr="00BF7B0C" w:rsidRDefault="00FC3A37" w:rsidP="00FC3A37">
            <w:pPr>
              <w:pStyle w:val="Prrafodelista"/>
              <w:numPr>
                <w:ilvl w:val="0"/>
                <w:numId w:val="2"/>
              </w:numPr>
              <w:spacing w:after="160" w:line="259" w:lineRule="auto"/>
              <w:rPr>
                <w:rFonts w:ascii="Verdana" w:hAnsi="Verdana"/>
                <w:sz w:val="20"/>
                <w:szCs w:val="20"/>
              </w:rPr>
            </w:pPr>
            <w:r w:rsidRPr="00BF7B0C">
              <w:rPr>
                <w:rFonts w:ascii="Verdana" w:hAnsi="Verdana"/>
                <w:sz w:val="20"/>
                <w:szCs w:val="20"/>
              </w:rPr>
              <w:t>$ 1.539.747</w:t>
            </w:r>
            <w:r>
              <w:rPr>
                <w:rFonts w:ascii="Verdana" w:hAnsi="Verdana"/>
                <w:sz w:val="20"/>
                <w:szCs w:val="20"/>
              </w:rPr>
              <w:t xml:space="preserve"> en reintegro de gastos;</w:t>
            </w:r>
          </w:p>
          <w:p w:rsidR="00FC3A37" w:rsidRPr="00BF7B0C" w:rsidRDefault="00FC3A37" w:rsidP="00FC3A37">
            <w:pPr>
              <w:pStyle w:val="Prrafodelista"/>
              <w:numPr>
                <w:ilvl w:val="0"/>
                <w:numId w:val="2"/>
              </w:numPr>
              <w:spacing w:after="160" w:line="259" w:lineRule="auto"/>
              <w:rPr>
                <w:rFonts w:ascii="Verdana" w:hAnsi="Verdana"/>
                <w:sz w:val="20"/>
                <w:szCs w:val="20"/>
              </w:rPr>
            </w:pPr>
            <w:r w:rsidRPr="00BF7B0C">
              <w:rPr>
                <w:rFonts w:ascii="Verdana" w:hAnsi="Verdana"/>
                <w:sz w:val="20"/>
                <w:szCs w:val="20"/>
              </w:rPr>
              <w:t>$4.902.909,00</w:t>
            </w:r>
            <w:r>
              <w:rPr>
                <w:rFonts w:ascii="Verdana" w:hAnsi="Verdana"/>
                <w:sz w:val="20"/>
                <w:szCs w:val="20"/>
              </w:rPr>
              <w:t xml:space="preserve"> en e</w:t>
            </w:r>
            <w:r w:rsidRPr="00BF7B0C">
              <w:rPr>
                <w:rFonts w:ascii="Verdana" w:hAnsi="Verdana"/>
                <w:sz w:val="20"/>
                <w:szCs w:val="20"/>
              </w:rPr>
              <w:t>ncuestas</w:t>
            </w:r>
            <w:r>
              <w:rPr>
                <w:rFonts w:ascii="Verdana" w:hAnsi="Verdana"/>
                <w:sz w:val="20"/>
                <w:szCs w:val="20"/>
              </w:rPr>
              <w:t xml:space="preserve"> </w:t>
            </w:r>
            <w:r w:rsidRPr="00BF7B0C">
              <w:rPr>
                <w:rFonts w:ascii="Verdana" w:hAnsi="Verdana"/>
                <w:sz w:val="20"/>
                <w:szCs w:val="20"/>
              </w:rPr>
              <w:t>/ estadísticas</w:t>
            </w:r>
            <w:r>
              <w:rPr>
                <w:rFonts w:ascii="Verdana" w:hAnsi="Verdana"/>
                <w:sz w:val="20"/>
                <w:szCs w:val="20"/>
              </w:rPr>
              <w:t xml:space="preserve"> / relevamiento datos;</w:t>
            </w:r>
          </w:p>
          <w:p w:rsidR="00FC3A37" w:rsidRDefault="00FC3A37" w:rsidP="00FC3A37">
            <w:pPr>
              <w:pStyle w:val="Prrafodelista"/>
              <w:numPr>
                <w:ilvl w:val="0"/>
                <w:numId w:val="2"/>
              </w:numPr>
              <w:spacing w:after="160" w:line="259" w:lineRule="auto"/>
              <w:rPr>
                <w:rFonts w:ascii="Verdana" w:hAnsi="Verdana"/>
                <w:sz w:val="20"/>
                <w:szCs w:val="20"/>
              </w:rPr>
            </w:pPr>
            <w:r w:rsidRPr="007E0A62">
              <w:rPr>
                <w:rFonts w:ascii="Verdana" w:hAnsi="Verdana"/>
                <w:sz w:val="20"/>
                <w:szCs w:val="20"/>
              </w:rPr>
              <w:t>$ 1.273.019,00</w:t>
            </w:r>
            <w:r>
              <w:rPr>
                <w:rFonts w:ascii="Verdana" w:hAnsi="Verdana"/>
                <w:sz w:val="20"/>
                <w:szCs w:val="20"/>
              </w:rPr>
              <w:t xml:space="preserve"> en a</w:t>
            </w:r>
            <w:r w:rsidRPr="007E0A62">
              <w:rPr>
                <w:rFonts w:ascii="Verdana" w:hAnsi="Verdana"/>
                <w:sz w:val="20"/>
                <w:szCs w:val="20"/>
              </w:rPr>
              <w:t xml:space="preserve">portes </w:t>
            </w:r>
            <w:r>
              <w:rPr>
                <w:rFonts w:ascii="Verdana" w:hAnsi="Verdana"/>
                <w:sz w:val="20"/>
                <w:szCs w:val="20"/>
              </w:rPr>
              <w:t xml:space="preserve">al </w:t>
            </w:r>
            <w:r w:rsidRPr="007E0A62">
              <w:rPr>
                <w:rFonts w:ascii="Verdana" w:hAnsi="Verdana"/>
                <w:sz w:val="20"/>
                <w:szCs w:val="20"/>
              </w:rPr>
              <w:t>CCCA.</w:t>
            </w:r>
          </w:p>
          <w:p w:rsidR="00FC3A37" w:rsidRDefault="00FC3A37" w:rsidP="004F7C57">
            <w:pPr>
              <w:spacing w:line="288" w:lineRule="auto"/>
              <w:rPr>
                <w:rFonts w:ascii="Verdana" w:hAnsi="Verdana"/>
                <w:b/>
                <w:sz w:val="20"/>
                <w:szCs w:val="20"/>
              </w:rPr>
            </w:pPr>
          </w:p>
        </w:tc>
      </w:tr>
    </w:tbl>
    <w:p w:rsidR="004F7C57" w:rsidRDefault="004F7C57" w:rsidP="004F7C57">
      <w:pPr>
        <w:spacing w:after="0" w:line="288" w:lineRule="auto"/>
        <w:rPr>
          <w:rFonts w:ascii="Verdana" w:hAnsi="Verdana"/>
          <w:b/>
          <w:sz w:val="20"/>
          <w:szCs w:val="20"/>
        </w:rPr>
      </w:pPr>
    </w:p>
    <w:p w:rsidR="00ED67E8" w:rsidRDefault="00ED67E8"/>
    <w:sectPr w:rsidR="00ED6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1CE"/>
    <w:multiLevelType w:val="hybridMultilevel"/>
    <w:tmpl w:val="A84ACE1E"/>
    <w:lvl w:ilvl="0" w:tplc="1E7A941A">
      <w:numFmt w:val="bullet"/>
      <w:lvlText w:val="-"/>
      <w:lvlJc w:val="left"/>
      <w:pPr>
        <w:ind w:left="1069" w:hanging="360"/>
      </w:pPr>
      <w:rPr>
        <w:rFonts w:ascii="Calibri" w:eastAsiaTheme="minorHAnsi" w:hAnsi="Calibri" w:cs="Calibri"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 w15:restartNumberingAfterBreak="0">
    <w:nsid w:val="0ED23A73"/>
    <w:multiLevelType w:val="hybridMultilevel"/>
    <w:tmpl w:val="52586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85760"/>
    <w:multiLevelType w:val="hybridMultilevel"/>
    <w:tmpl w:val="5A6A1B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8437EA5"/>
    <w:multiLevelType w:val="hybridMultilevel"/>
    <w:tmpl w:val="3F74B47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57"/>
    <w:rsid w:val="00176285"/>
    <w:rsid w:val="0036309F"/>
    <w:rsid w:val="004F7C57"/>
    <w:rsid w:val="00540ECA"/>
    <w:rsid w:val="0057579A"/>
    <w:rsid w:val="005E399E"/>
    <w:rsid w:val="00795F63"/>
    <w:rsid w:val="007B04AF"/>
    <w:rsid w:val="008C53A1"/>
    <w:rsid w:val="00902F38"/>
    <w:rsid w:val="00946242"/>
    <w:rsid w:val="00B97611"/>
    <w:rsid w:val="00C83301"/>
    <w:rsid w:val="00CF2B54"/>
    <w:rsid w:val="00D51705"/>
    <w:rsid w:val="00D557DC"/>
    <w:rsid w:val="00ED67E8"/>
    <w:rsid w:val="00EF23A6"/>
    <w:rsid w:val="00FC3A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9751"/>
  <w15:chartTrackingRefBased/>
  <w15:docId w15:val="{0886F02D-7A76-465A-91CD-D3A62623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C57"/>
    <w:pPr>
      <w:spacing w:after="0" w:line="240" w:lineRule="auto"/>
      <w:ind w:left="720"/>
      <w:contextualSpacing/>
    </w:pPr>
    <w:rPr>
      <w:sz w:val="24"/>
      <w:szCs w:val="24"/>
      <w:lang w:val="es-ES_tradnl"/>
    </w:rPr>
  </w:style>
  <w:style w:type="paragraph" w:styleId="NormalWeb">
    <w:name w:val="Normal (Web)"/>
    <w:basedOn w:val="Normal"/>
    <w:uiPriority w:val="99"/>
    <w:unhideWhenUsed/>
    <w:rsid w:val="004F7C57"/>
    <w:pPr>
      <w:spacing w:before="100" w:beforeAutospacing="1" w:after="100" w:afterAutospacing="1" w:line="240" w:lineRule="auto"/>
    </w:pPr>
    <w:rPr>
      <w:rFonts w:ascii="Times New Roman" w:hAnsi="Times New Roman" w:cs="Times New Roman"/>
      <w:sz w:val="24"/>
      <w:szCs w:val="24"/>
      <w:lang w:eastAsia="es-AR"/>
    </w:rPr>
  </w:style>
  <w:style w:type="character" w:styleId="Hipervnculo">
    <w:name w:val="Hyperlink"/>
    <w:basedOn w:val="Fuentedeprrafopredeter"/>
    <w:uiPriority w:val="99"/>
    <w:unhideWhenUsed/>
    <w:rsid w:val="008C53A1"/>
    <w:rPr>
      <w:color w:val="0563C1" w:themeColor="hyperlink"/>
      <w:u w:val="single"/>
    </w:rPr>
  </w:style>
  <w:style w:type="table" w:styleId="Tablaconcuadrcula">
    <w:name w:val="Table Grid"/>
    <w:basedOn w:val="Tablanormal"/>
    <w:uiPriority w:val="39"/>
    <w:rsid w:val="005E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6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mes.semicolonweb.com/html/canvas/component-rat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mes.semicolonweb.com/html/canvas/styled-icons.html" TargetMode="External"/><Relationship Id="rId5" Type="http://schemas.openxmlformats.org/officeDocument/2006/relationships/hyperlink" Target="http://themes.semicolonweb.com/html/canvas/styled-ic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Behar</dc:creator>
  <cp:keywords/>
  <dc:description/>
  <cp:lastModifiedBy>Déborah Behar</cp:lastModifiedBy>
  <cp:revision>9</cp:revision>
  <dcterms:created xsi:type="dcterms:W3CDTF">2021-04-13T13:21:00Z</dcterms:created>
  <dcterms:modified xsi:type="dcterms:W3CDTF">2021-04-13T14:32:00Z</dcterms:modified>
</cp:coreProperties>
</file>