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8F8" w:rsidRDefault="006E08F8" w:rsidP="006E08F8">
      <w:pPr>
        <w:spacing w:after="0" w:line="360" w:lineRule="auto"/>
        <w:ind w:left="-567" w:right="-567"/>
        <w:rPr>
          <w:rFonts w:ascii="Verdana" w:hAnsi="Verdana"/>
          <w:b/>
          <w:color w:val="1F4E79" w:themeColor="accent1" w:themeShade="80"/>
          <w:sz w:val="24"/>
          <w:szCs w:val="24"/>
          <w:lang w:val="es-ES"/>
        </w:rPr>
      </w:pPr>
    </w:p>
    <w:p w:rsidR="006E08F8" w:rsidRDefault="006E08F8" w:rsidP="00095029">
      <w:pPr>
        <w:spacing w:after="0" w:line="360" w:lineRule="auto"/>
        <w:ind w:left="-567" w:right="-567"/>
        <w:jc w:val="center"/>
        <w:rPr>
          <w:rFonts w:ascii="Verdana" w:hAnsi="Verdana"/>
          <w:b/>
          <w:color w:val="1F4E79" w:themeColor="accent1" w:themeShade="80"/>
          <w:sz w:val="24"/>
          <w:szCs w:val="24"/>
          <w:lang w:val="es-ES"/>
        </w:rPr>
      </w:pPr>
      <w:r w:rsidRPr="005562B8">
        <w:rPr>
          <w:rFonts w:ascii="Verdana" w:hAnsi="Verdana"/>
          <w:b/>
          <w:color w:val="1F4E79" w:themeColor="accent1" w:themeShade="80"/>
          <w:sz w:val="24"/>
          <w:szCs w:val="24"/>
          <w:lang w:val="es-ES"/>
        </w:rPr>
        <w:t>SECTOR ESTADÍSTICAS E INFORMES</w:t>
      </w:r>
    </w:p>
    <w:p w:rsidR="00095029" w:rsidRPr="005562B8" w:rsidRDefault="00095029" w:rsidP="00095029">
      <w:pPr>
        <w:spacing w:after="0" w:line="360" w:lineRule="auto"/>
        <w:ind w:left="-567" w:right="-567"/>
        <w:jc w:val="center"/>
        <w:rPr>
          <w:rFonts w:ascii="Verdana" w:hAnsi="Verdana"/>
          <w:b/>
          <w:color w:val="1F4E79" w:themeColor="accent1" w:themeShade="80"/>
          <w:sz w:val="24"/>
          <w:szCs w:val="24"/>
          <w:lang w:val="es-ES"/>
        </w:rPr>
      </w:pPr>
      <w:r>
        <w:rPr>
          <w:rFonts w:ascii="Verdana" w:hAnsi="Verdana"/>
          <w:b/>
          <w:color w:val="1F4E79" w:themeColor="accent1" w:themeShade="80"/>
          <w:sz w:val="24"/>
          <w:szCs w:val="24"/>
          <w:lang w:val="es-ES"/>
        </w:rPr>
        <w:t>Memoria 2020</w:t>
      </w:r>
    </w:p>
    <w:p w:rsidR="004B6B43" w:rsidRDefault="00C52DE7" w:rsidP="00711E88">
      <w:pPr>
        <w:spacing w:after="0" w:line="360" w:lineRule="auto"/>
        <w:ind w:left="-567" w:right="-567"/>
        <w:jc w:val="both"/>
        <w:rPr>
          <w:rFonts w:ascii="Verdana" w:hAnsi="Verdana"/>
          <w:b/>
          <w:color w:val="1F4E79" w:themeColor="accent1" w:themeShade="80"/>
          <w:sz w:val="24"/>
          <w:szCs w:val="24"/>
          <w:lang w:val="es-ES"/>
        </w:rPr>
      </w:pPr>
      <w:r>
        <w:rPr>
          <w:rFonts w:ascii="Verdana" w:hAnsi="Verdana"/>
          <w:b/>
          <w:color w:val="1F4E79" w:themeColor="accent1" w:themeShade="80"/>
          <w:sz w:val="24"/>
          <w:szCs w:val="24"/>
          <w:lang w:val="es-ES"/>
        </w:rPr>
        <w:pict>
          <v:rect id="_x0000_i1025" style="width:481.9pt;height:4pt" o:hralign="center" o:hrstd="t" o:hrnoshade="t" o:hr="t" fillcolor="#2e74b5 [2404]" stroked="f"/>
        </w:pict>
      </w:r>
    </w:p>
    <w:p w:rsidR="00095029" w:rsidRPr="00325E63" w:rsidRDefault="00325E63" w:rsidP="00C52DE7">
      <w:pPr>
        <w:spacing w:after="0" w:line="360" w:lineRule="auto"/>
        <w:ind w:left="-567" w:right="-567"/>
        <w:jc w:val="both"/>
        <w:rPr>
          <w:rFonts w:ascii="Verdana" w:hAnsi="Verdana"/>
          <w:sz w:val="20"/>
          <w:szCs w:val="20"/>
          <w:lang w:val="es-ES"/>
        </w:rPr>
      </w:pPr>
      <w:r w:rsidRPr="00325E63">
        <w:rPr>
          <w:rFonts w:ascii="Verdana" w:hAnsi="Verdana"/>
          <w:sz w:val="20"/>
          <w:szCs w:val="20"/>
          <w:lang w:val="es-ES"/>
        </w:rPr>
        <w:t xml:space="preserve">El sector de Estadísticas e Informes tiene por objeto relevar y analizar la información de </w:t>
      </w:r>
      <w:r>
        <w:rPr>
          <w:rFonts w:ascii="Verdana" w:hAnsi="Verdana"/>
          <w:sz w:val="20"/>
          <w:szCs w:val="20"/>
          <w:lang w:val="es-ES"/>
        </w:rPr>
        <w:t>interés para la actividad pyme</w:t>
      </w:r>
      <w:r w:rsidRPr="00325E63">
        <w:rPr>
          <w:rFonts w:ascii="Verdana" w:hAnsi="Verdana"/>
          <w:sz w:val="20"/>
          <w:szCs w:val="20"/>
          <w:lang w:val="es-ES"/>
        </w:rPr>
        <w:t xml:space="preserve"> mediante la realización de sus índices mensuales</w:t>
      </w:r>
      <w:r w:rsidR="00353726">
        <w:rPr>
          <w:rFonts w:ascii="Verdana" w:hAnsi="Verdana"/>
          <w:sz w:val="20"/>
          <w:szCs w:val="20"/>
          <w:lang w:val="es-ES"/>
        </w:rPr>
        <w:t xml:space="preserve">: </w:t>
      </w:r>
      <w:r w:rsidRPr="00325E63">
        <w:rPr>
          <w:rFonts w:ascii="Verdana" w:hAnsi="Verdana"/>
          <w:sz w:val="20"/>
          <w:szCs w:val="20"/>
          <w:lang w:val="es-ES"/>
        </w:rPr>
        <w:t xml:space="preserve"> </w:t>
      </w:r>
      <w:r w:rsidR="00EB40DD">
        <w:rPr>
          <w:rFonts w:ascii="Verdana" w:hAnsi="Verdana"/>
          <w:sz w:val="20"/>
          <w:szCs w:val="20"/>
          <w:lang w:val="es-ES"/>
        </w:rPr>
        <w:t>Ventas M</w:t>
      </w:r>
      <w:r w:rsidR="002D6B9A">
        <w:rPr>
          <w:rFonts w:ascii="Verdana" w:hAnsi="Verdana"/>
          <w:sz w:val="20"/>
          <w:szCs w:val="20"/>
          <w:lang w:val="es-ES"/>
        </w:rPr>
        <w:t>inoristas, Índice de Producción Industrial Pyme (IPIP),</w:t>
      </w:r>
      <w:r w:rsidR="00EB40DD">
        <w:rPr>
          <w:rFonts w:ascii="Verdana" w:hAnsi="Verdana"/>
          <w:sz w:val="20"/>
          <w:szCs w:val="20"/>
          <w:lang w:val="es-ES"/>
        </w:rPr>
        <w:t xml:space="preserve"> Índice de Precios en Origen y Destino,</w:t>
      </w:r>
      <w:r w:rsidR="002D6B9A">
        <w:rPr>
          <w:rFonts w:ascii="Verdana" w:hAnsi="Verdana"/>
          <w:sz w:val="20"/>
          <w:szCs w:val="20"/>
          <w:lang w:val="es-ES"/>
        </w:rPr>
        <w:t xml:space="preserve"> </w:t>
      </w:r>
      <w:r>
        <w:rPr>
          <w:rFonts w:ascii="Verdana" w:hAnsi="Verdana"/>
          <w:sz w:val="20"/>
          <w:szCs w:val="20"/>
          <w:lang w:val="es-ES"/>
        </w:rPr>
        <w:t xml:space="preserve">y </w:t>
      </w:r>
      <w:r w:rsidR="00C52DE7">
        <w:rPr>
          <w:rFonts w:ascii="Verdana" w:hAnsi="Verdana"/>
          <w:sz w:val="20"/>
          <w:szCs w:val="20"/>
          <w:lang w:val="es-ES"/>
        </w:rPr>
        <w:t xml:space="preserve">también </w:t>
      </w:r>
      <w:r w:rsidR="00C52DE7" w:rsidRPr="00325E63">
        <w:rPr>
          <w:rFonts w:ascii="Verdana" w:hAnsi="Verdana"/>
          <w:sz w:val="20"/>
          <w:szCs w:val="20"/>
          <w:lang w:val="es-ES"/>
        </w:rPr>
        <w:t>estudios</w:t>
      </w:r>
      <w:r w:rsidRPr="00325E63">
        <w:rPr>
          <w:rFonts w:ascii="Verdana" w:hAnsi="Verdana"/>
          <w:sz w:val="20"/>
          <w:szCs w:val="20"/>
          <w:lang w:val="es-ES"/>
        </w:rPr>
        <w:t xml:space="preserve"> específicos que buscan captar las singularidades de los sectores y ha</w:t>
      </w:r>
      <w:r w:rsidR="00EB40DD">
        <w:rPr>
          <w:rFonts w:ascii="Verdana" w:hAnsi="Verdana"/>
          <w:sz w:val="20"/>
          <w:szCs w:val="20"/>
          <w:lang w:val="es-ES"/>
        </w:rPr>
        <w:t xml:space="preserve">cer más exhaustivo el análisis, </w:t>
      </w:r>
      <w:r w:rsidR="00353726">
        <w:rPr>
          <w:rFonts w:ascii="Verdana" w:hAnsi="Verdana"/>
          <w:sz w:val="20"/>
          <w:szCs w:val="20"/>
          <w:lang w:val="es-ES"/>
        </w:rPr>
        <w:t xml:space="preserve">por </w:t>
      </w:r>
      <w:r w:rsidR="00C52DE7">
        <w:rPr>
          <w:rFonts w:ascii="Verdana" w:hAnsi="Verdana"/>
          <w:sz w:val="20"/>
          <w:szCs w:val="20"/>
          <w:lang w:val="es-ES"/>
        </w:rPr>
        <w:t>ejemplo,</w:t>
      </w:r>
      <w:r w:rsidR="00EB40DD">
        <w:rPr>
          <w:rFonts w:ascii="Verdana" w:hAnsi="Verdana"/>
          <w:sz w:val="20"/>
          <w:szCs w:val="20"/>
          <w:lang w:val="es-ES"/>
        </w:rPr>
        <w:t xml:space="preserve"> los monitores de expo</w:t>
      </w:r>
      <w:r w:rsidR="00C52DE7">
        <w:rPr>
          <w:rFonts w:ascii="Verdana" w:hAnsi="Verdana"/>
          <w:sz w:val="20"/>
          <w:szCs w:val="20"/>
          <w:lang w:val="es-ES"/>
        </w:rPr>
        <w:t xml:space="preserve">rtación y las cadenas de valor. A su vez, se realizan informes en conjunto con Mujeres Empresarias, Jóvenes Empresarios, y </w:t>
      </w:r>
      <w:r w:rsidR="00C52DE7">
        <w:rPr>
          <w:rFonts w:ascii="Verdana" w:hAnsi="Verdana"/>
          <w:sz w:val="20"/>
          <w:szCs w:val="20"/>
          <w:lang w:val="es-ES"/>
        </w:rPr>
        <w:t>F</w:t>
      </w:r>
      <w:r w:rsidR="00C52DE7">
        <w:rPr>
          <w:rFonts w:ascii="Verdana" w:hAnsi="Verdana"/>
          <w:sz w:val="20"/>
          <w:szCs w:val="20"/>
          <w:lang w:val="es-ES"/>
        </w:rPr>
        <w:t>inanciamiento.</w:t>
      </w:r>
    </w:p>
    <w:p w:rsidR="00EB40DD" w:rsidRDefault="00EB40DD" w:rsidP="002D6B9A">
      <w:pPr>
        <w:spacing w:after="0" w:line="360" w:lineRule="auto"/>
        <w:ind w:left="-567" w:right="-567"/>
        <w:jc w:val="both"/>
        <w:rPr>
          <w:rFonts w:ascii="Verdana" w:hAnsi="Verdana"/>
          <w:sz w:val="20"/>
          <w:szCs w:val="20"/>
          <w:lang w:val="es-ES"/>
        </w:rPr>
      </w:pPr>
      <w:bookmarkStart w:id="0" w:name="_GoBack"/>
      <w:bookmarkEnd w:id="0"/>
    </w:p>
    <w:p w:rsidR="00325E63" w:rsidRPr="00325E63" w:rsidRDefault="00325E63" w:rsidP="002D6B9A">
      <w:pPr>
        <w:spacing w:after="0" w:line="360" w:lineRule="auto"/>
        <w:ind w:left="-567" w:right="-567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Asimismo, d</w:t>
      </w:r>
      <w:r w:rsidRPr="00325E63">
        <w:rPr>
          <w:rFonts w:ascii="Verdana" w:hAnsi="Verdana"/>
          <w:sz w:val="20"/>
          <w:szCs w:val="20"/>
          <w:lang w:val="es-ES"/>
        </w:rPr>
        <w:t>urante el año 2020,</w:t>
      </w:r>
      <w:r>
        <w:rPr>
          <w:rFonts w:ascii="Verdana" w:hAnsi="Verdana"/>
          <w:sz w:val="20"/>
          <w:szCs w:val="20"/>
          <w:lang w:val="es-ES"/>
        </w:rPr>
        <w:t xml:space="preserve"> y</w:t>
      </w:r>
      <w:r w:rsidRPr="00325E63">
        <w:rPr>
          <w:rFonts w:ascii="Verdana" w:hAnsi="Verdana"/>
          <w:sz w:val="20"/>
          <w:szCs w:val="20"/>
          <w:lang w:val="es-ES"/>
        </w:rPr>
        <w:t xml:space="preserve"> debido a la </w:t>
      </w:r>
      <w:r>
        <w:rPr>
          <w:rFonts w:ascii="Verdana" w:hAnsi="Verdana"/>
          <w:sz w:val="20"/>
          <w:szCs w:val="20"/>
          <w:lang w:val="es-ES"/>
        </w:rPr>
        <w:t xml:space="preserve">pandemia </w:t>
      </w:r>
      <w:r w:rsidRPr="00325E63">
        <w:rPr>
          <w:rFonts w:ascii="Verdana" w:hAnsi="Verdana"/>
          <w:sz w:val="20"/>
          <w:szCs w:val="20"/>
          <w:lang w:val="es-ES"/>
        </w:rPr>
        <w:t xml:space="preserve">se realizaron estudios que nos permitieron conocer </w:t>
      </w:r>
      <w:r>
        <w:rPr>
          <w:rFonts w:ascii="Verdana" w:hAnsi="Verdana"/>
          <w:sz w:val="20"/>
          <w:szCs w:val="20"/>
          <w:lang w:val="es-ES"/>
        </w:rPr>
        <w:t>el impacto que esto provocó en las pequeñas y medianas empresas</w:t>
      </w:r>
      <w:r w:rsidRPr="00325E63">
        <w:rPr>
          <w:rFonts w:ascii="Verdana" w:hAnsi="Verdana"/>
          <w:sz w:val="20"/>
          <w:szCs w:val="20"/>
          <w:lang w:val="es-ES"/>
        </w:rPr>
        <w:t xml:space="preserve">. </w:t>
      </w:r>
      <w:r w:rsidR="00314340">
        <w:rPr>
          <w:rFonts w:ascii="Verdana" w:hAnsi="Verdana"/>
          <w:sz w:val="20"/>
          <w:szCs w:val="20"/>
          <w:lang w:val="es-ES"/>
        </w:rPr>
        <w:t xml:space="preserve">Para ello, </w:t>
      </w:r>
      <w:r w:rsidR="00314340" w:rsidRPr="00314340">
        <w:rPr>
          <w:rFonts w:ascii="Verdana" w:hAnsi="Verdana"/>
          <w:b/>
          <w:sz w:val="20"/>
          <w:szCs w:val="20"/>
          <w:lang w:val="es-ES"/>
        </w:rPr>
        <w:t>medimos más de 1500 comercios, industrias, producto</w:t>
      </w:r>
      <w:r w:rsidR="00314340">
        <w:rPr>
          <w:rFonts w:ascii="Verdana" w:hAnsi="Verdana"/>
          <w:b/>
          <w:sz w:val="20"/>
          <w:szCs w:val="20"/>
          <w:lang w:val="es-ES"/>
        </w:rPr>
        <w:t>re</w:t>
      </w:r>
      <w:r w:rsidR="00314340" w:rsidRPr="00314340">
        <w:rPr>
          <w:rFonts w:ascii="Verdana" w:hAnsi="Verdana"/>
          <w:b/>
          <w:sz w:val="20"/>
          <w:szCs w:val="20"/>
          <w:lang w:val="es-ES"/>
        </w:rPr>
        <w:t>s</w:t>
      </w:r>
      <w:r w:rsidR="00EB40DD">
        <w:rPr>
          <w:rFonts w:ascii="Verdana" w:hAnsi="Verdana"/>
          <w:b/>
          <w:sz w:val="20"/>
          <w:szCs w:val="20"/>
          <w:lang w:val="es-ES"/>
        </w:rPr>
        <w:t xml:space="preserve"> de las economías regionales</w:t>
      </w:r>
      <w:r w:rsidR="00314340" w:rsidRPr="00314340">
        <w:rPr>
          <w:rFonts w:ascii="Verdana" w:hAnsi="Verdana"/>
          <w:b/>
          <w:sz w:val="20"/>
          <w:szCs w:val="20"/>
          <w:lang w:val="es-ES"/>
        </w:rPr>
        <w:t xml:space="preserve">, jóvenes empresarios y mujeres empresarias, en los cinco relevamientos realizados </w:t>
      </w:r>
      <w:r w:rsidR="002D6B9A" w:rsidRPr="002D6B9A">
        <w:rPr>
          <w:rFonts w:ascii="Verdana" w:hAnsi="Verdana"/>
          <w:b/>
          <w:sz w:val="20"/>
          <w:szCs w:val="20"/>
          <w:lang w:val="es-ES"/>
        </w:rPr>
        <w:t xml:space="preserve">con el objetivo de dimensionar los efectos del COVID-19 en el entramado </w:t>
      </w:r>
      <w:proofErr w:type="spellStart"/>
      <w:r w:rsidR="002D6B9A" w:rsidRPr="002D6B9A">
        <w:rPr>
          <w:rFonts w:ascii="Verdana" w:hAnsi="Verdana"/>
          <w:b/>
          <w:sz w:val="20"/>
          <w:szCs w:val="20"/>
          <w:lang w:val="es-ES"/>
        </w:rPr>
        <w:t>PyME</w:t>
      </w:r>
      <w:proofErr w:type="spellEnd"/>
      <w:r w:rsidR="002D6B9A" w:rsidRPr="002D6B9A">
        <w:rPr>
          <w:rFonts w:ascii="Verdana" w:hAnsi="Verdana"/>
          <w:b/>
          <w:sz w:val="20"/>
          <w:szCs w:val="20"/>
          <w:lang w:val="es-ES"/>
        </w:rPr>
        <w:t xml:space="preserve"> nacional</w:t>
      </w:r>
      <w:r w:rsidR="002D6B9A">
        <w:rPr>
          <w:rFonts w:ascii="Verdana" w:hAnsi="Verdana"/>
          <w:b/>
          <w:sz w:val="20"/>
          <w:szCs w:val="20"/>
          <w:lang w:val="es-ES"/>
        </w:rPr>
        <w:t>.</w:t>
      </w:r>
    </w:p>
    <w:p w:rsidR="00EB40DD" w:rsidRDefault="00EB40DD" w:rsidP="00EB40DD">
      <w:pPr>
        <w:spacing w:after="0" w:line="360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</w:p>
    <w:p w:rsidR="00C37AE9" w:rsidRDefault="002D6B9A" w:rsidP="00C37AE9">
      <w:pPr>
        <w:pStyle w:val="Prrafodelista"/>
        <w:numPr>
          <w:ilvl w:val="0"/>
          <w:numId w:val="6"/>
        </w:numPr>
        <w:spacing w:after="0" w:line="360" w:lineRule="auto"/>
        <w:ind w:right="-567"/>
        <w:jc w:val="both"/>
        <w:rPr>
          <w:rFonts w:ascii="Verdana" w:hAnsi="Verdana"/>
          <w:b/>
          <w:sz w:val="20"/>
          <w:szCs w:val="20"/>
          <w:lang w:val="es-ES"/>
        </w:rPr>
      </w:pPr>
      <w:r w:rsidRPr="00EB40DD">
        <w:rPr>
          <w:rFonts w:ascii="Verdana" w:hAnsi="Verdana"/>
          <w:sz w:val="20"/>
          <w:szCs w:val="20"/>
          <w:lang w:val="es-ES"/>
        </w:rPr>
        <w:t xml:space="preserve">Entre los principales resultados, observamos que, a raíz de la pandemia </w:t>
      </w:r>
      <w:r w:rsidRPr="00EB40DD">
        <w:rPr>
          <w:rFonts w:ascii="Verdana" w:hAnsi="Verdana"/>
          <w:b/>
          <w:sz w:val="20"/>
          <w:szCs w:val="20"/>
          <w:lang w:val="es-ES"/>
        </w:rPr>
        <w:t xml:space="preserve">el 59,4% de las empresas encuestadas debió tomar nuevos créditos para poder sostenerse, y que los mismos representaron, en promedio, cerca del 28% de la facturación correspondiente al año 2019. </w:t>
      </w:r>
    </w:p>
    <w:p w:rsidR="00C37AE9" w:rsidRDefault="00C37AE9" w:rsidP="00C37AE9">
      <w:pPr>
        <w:pStyle w:val="Prrafodelista"/>
        <w:spacing w:after="0" w:line="360" w:lineRule="auto"/>
        <w:ind w:right="-567"/>
        <w:jc w:val="both"/>
        <w:rPr>
          <w:rFonts w:ascii="Verdana" w:hAnsi="Verdana"/>
          <w:b/>
          <w:sz w:val="20"/>
          <w:szCs w:val="20"/>
          <w:lang w:val="es-ES"/>
        </w:rPr>
      </w:pPr>
    </w:p>
    <w:p w:rsidR="00EB40DD" w:rsidRDefault="00C37AE9" w:rsidP="00C37AE9">
      <w:pPr>
        <w:spacing w:after="0" w:line="360" w:lineRule="auto"/>
        <w:ind w:left="-567" w:right="-567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Los índices mensuales también nos dieron herramientas para cuantificar el impacto del COVID-19 en la actividad pyme.</w:t>
      </w:r>
    </w:p>
    <w:p w:rsidR="00C37AE9" w:rsidRPr="00C37AE9" w:rsidRDefault="00C37AE9" w:rsidP="00C37AE9">
      <w:pPr>
        <w:spacing w:after="0" w:line="360" w:lineRule="auto"/>
        <w:ind w:left="-567" w:right="-567"/>
        <w:jc w:val="both"/>
        <w:rPr>
          <w:rFonts w:ascii="Verdana" w:hAnsi="Verdana"/>
          <w:b/>
          <w:sz w:val="20"/>
          <w:szCs w:val="20"/>
          <w:lang w:val="es-ES"/>
        </w:rPr>
      </w:pPr>
    </w:p>
    <w:p w:rsidR="00EB40DD" w:rsidRPr="00EB40DD" w:rsidRDefault="00EB40DD" w:rsidP="00EB40DD">
      <w:pPr>
        <w:pStyle w:val="Prrafodelista"/>
        <w:numPr>
          <w:ilvl w:val="0"/>
          <w:numId w:val="6"/>
        </w:numPr>
        <w:spacing w:after="0" w:line="360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  <w:r w:rsidRPr="00EB40DD">
        <w:rPr>
          <w:rFonts w:ascii="Verdana" w:hAnsi="Verdana"/>
          <w:sz w:val="20"/>
          <w:szCs w:val="20"/>
          <w:lang w:val="es-ES"/>
        </w:rPr>
        <w:t xml:space="preserve">Las </w:t>
      </w:r>
      <w:r w:rsidRPr="00EB40DD">
        <w:rPr>
          <w:rFonts w:ascii="Verdana" w:hAnsi="Verdana"/>
          <w:b/>
          <w:sz w:val="20"/>
          <w:szCs w:val="20"/>
          <w:lang w:val="es-ES"/>
        </w:rPr>
        <w:t>caídas interanuales promedio de marzo y abril</w:t>
      </w:r>
      <w:r w:rsidRPr="00EB40DD">
        <w:rPr>
          <w:rFonts w:ascii="Verdana" w:hAnsi="Verdana"/>
          <w:sz w:val="20"/>
          <w:szCs w:val="20"/>
          <w:lang w:val="es-ES"/>
        </w:rPr>
        <w:t xml:space="preserve"> versus el mismo período de 2019 </w:t>
      </w:r>
      <w:r w:rsidRPr="00EB40DD">
        <w:rPr>
          <w:rFonts w:ascii="Verdana" w:hAnsi="Verdana"/>
          <w:b/>
          <w:sz w:val="20"/>
          <w:szCs w:val="20"/>
          <w:lang w:val="es-ES"/>
        </w:rPr>
        <w:t xml:space="preserve">alcanzaron el 53,5% interanual en las ventas minoristas </w:t>
      </w:r>
      <w:proofErr w:type="spellStart"/>
      <w:r w:rsidRPr="00EB40DD">
        <w:rPr>
          <w:rFonts w:ascii="Verdana" w:hAnsi="Verdana"/>
          <w:b/>
          <w:sz w:val="20"/>
          <w:szCs w:val="20"/>
          <w:lang w:val="es-ES"/>
        </w:rPr>
        <w:t>PyME</w:t>
      </w:r>
      <w:proofErr w:type="spellEnd"/>
      <w:r w:rsidRPr="00EB40DD">
        <w:rPr>
          <w:rFonts w:ascii="Verdana" w:hAnsi="Verdana"/>
          <w:b/>
          <w:sz w:val="20"/>
          <w:szCs w:val="20"/>
          <w:lang w:val="es-ES"/>
        </w:rPr>
        <w:t xml:space="preserve">, y el 41% en la producción industrial </w:t>
      </w:r>
      <w:r w:rsidRPr="00EB40DD">
        <w:rPr>
          <w:rFonts w:ascii="Verdana" w:hAnsi="Verdana"/>
          <w:sz w:val="20"/>
          <w:szCs w:val="20"/>
          <w:lang w:val="es-ES"/>
        </w:rPr>
        <w:t>de dicho segmento de empresas</w:t>
      </w:r>
      <w:r>
        <w:rPr>
          <w:rFonts w:ascii="Verdana" w:hAnsi="Verdana"/>
          <w:sz w:val="20"/>
          <w:szCs w:val="20"/>
          <w:lang w:val="es-ES"/>
        </w:rPr>
        <w:t>.</w:t>
      </w:r>
    </w:p>
    <w:p w:rsidR="002D6B9A" w:rsidRDefault="002D6B9A" w:rsidP="00711E88">
      <w:pPr>
        <w:spacing w:after="0" w:line="360" w:lineRule="auto"/>
        <w:ind w:left="-567" w:right="-567"/>
        <w:jc w:val="both"/>
        <w:rPr>
          <w:rFonts w:ascii="Verdana" w:hAnsi="Verdana"/>
          <w:sz w:val="20"/>
          <w:szCs w:val="20"/>
          <w:lang w:val="es-ES"/>
        </w:rPr>
      </w:pPr>
    </w:p>
    <w:p w:rsidR="004B6B43" w:rsidRDefault="008C2865" w:rsidP="00711E88">
      <w:pPr>
        <w:spacing w:after="0" w:line="360" w:lineRule="auto"/>
        <w:ind w:left="-567" w:right="-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Por último, </w:t>
      </w:r>
      <w:r w:rsidR="00353726">
        <w:rPr>
          <w:rFonts w:ascii="Verdana" w:hAnsi="Verdana"/>
          <w:sz w:val="20"/>
          <w:szCs w:val="20"/>
        </w:rPr>
        <w:t xml:space="preserve">uno de </w:t>
      </w:r>
      <w:r>
        <w:rPr>
          <w:rFonts w:ascii="Verdana" w:hAnsi="Verdana"/>
          <w:sz w:val="20"/>
          <w:szCs w:val="20"/>
        </w:rPr>
        <w:t>los grandes ejes del año fue relevar los locales cerrados a nivel nacional, medida que permite poner de manifiesto una de las consecuencias que atraviesan las pymes por la incer</w:t>
      </w:r>
      <w:r w:rsidR="00353726">
        <w:rPr>
          <w:rFonts w:ascii="Verdana" w:hAnsi="Verdana"/>
          <w:sz w:val="20"/>
          <w:szCs w:val="20"/>
        </w:rPr>
        <w:t>tidumbre económica y sanitaria</w:t>
      </w:r>
      <w:r w:rsidR="006A4085">
        <w:rPr>
          <w:rFonts w:ascii="Verdana" w:hAnsi="Verdana"/>
          <w:sz w:val="20"/>
          <w:szCs w:val="20"/>
        </w:rPr>
        <w:t>. Algunas conclusiones</w:t>
      </w:r>
    </w:p>
    <w:p w:rsidR="006E08F8" w:rsidRDefault="006E08F8" w:rsidP="006E08F8">
      <w:pPr>
        <w:rPr>
          <w:rFonts w:ascii="Verdana" w:hAnsi="Verdana"/>
          <w:sz w:val="20"/>
          <w:szCs w:val="20"/>
        </w:rPr>
      </w:pPr>
    </w:p>
    <w:p w:rsidR="008C2865" w:rsidRDefault="008C2865" w:rsidP="008C2865">
      <w:pPr>
        <w:pStyle w:val="Prrafodelista"/>
        <w:numPr>
          <w:ilvl w:val="0"/>
          <w:numId w:val="6"/>
        </w:numPr>
        <w:spacing w:after="0" w:line="360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  <w:r w:rsidRPr="00ED2F48">
        <w:rPr>
          <w:rFonts w:ascii="Verdana" w:hAnsi="Verdana"/>
          <w:sz w:val="20"/>
          <w:szCs w:val="20"/>
        </w:rPr>
        <w:t>Se puede estimar que</w:t>
      </w:r>
      <w:r w:rsidRPr="008C2865">
        <w:rPr>
          <w:rFonts w:ascii="Verdana" w:hAnsi="Verdana"/>
          <w:sz w:val="20"/>
          <w:szCs w:val="20"/>
          <w:lang w:val="es-ES"/>
        </w:rPr>
        <w:t xml:space="preserve"> </w:t>
      </w:r>
      <w:r w:rsidRPr="008C2865">
        <w:rPr>
          <w:rFonts w:ascii="Verdana" w:hAnsi="Verdana"/>
          <w:b/>
          <w:sz w:val="20"/>
          <w:szCs w:val="20"/>
          <w:lang w:val="es-ES"/>
        </w:rPr>
        <w:t>este año cerraron 90.700 locales, 41.200 pymes y quedaron afectados 185.300 trabajadores.</w:t>
      </w:r>
      <w:r w:rsidRPr="008C2865">
        <w:rPr>
          <w:rFonts w:ascii="Verdana" w:hAnsi="Verdana"/>
          <w:sz w:val="20"/>
          <w:szCs w:val="20"/>
          <w:lang w:val="es-ES"/>
        </w:rPr>
        <w:t xml:space="preserve"> Los rubros con más cierres fueron indumentaria, calzados y decoración y textiles para el hogar.</w:t>
      </w:r>
    </w:p>
    <w:p w:rsidR="008C2865" w:rsidRDefault="008C2865" w:rsidP="008C2865">
      <w:pPr>
        <w:pStyle w:val="Prrafodelista"/>
        <w:numPr>
          <w:ilvl w:val="0"/>
          <w:numId w:val="6"/>
        </w:numPr>
        <w:spacing w:after="0" w:line="360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  <w:r w:rsidRPr="00FC2A19">
        <w:rPr>
          <w:rFonts w:ascii="Verdana" w:hAnsi="Verdana"/>
          <w:b/>
          <w:sz w:val="20"/>
          <w:szCs w:val="20"/>
          <w:lang w:val="es-ES"/>
        </w:rPr>
        <w:t>El 15,6% de los locales comerciales del país cerraron</w:t>
      </w:r>
      <w:r w:rsidRPr="008C2865">
        <w:rPr>
          <w:rFonts w:ascii="Verdana" w:hAnsi="Verdana"/>
          <w:sz w:val="20"/>
          <w:szCs w:val="20"/>
          <w:lang w:val="es-ES"/>
        </w:rPr>
        <w:t>, sin registro de que se hayan mudado a zonas más económicas.</w:t>
      </w:r>
    </w:p>
    <w:p w:rsidR="008C2865" w:rsidRPr="008C2865" w:rsidRDefault="008C2865" w:rsidP="008C2865">
      <w:pPr>
        <w:pStyle w:val="Prrafodelista"/>
        <w:numPr>
          <w:ilvl w:val="0"/>
          <w:numId w:val="6"/>
        </w:numPr>
        <w:spacing w:after="0" w:line="360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  <w:r w:rsidRPr="008C2865">
        <w:rPr>
          <w:rFonts w:ascii="Verdana" w:hAnsi="Verdana"/>
          <w:sz w:val="20"/>
          <w:szCs w:val="20"/>
          <w:lang w:val="es-ES"/>
        </w:rPr>
        <w:lastRenderedPageBreak/>
        <w:t xml:space="preserve">La tasa de mudanza registrada apenas llega al 0,3%. </w:t>
      </w:r>
      <w:r w:rsidR="00353726">
        <w:rPr>
          <w:rFonts w:ascii="Verdana" w:hAnsi="Verdana"/>
          <w:sz w:val="20"/>
          <w:szCs w:val="20"/>
          <w:lang w:val="es-ES"/>
        </w:rPr>
        <w:t>L</w:t>
      </w:r>
      <w:r w:rsidRPr="008C2865">
        <w:rPr>
          <w:rFonts w:ascii="Verdana" w:hAnsi="Verdana"/>
          <w:sz w:val="20"/>
          <w:szCs w:val="20"/>
          <w:lang w:val="es-ES"/>
        </w:rPr>
        <w:t>a crisis fue tan profunda que los comercios ni siquiera pudieron compensar mudándose a zonas más baratas, como suele suceder en períodos recesivos.</w:t>
      </w:r>
    </w:p>
    <w:p w:rsidR="009952EE" w:rsidRPr="00C52F9C" w:rsidRDefault="00ED2F48" w:rsidP="00ED2F48">
      <w:pPr>
        <w:spacing w:before="120" w:after="120" w:line="360" w:lineRule="auto"/>
        <w:ind w:left="-567" w:right="-7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 cara al 2021, </w:t>
      </w:r>
      <w:r w:rsidR="00353726">
        <w:rPr>
          <w:rFonts w:ascii="Verdana" w:hAnsi="Verdana"/>
          <w:sz w:val="20"/>
          <w:szCs w:val="20"/>
        </w:rPr>
        <w:t xml:space="preserve">nos proponemos </w:t>
      </w:r>
      <w:r>
        <w:rPr>
          <w:rFonts w:ascii="Verdana" w:hAnsi="Verdana"/>
          <w:sz w:val="20"/>
          <w:szCs w:val="20"/>
        </w:rPr>
        <w:t>continuar con todos nuestros relevamientos de actividad pyme mensual</w:t>
      </w:r>
      <w:r w:rsidR="006C150E">
        <w:rPr>
          <w:rFonts w:ascii="Verdana" w:hAnsi="Verdana"/>
          <w:sz w:val="20"/>
          <w:szCs w:val="20"/>
        </w:rPr>
        <w:t xml:space="preserve"> que nos permiten mostrar las</w:t>
      </w:r>
      <w:r>
        <w:rPr>
          <w:rFonts w:ascii="Verdana" w:hAnsi="Verdana"/>
          <w:sz w:val="20"/>
          <w:szCs w:val="20"/>
        </w:rPr>
        <w:t xml:space="preserve"> dificultades por las que atraviesan las pymes</w:t>
      </w:r>
      <w:r w:rsidR="00474042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="00353726">
        <w:rPr>
          <w:rFonts w:ascii="Verdana" w:hAnsi="Verdana"/>
          <w:sz w:val="20"/>
          <w:szCs w:val="20"/>
        </w:rPr>
        <w:t xml:space="preserve">y </w:t>
      </w:r>
      <w:r>
        <w:rPr>
          <w:rFonts w:ascii="Verdana" w:hAnsi="Verdana"/>
          <w:sz w:val="20"/>
          <w:szCs w:val="20"/>
        </w:rPr>
        <w:t xml:space="preserve">profundizar los análisis de las cadenas de valor, dado que nos permiten transparentar el </w:t>
      </w:r>
      <w:r w:rsidR="00125870">
        <w:rPr>
          <w:rFonts w:ascii="Verdana" w:hAnsi="Verdana"/>
          <w:sz w:val="20"/>
          <w:szCs w:val="20"/>
        </w:rPr>
        <w:t>valor</w:t>
      </w:r>
      <w:r>
        <w:rPr>
          <w:rFonts w:ascii="Verdana" w:hAnsi="Verdana"/>
          <w:sz w:val="20"/>
          <w:szCs w:val="20"/>
        </w:rPr>
        <w:t xml:space="preserve"> de los productos y la excesiva carga impositiva</w:t>
      </w:r>
      <w:r w:rsidR="00125870">
        <w:rPr>
          <w:rFonts w:ascii="Verdana" w:hAnsi="Verdana"/>
          <w:sz w:val="20"/>
          <w:szCs w:val="20"/>
        </w:rPr>
        <w:t xml:space="preserve"> que interviene en la conformación del</w:t>
      </w:r>
      <w:r w:rsidR="00474042">
        <w:rPr>
          <w:rFonts w:ascii="Verdana" w:hAnsi="Verdana"/>
          <w:sz w:val="20"/>
          <w:szCs w:val="20"/>
        </w:rPr>
        <w:t xml:space="preserve"> precio. </w:t>
      </w:r>
    </w:p>
    <w:sectPr w:rsidR="009952EE" w:rsidRPr="00C52F9C" w:rsidSect="00AE6F67">
      <w:headerReference w:type="default" r:id="rId7"/>
      <w:pgSz w:w="11906" w:h="16838"/>
      <w:pgMar w:top="1134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F67" w:rsidRDefault="00AE6F67" w:rsidP="00AE6F67">
      <w:pPr>
        <w:spacing w:after="0" w:line="240" w:lineRule="auto"/>
      </w:pPr>
      <w:r>
        <w:separator/>
      </w:r>
    </w:p>
  </w:endnote>
  <w:endnote w:type="continuationSeparator" w:id="0">
    <w:p w:rsidR="00AE6F67" w:rsidRDefault="00AE6F67" w:rsidP="00AE6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F67" w:rsidRDefault="00AE6F67" w:rsidP="00AE6F67">
      <w:pPr>
        <w:spacing w:after="0" w:line="240" w:lineRule="auto"/>
      </w:pPr>
      <w:r>
        <w:separator/>
      </w:r>
    </w:p>
  </w:footnote>
  <w:footnote w:type="continuationSeparator" w:id="0">
    <w:p w:rsidR="00AE6F67" w:rsidRDefault="00AE6F67" w:rsidP="00AE6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029" w:rsidRDefault="00095029" w:rsidP="00095029">
    <w:pPr>
      <w:pStyle w:val="Encabezado"/>
      <w:jc w:val="right"/>
    </w:pPr>
  </w:p>
  <w:p w:rsidR="00095029" w:rsidRDefault="00095029" w:rsidP="00095029">
    <w:pPr>
      <w:pStyle w:val="Encabezado"/>
      <w:jc w:val="right"/>
    </w:pPr>
    <w:r>
      <w:rPr>
        <w:noProof/>
        <w:color w:val="000000"/>
        <w:lang w:eastAsia="es-AR"/>
      </w:rPr>
      <w:drawing>
        <wp:inline distT="0" distB="0" distL="0" distR="0" wp14:anchorId="13A0E5B5" wp14:editId="1E990D73">
          <wp:extent cx="1081209" cy="499594"/>
          <wp:effectExtent l="0" t="0" r="0" b="0"/>
          <wp:docPr id="3" name="image1.png" descr="https://lh5.googleusercontent.com/mq8EXhRtAl0ozjdS_yo_HWaahGlAzfe6Tnj2gestoq16iliLS7OrP4H27KEs2J460G2l2ItjxQuuwDzUwTjiR665pjKIcBQxsJMfo6FNrifaLImhPAYO9oNuxkAA7JlLxyr_7k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5.googleusercontent.com/mq8EXhRtAl0ozjdS_yo_HWaahGlAzfe6Tnj2gestoq16iliLS7OrP4H27KEs2J460G2l2ItjxQuuwDzUwTjiR665pjKIcBQxsJMfo6FNrifaLImhPAYO9oNuxkAA7JlLxyr_7kQ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1209" cy="4995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46FFE"/>
    <w:multiLevelType w:val="hybridMultilevel"/>
    <w:tmpl w:val="40521418"/>
    <w:lvl w:ilvl="0" w:tplc="63AE9A2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B1ED1"/>
    <w:multiLevelType w:val="hybridMultilevel"/>
    <w:tmpl w:val="BBFEB634"/>
    <w:lvl w:ilvl="0" w:tplc="2C0A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8A3250B"/>
    <w:multiLevelType w:val="hybridMultilevel"/>
    <w:tmpl w:val="919EC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D6004"/>
    <w:multiLevelType w:val="hybridMultilevel"/>
    <w:tmpl w:val="ACBAD53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D7E0A"/>
    <w:multiLevelType w:val="hybridMultilevel"/>
    <w:tmpl w:val="A30479C0"/>
    <w:lvl w:ilvl="0" w:tplc="32E266C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31E18"/>
    <w:multiLevelType w:val="hybridMultilevel"/>
    <w:tmpl w:val="86527EC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67"/>
    <w:rsid w:val="00095029"/>
    <w:rsid w:val="00125870"/>
    <w:rsid w:val="002D6B9A"/>
    <w:rsid w:val="003042E3"/>
    <w:rsid w:val="00314340"/>
    <w:rsid w:val="00325E63"/>
    <w:rsid w:val="00353726"/>
    <w:rsid w:val="00474042"/>
    <w:rsid w:val="004B6B43"/>
    <w:rsid w:val="0050150A"/>
    <w:rsid w:val="00582ADE"/>
    <w:rsid w:val="005B2204"/>
    <w:rsid w:val="006A4085"/>
    <w:rsid w:val="006C150E"/>
    <w:rsid w:val="006E08F8"/>
    <w:rsid w:val="00711E88"/>
    <w:rsid w:val="008201D2"/>
    <w:rsid w:val="00847691"/>
    <w:rsid w:val="008C2865"/>
    <w:rsid w:val="009952EE"/>
    <w:rsid w:val="00A11753"/>
    <w:rsid w:val="00A424F8"/>
    <w:rsid w:val="00A52368"/>
    <w:rsid w:val="00A844C0"/>
    <w:rsid w:val="00AA48C6"/>
    <w:rsid w:val="00AE6F67"/>
    <w:rsid w:val="00B94E91"/>
    <w:rsid w:val="00BA707E"/>
    <w:rsid w:val="00C37AE9"/>
    <w:rsid w:val="00C52DE7"/>
    <w:rsid w:val="00C52F9C"/>
    <w:rsid w:val="00CE1EEC"/>
    <w:rsid w:val="00CF21E3"/>
    <w:rsid w:val="00D10A11"/>
    <w:rsid w:val="00D62F3F"/>
    <w:rsid w:val="00DD2C4B"/>
    <w:rsid w:val="00E35372"/>
    <w:rsid w:val="00EB40DD"/>
    <w:rsid w:val="00ED2F48"/>
    <w:rsid w:val="00EE0AC7"/>
    <w:rsid w:val="00F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8020FCF"/>
  <w15:chartTrackingRefBased/>
  <w15:docId w15:val="{AE9EE066-43AA-4F4E-9D5A-8150B6F0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6F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67"/>
  </w:style>
  <w:style w:type="paragraph" w:styleId="Piedepgina">
    <w:name w:val="footer"/>
    <w:basedOn w:val="Normal"/>
    <w:link w:val="PiedepginaCar"/>
    <w:uiPriority w:val="99"/>
    <w:unhideWhenUsed/>
    <w:rsid w:val="00AE6F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67"/>
  </w:style>
  <w:style w:type="paragraph" w:styleId="Prrafodelista">
    <w:name w:val="List Paragraph"/>
    <w:basedOn w:val="Normal"/>
    <w:uiPriority w:val="34"/>
    <w:qFormat/>
    <w:rsid w:val="0099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Montiel</dc:creator>
  <cp:keywords/>
  <dc:description/>
  <cp:lastModifiedBy>Agostina Marconcini</cp:lastModifiedBy>
  <cp:revision>39</cp:revision>
  <dcterms:created xsi:type="dcterms:W3CDTF">2021-01-25T15:41:00Z</dcterms:created>
  <dcterms:modified xsi:type="dcterms:W3CDTF">2021-02-17T16:26:00Z</dcterms:modified>
</cp:coreProperties>
</file>