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12FDE" w14:textId="775FAB1C" w:rsidR="00114C53" w:rsidRPr="00621AF4" w:rsidRDefault="00114C53" w:rsidP="0082438C">
      <w:pPr>
        <w:jc w:val="both"/>
        <w:rPr>
          <w:rFonts w:ascii="Verdana" w:hAnsi="Verdana" w:cs="Times New Roman"/>
          <w:b/>
          <w:sz w:val="20"/>
          <w:szCs w:val="20"/>
          <w:lang w:eastAsia="es-AR"/>
        </w:rPr>
      </w:pPr>
      <w:r w:rsidRPr="00621AF4">
        <w:rPr>
          <w:rFonts w:ascii="Verdana" w:hAnsi="Verdana" w:cs="Times New Roman"/>
          <w:b/>
          <w:sz w:val="20"/>
          <w:szCs w:val="20"/>
          <w:lang w:eastAsia="es-AR"/>
        </w:rPr>
        <w:t xml:space="preserve">Asistencia </w:t>
      </w:r>
      <w:r w:rsidR="00621AF4" w:rsidRPr="00621AF4">
        <w:rPr>
          <w:rFonts w:ascii="Verdana" w:hAnsi="Verdana" w:cs="Times New Roman"/>
          <w:b/>
          <w:sz w:val="20"/>
          <w:szCs w:val="20"/>
          <w:lang w:eastAsia="es-AR"/>
        </w:rPr>
        <w:t>y acompañamiento</w:t>
      </w:r>
      <w:r w:rsidRPr="00621AF4">
        <w:rPr>
          <w:rFonts w:ascii="Verdana" w:hAnsi="Verdana" w:cs="Times New Roman"/>
          <w:b/>
          <w:sz w:val="20"/>
          <w:szCs w:val="20"/>
          <w:lang w:eastAsia="es-AR"/>
        </w:rPr>
        <w:t xml:space="preserve"> </w:t>
      </w:r>
      <w:r w:rsidR="00621AF4" w:rsidRPr="00621AF4">
        <w:rPr>
          <w:rFonts w:ascii="Verdana" w:hAnsi="Verdana" w:cs="Times New Roman"/>
          <w:b/>
          <w:sz w:val="20"/>
          <w:szCs w:val="20"/>
          <w:lang w:eastAsia="es-AR"/>
        </w:rPr>
        <w:t>a</w:t>
      </w:r>
      <w:r w:rsidRPr="00621AF4">
        <w:rPr>
          <w:rFonts w:ascii="Verdana" w:hAnsi="Verdana" w:cs="Times New Roman"/>
          <w:b/>
          <w:sz w:val="20"/>
          <w:szCs w:val="20"/>
          <w:lang w:eastAsia="es-AR"/>
        </w:rPr>
        <w:t>l comercio minorista</w:t>
      </w:r>
      <w:r w:rsidR="00621AF4" w:rsidRPr="00621AF4">
        <w:rPr>
          <w:rFonts w:ascii="Verdana" w:hAnsi="Verdana" w:cs="Times New Roman"/>
          <w:b/>
          <w:sz w:val="20"/>
          <w:szCs w:val="20"/>
          <w:lang w:eastAsia="es-AR"/>
        </w:rPr>
        <w:t xml:space="preserve"> nacional</w:t>
      </w:r>
    </w:p>
    <w:p w14:paraId="1E3FDA9D" w14:textId="77777777" w:rsidR="00114C53" w:rsidRPr="00114C53" w:rsidRDefault="00114C53" w:rsidP="0082438C">
      <w:pPr>
        <w:jc w:val="both"/>
        <w:rPr>
          <w:rFonts w:ascii="Verdana" w:hAnsi="Verdana" w:cs="Times New Roman"/>
          <w:sz w:val="20"/>
          <w:szCs w:val="20"/>
          <w:lang w:eastAsia="es-AR"/>
        </w:rPr>
      </w:pPr>
    </w:p>
    <w:p w14:paraId="4220CE90" w14:textId="0222EBEC" w:rsidR="00A7558E" w:rsidRPr="00114C53" w:rsidRDefault="00114C53" w:rsidP="00114C53">
      <w:pPr>
        <w:jc w:val="both"/>
        <w:rPr>
          <w:rFonts w:ascii="Verdana" w:hAnsi="Verdana" w:cs="Times New Roman"/>
          <w:sz w:val="20"/>
          <w:szCs w:val="20"/>
          <w:lang w:eastAsia="es-AR"/>
        </w:rPr>
      </w:pPr>
      <w:r w:rsidRPr="00114C53">
        <w:rPr>
          <w:rFonts w:ascii="Verdana" w:hAnsi="Verdana" w:cs="Times New Roman"/>
          <w:sz w:val="20"/>
          <w:szCs w:val="20"/>
          <w:lang w:eastAsia="es-AR"/>
        </w:rPr>
        <w:t>En un difícil año para el sector co</w:t>
      </w:r>
      <w:r w:rsidR="00131859">
        <w:rPr>
          <w:rFonts w:ascii="Verdana" w:hAnsi="Verdana" w:cs="Times New Roman"/>
          <w:sz w:val="20"/>
          <w:szCs w:val="20"/>
          <w:lang w:eastAsia="es-AR"/>
        </w:rPr>
        <w:t>mercial a nivel federal, en el</w:t>
      </w:r>
      <w:r w:rsidRPr="00114C53">
        <w:rPr>
          <w:rFonts w:ascii="Verdana" w:hAnsi="Verdana" w:cs="Times New Roman"/>
          <w:sz w:val="20"/>
          <w:szCs w:val="20"/>
          <w:lang w:eastAsia="es-AR"/>
        </w:rPr>
        <w:t xml:space="preserve"> que el aislamiento y las medidas de restricción ante el avance de la pandemia restringieron la actividad en todo el país, paralizando parcialmente su entramado, desde el sector Comercio y Servicios de CAME impulsamos acciones y gestiones, tanto regionales como nacionales, orientadas a preservar el tejido pyme y las fuentes de empleo que de él dependen.</w:t>
      </w:r>
    </w:p>
    <w:p w14:paraId="2C7536C1" w14:textId="27C2454F" w:rsidR="00114C53" w:rsidRPr="00114C53" w:rsidRDefault="00114C53" w:rsidP="00114C53">
      <w:pPr>
        <w:jc w:val="both"/>
        <w:rPr>
          <w:rFonts w:ascii="Verdana" w:hAnsi="Verdana" w:cs="Times New Roman"/>
          <w:sz w:val="20"/>
          <w:szCs w:val="20"/>
          <w:lang w:eastAsia="es-AR"/>
        </w:rPr>
      </w:pPr>
    </w:p>
    <w:p w14:paraId="62E9AE34" w14:textId="77777777" w:rsidR="00114C53" w:rsidRPr="00114C53" w:rsidRDefault="00114C53" w:rsidP="00114C53">
      <w:pPr>
        <w:jc w:val="both"/>
        <w:rPr>
          <w:rFonts w:ascii="Verdana" w:hAnsi="Verdana" w:cs="Times New Roman"/>
          <w:sz w:val="20"/>
          <w:szCs w:val="20"/>
          <w:lang w:eastAsia="es-AR"/>
        </w:rPr>
      </w:pPr>
    </w:p>
    <w:p w14:paraId="5F998537" w14:textId="09F1737C" w:rsidR="00736636" w:rsidRPr="00114C53" w:rsidRDefault="00114C53" w:rsidP="00114C53">
      <w:pPr>
        <w:jc w:val="both"/>
        <w:rPr>
          <w:rFonts w:ascii="Verdana" w:hAnsi="Verdana" w:cs="Times New Roman"/>
          <w:sz w:val="20"/>
          <w:szCs w:val="20"/>
          <w:lang w:eastAsia="es-AR"/>
        </w:rPr>
      </w:pPr>
      <w:r w:rsidRPr="00114C53">
        <w:rPr>
          <w:rFonts w:ascii="Verdana" w:hAnsi="Verdana" w:cs="Times New Roman"/>
          <w:b/>
          <w:sz w:val="20"/>
          <w:szCs w:val="20"/>
          <w:lang w:eastAsia="es-AR"/>
        </w:rPr>
        <w:t>Logros de gestión</w:t>
      </w:r>
      <w:r>
        <w:rPr>
          <w:rFonts w:ascii="Verdana" w:hAnsi="Verdana" w:cs="Times New Roman"/>
          <w:sz w:val="20"/>
          <w:szCs w:val="20"/>
          <w:lang w:eastAsia="es-AR"/>
        </w:rPr>
        <w:t xml:space="preserve"> </w:t>
      </w:r>
      <w:r w:rsidRPr="00114C53">
        <w:rPr>
          <w:rFonts w:ascii="Verdana" w:hAnsi="Verdana" w:cs="Times New Roman"/>
          <w:sz w:val="20"/>
          <w:szCs w:val="20"/>
          <w:highlight w:val="yellow"/>
          <w:lang w:eastAsia="es-AR"/>
        </w:rPr>
        <w:t>(REF. ÍCONOS)</w:t>
      </w:r>
    </w:p>
    <w:p w14:paraId="4DF4D447" w14:textId="448093D7" w:rsidR="00114C53" w:rsidRPr="00114C53" w:rsidRDefault="00114C53" w:rsidP="00114C53">
      <w:pPr>
        <w:jc w:val="both"/>
        <w:rPr>
          <w:rFonts w:ascii="Verdana" w:hAnsi="Verdana" w:cs="Times New Roman"/>
          <w:sz w:val="20"/>
          <w:szCs w:val="20"/>
          <w:lang w:eastAsia="es-AR"/>
        </w:rPr>
      </w:pPr>
    </w:p>
    <w:p w14:paraId="7FA13576" w14:textId="53EE1B25" w:rsidR="00DC4A0A" w:rsidRPr="00114C53" w:rsidRDefault="00114C53" w:rsidP="00114C53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114C53">
        <w:rPr>
          <w:rFonts w:ascii="Verdana" w:hAnsi="Verdana" w:cs="Times New Roman"/>
          <w:sz w:val="20"/>
          <w:szCs w:val="20"/>
          <w:lang w:eastAsia="es-AR"/>
        </w:rPr>
        <w:t xml:space="preserve">Sanción de la </w:t>
      </w:r>
      <w:r w:rsidR="00DC4A0A" w:rsidRPr="00114C53">
        <w:rPr>
          <w:rFonts w:ascii="Verdana" w:hAnsi="Verdana"/>
          <w:sz w:val="20"/>
          <w:szCs w:val="20"/>
        </w:rPr>
        <w:t>Ley de Acreditación Inmediata de Pagos con Tarjetas de Débito.</w:t>
      </w:r>
    </w:p>
    <w:p w14:paraId="51FB604B" w14:textId="2C246878" w:rsidR="00114C53" w:rsidRPr="00114C53" w:rsidRDefault="00114C53" w:rsidP="00114C53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114C53">
        <w:rPr>
          <w:rFonts w:ascii="Verdana" w:hAnsi="Verdana"/>
          <w:sz w:val="20"/>
          <w:szCs w:val="20"/>
        </w:rPr>
        <w:t>Convenio de colaboración para desarrollar CCA con el Gobierno de la Provincia de Santa Fe</w:t>
      </w:r>
      <w:r w:rsidR="00131859">
        <w:rPr>
          <w:rFonts w:ascii="Verdana" w:hAnsi="Verdana"/>
          <w:sz w:val="20"/>
          <w:szCs w:val="20"/>
        </w:rPr>
        <w:t>, suscripto por</w:t>
      </w:r>
      <w:r w:rsidRPr="00114C53">
        <w:rPr>
          <w:rFonts w:ascii="Verdana" w:hAnsi="Verdana"/>
          <w:sz w:val="20"/>
          <w:szCs w:val="20"/>
        </w:rPr>
        <w:t xml:space="preserve"> CAME, AER, FSCCA, FECECO y el Ministerio de Producción de la provincia.</w:t>
      </w:r>
    </w:p>
    <w:p w14:paraId="668CF730" w14:textId="6C870243" w:rsidR="00DC4A0A" w:rsidRDefault="00114C53" w:rsidP="00114C53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Acompañamiento</w:t>
      </w:r>
      <w:r w:rsidRPr="00114C53">
        <w:rPr>
          <w:rFonts w:ascii="Verdana" w:hAnsi="Verdana"/>
          <w:sz w:val="20"/>
          <w:szCs w:val="20"/>
        </w:rPr>
        <w:t xml:space="preserve"> a la Federación Económica de Tucumán (FET) y r</w:t>
      </w:r>
      <w:r w:rsidR="00DC4A0A" w:rsidRPr="00114C53">
        <w:rPr>
          <w:rFonts w:ascii="Verdana" w:hAnsi="Verdana"/>
          <w:sz w:val="20"/>
          <w:szCs w:val="20"/>
        </w:rPr>
        <w:t>echazo del accionar del Sindicato de Empleados de Comercio (SEOC) que imposibilitó aperturas</w:t>
      </w:r>
      <w:r w:rsidR="00131859">
        <w:rPr>
          <w:rFonts w:ascii="Verdana" w:hAnsi="Verdana"/>
          <w:sz w:val="20"/>
          <w:szCs w:val="20"/>
        </w:rPr>
        <w:t xml:space="preserve"> en la provincia</w:t>
      </w:r>
      <w:r w:rsidR="00DC4A0A" w:rsidRPr="00114C53">
        <w:rPr>
          <w:rFonts w:ascii="Verdana" w:hAnsi="Verdana"/>
          <w:sz w:val="20"/>
          <w:szCs w:val="20"/>
        </w:rPr>
        <w:t>.</w:t>
      </w:r>
    </w:p>
    <w:p w14:paraId="48F3C813" w14:textId="4A427F6F" w:rsidR="00C46585" w:rsidRPr="00114C53" w:rsidRDefault="00114C53" w:rsidP="00930230">
      <w:pPr>
        <w:pStyle w:val="Prrafodelista"/>
        <w:numPr>
          <w:ilvl w:val="0"/>
          <w:numId w:val="5"/>
        </w:numPr>
        <w:jc w:val="both"/>
        <w:rPr>
          <w:rFonts w:ascii="Verdana" w:hAnsi="Verdana" w:cs="Times"/>
          <w:color w:val="000000"/>
          <w:sz w:val="20"/>
          <w:szCs w:val="20"/>
        </w:rPr>
      </w:pPr>
      <w:r w:rsidRPr="00114C53">
        <w:rPr>
          <w:rFonts w:ascii="Verdana" w:hAnsi="Verdana"/>
          <w:sz w:val="20"/>
          <w:szCs w:val="20"/>
        </w:rPr>
        <w:t xml:space="preserve">Apoyo para el lanzamiento de promociones de Fin de Año, para </w:t>
      </w:r>
      <w:r w:rsidR="00C46585" w:rsidRPr="00114C53">
        <w:rPr>
          <w:rFonts w:ascii="Verdana" w:hAnsi="Verdana"/>
          <w:sz w:val="20"/>
          <w:szCs w:val="20"/>
        </w:rPr>
        <w:t>87 CCA y entidades de 12 provincias.</w:t>
      </w:r>
      <w:r w:rsidR="00C46585" w:rsidRPr="00114C53">
        <w:rPr>
          <w:rFonts w:ascii="Verdana" w:hAnsi="Verdana" w:cs="DIN Alternate"/>
          <w:b/>
          <w:bCs/>
          <w:color w:val="959A99"/>
          <w:sz w:val="20"/>
          <w:szCs w:val="20"/>
        </w:rPr>
        <w:t xml:space="preserve"> </w:t>
      </w:r>
    </w:p>
    <w:p w14:paraId="741FA2E8" w14:textId="58ADF52A" w:rsidR="00114C53" w:rsidRDefault="00114C53" w:rsidP="00114C53">
      <w:pPr>
        <w:jc w:val="both"/>
        <w:rPr>
          <w:rFonts w:ascii="Verdana" w:hAnsi="Verdana" w:cs="Times"/>
          <w:color w:val="000000"/>
          <w:sz w:val="20"/>
          <w:szCs w:val="20"/>
        </w:rPr>
      </w:pPr>
    </w:p>
    <w:p w14:paraId="24A31F95" w14:textId="1C45789F" w:rsidR="00114C53" w:rsidRPr="00114C53" w:rsidRDefault="00114C53" w:rsidP="00114C53">
      <w:pPr>
        <w:jc w:val="both"/>
        <w:rPr>
          <w:rFonts w:ascii="Verdana" w:hAnsi="Verdana" w:cs="Times"/>
          <w:color w:val="000000"/>
          <w:sz w:val="20"/>
          <w:szCs w:val="20"/>
        </w:rPr>
      </w:pPr>
      <w:r>
        <w:rPr>
          <w:rFonts w:ascii="Verdana" w:hAnsi="Verdana" w:cs="Times"/>
          <w:b/>
          <w:color w:val="000000"/>
          <w:sz w:val="20"/>
          <w:szCs w:val="20"/>
        </w:rPr>
        <w:t>Acciones en números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114C53">
        <w:rPr>
          <w:rFonts w:ascii="Verdana" w:hAnsi="Verdana" w:cs="Times"/>
          <w:color w:val="000000"/>
          <w:sz w:val="20"/>
          <w:szCs w:val="20"/>
          <w:highlight w:val="yellow"/>
        </w:rPr>
        <w:t>(REF COUNTER)</w:t>
      </w:r>
    </w:p>
    <w:p w14:paraId="79F9CE20" w14:textId="77777777" w:rsidR="00114C53" w:rsidRDefault="00114C53" w:rsidP="00114C53">
      <w:pPr>
        <w:pStyle w:val="p1"/>
        <w:ind w:left="720"/>
        <w:jc w:val="both"/>
        <w:rPr>
          <w:rFonts w:ascii="Verdana" w:hAnsi="Verdana"/>
          <w:sz w:val="20"/>
          <w:szCs w:val="20"/>
        </w:rPr>
      </w:pPr>
    </w:p>
    <w:p w14:paraId="4B4F605C" w14:textId="09062948" w:rsidR="00C46585" w:rsidRPr="00114C53" w:rsidRDefault="00C46585" w:rsidP="00114C53">
      <w:pPr>
        <w:pStyle w:val="p1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114C53">
        <w:rPr>
          <w:rFonts w:ascii="Verdana" w:hAnsi="Verdana"/>
          <w:b/>
          <w:sz w:val="20"/>
          <w:szCs w:val="20"/>
        </w:rPr>
        <w:t>10 entidades y CCA</w:t>
      </w:r>
      <w:r w:rsidRPr="00114C53">
        <w:rPr>
          <w:rFonts w:ascii="Verdana" w:hAnsi="Verdana"/>
          <w:sz w:val="20"/>
          <w:szCs w:val="20"/>
        </w:rPr>
        <w:t xml:space="preserve"> recibieron asistencia para actualizar</w:t>
      </w:r>
      <w:r w:rsidR="00114C53">
        <w:rPr>
          <w:rFonts w:ascii="Verdana" w:hAnsi="Verdana"/>
          <w:sz w:val="20"/>
          <w:szCs w:val="20"/>
        </w:rPr>
        <w:t xml:space="preserve"> y </w:t>
      </w:r>
      <w:r w:rsidRPr="00114C53">
        <w:rPr>
          <w:rFonts w:ascii="Verdana" w:hAnsi="Verdana"/>
          <w:sz w:val="20"/>
          <w:szCs w:val="20"/>
        </w:rPr>
        <w:t>potenciar plataformas digitales de fidelización de clientes.</w:t>
      </w:r>
    </w:p>
    <w:p w14:paraId="3F3092FF" w14:textId="22752973" w:rsidR="00C46585" w:rsidRPr="00114C53" w:rsidRDefault="00114C53" w:rsidP="0082438C">
      <w:pPr>
        <w:pStyle w:val="Prrafodelista"/>
        <w:numPr>
          <w:ilvl w:val="0"/>
          <w:numId w:val="1"/>
        </w:numPr>
        <w:shd w:val="clear" w:color="auto" w:fill="FFFFFF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</w:pPr>
      <w:r w:rsidRPr="00114C53">
        <w:rPr>
          <w:rFonts w:ascii="Verdana" w:eastAsia="Times New Roman" w:hAnsi="Verdana" w:cstheme="minorHAnsi"/>
          <w:b/>
          <w:color w:val="222222"/>
          <w:sz w:val="20"/>
          <w:szCs w:val="20"/>
          <w:lang w:eastAsia="es-AR"/>
        </w:rPr>
        <w:t>2700 participantes</w:t>
      </w:r>
      <w:r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 xml:space="preserve"> en el </w:t>
      </w:r>
      <w:r w:rsidR="00170729"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XIX Foro Internacional sobre Ciudad, Comercio y Turismo</w:t>
      </w:r>
      <w:r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, realizado en formato virtual.</w:t>
      </w:r>
    </w:p>
    <w:p w14:paraId="458417DA" w14:textId="21D5EA93" w:rsidR="00C46585" w:rsidRPr="00114C53" w:rsidRDefault="00C46585" w:rsidP="0082438C">
      <w:pPr>
        <w:pStyle w:val="Prrafodelista"/>
        <w:numPr>
          <w:ilvl w:val="0"/>
          <w:numId w:val="1"/>
        </w:numPr>
        <w:shd w:val="clear" w:color="auto" w:fill="FFFFFF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</w:pPr>
      <w:r w:rsidRPr="00114C53">
        <w:rPr>
          <w:rFonts w:ascii="Verdana" w:eastAsia="Times New Roman" w:hAnsi="Verdana" w:cstheme="minorHAnsi"/>
          <w:b/>
          <w:color w:val="222222"/>
          <w:sz w:val="20"/>
          <w:szCs w:val="20"/>
          <w:lang w:eastAsia="es-AR"/>
        </w:rPr>
        <w:t xml:space="preserve">6 campañas </w:t>
      </w:r>
      <w:r w:rsidR="001C5725">
        <w:rPr>
          <w:rFonts w:ascii="Verdana" w:eastAsia="Times New Roman" w:hAnsi="Verdana" w:cstheme="minorHAnsi"/>
          <w:b/>
          <w:color w:val="222222"/>
          <w:sz w:val="20"/>
          <w:szCs w:val="20"/>
          <w:lang w:eastAsia="es-AR"/>
        </w:rPr>
        <w:t xml:space="preserve">audiovisuales </w:t>
      </w:r>
      <w:r w:rsidRPr="00114C53">
        <w:rPr>
          <w:rFonts w:ascii="Verdana" w:eastAsia="Times New Roman" w:hAnsi="Verdana" w:cstheme="minorHAnsi"/>
          <w:b/>
          <w:color w:val="222222"/>
          <w:sz w:val="20"/>
          <w:szCs w:val="20"/>
          <w:lang w:eastAsia="es-AR"/>
        </w:rPr>
        <w:t>de concientización</w:t>
      </w:r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 xml:space="preserve"> que destacan el rol del comercio en la comunidad y apelan a la responsabilidad sanitaria. </w:t>
      </w:r>
    </w:p>
    <w:p w14:paraId="3CB35A46" w14:textId="77777777" w:rsidR="00D53691" w:rsidRPr="00114C53" w:rsidRDefault="00D53691" w:rsidP="0082438C">
      <w:pPr>
        <w:pStyle w:val="Prrafodelista"/>
        <w:numPr>
          <w:ilvl w:val="0"/>
          <w:numId w:val="1"/>
        </w:numPr>
        <w:shd w:val="clear" w:color="auto" w:fill="FFFFFF"/>
        <w:ind w:left="714" w:hanging="357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</w:pPr>
      <w:r w:rsidRPr="00114C53">
        <w:rPr>
          <w:rFonts w:ascii="Verdana" w:eastAsia="Times New Roman" w:hAnsi="Verdana" w:cstheme="minorHAnsi"/>
          <w:b/>
          <w:color w:val="222222"/>
          <w:sz w:val="20"/>
          <w:szCs w:val="20"/>
          <w:lang w:eastAsia="es-AR"/>
        </w:rPr>
        <w:t>15 ciudades</w:t>
      </w:r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 xml:space="preserve"> de 6 provincias recibieron propuestas técnicas para proyectos de CCA en desarrollo. </w:t>
      </w:r>
    </w:p>
    <w:p w14:paraId="479AF26A" w14:textId="77777777" w:rsidR="00D53691" w:rsidRPr="00114C53" w:rsidRDefault="00D53691" w:rsidP="0082438C">
      <w:pPr>
        <w:pStyle w:val="Prrafodelista"/>
        <w:numPr>
          <w:ilvl w:val="0"/>
          <w:numId w:val="1"/>
        </w:numPr>
        <w:shd w:val="clear" w:color="auto" w:fill="FFFFFF"/>
        <w:ind w:left="714" w:hanging="357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</w:pPr>
      <w:r w:rsidRPr="00114C53">
        <w:rPr>
          <w:rFonts w:ascii="Verdana" w:eastAsia="Times New Roman" w:hAnsi="Verdana" w:cstheme="minorHAnsi"/>
          <w:b/>
          <w:color w:val="222222"/>
          <w:sz w:val="20"/>
          <w:szCs w:val="20"/>
          <w:lang w:eastAsia="es-AR"/>
        </w:rPr>
        <w:t>16 ciudades</w:t>
      </w:r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 xml:space="preserve"> de 7 provincias recibieron asistencia técnica para CCA ya establecidos. </w:t>
      </w:r>
    </w:p>
    <w:p w14:paraId="64B09F38" w14:textId="46FADE40" w:rsidR="00114C53" w:rsidRDefault="00D53691" w:rsidP="00114C53">
      <w:pPr>
        <w:pStyle w:val="Prrafodelista"/>
        <w:numPr>
          <w:ilvl w:val="0"/>
          <w:numId w:val="1"/>
        </w:numPr>
        <w:shd w:val="clear" w:color="auto" w:fill="FFFFFF"/>
        <w:ind w:left="714" w:hanging="357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</w:pPr>
      <w:r w:rsidRPr="00131859">
        <w:rPr>
          <w:rFonts w:ascii="Verdana" w:eastAsia="Times New Roman" w:hAnsi="Verdana" w:cstheme="minorHAnsi"/>
          <w:b/>
          <w:color w:val="222222"/>
          <w:sz w:val="20"/>
          <w:szCs w:val="20"/>
          <w:lang w:eastAsia="es-AR"/>
        </w:rPr>
        <w:t>2 coloquios internacionales</w:t>
      </w:r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 xml:space="preserve">: </w:t>
      </w:r>
      <w:r w:rsid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“</w:t>
      </w:r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Los C</w:t>
      </w:r>
      <w:r w:rsid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entros Comerciales Abiertos en c</w:t>
      </w:r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uarentena</w:t>
      </w:r>
      <w:r w:rsid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”</w:t>
      </w:r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 xml:space="preserve"> (</w:t>
      </w:r>
      <w:r w:rsid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con 220 participantes) y “</w:t>
      </w:r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Los desaf</w:t>
      </w:r>
      <w:r w:rsid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 xml:space="preserve">íos </w:t>
      </w:r>
      <w:proofErr w:type="spellStart"/>
      <w:r w:rsid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p</w:t>
      </w:r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ospandemia</w:t>
      </w:r>
      <w:proofErr w:type="spellEnd"/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 xml:space="preserve"> para el Comercio Minorista y los CCA</w:t>
      </w:r>
      <w:r w:rsid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”</w:t>
      </w:r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 xml:space="preserve"> (</w:t>
      </w:r>
      <w:r w:rsid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 xml:space="preserve">con </w:t>
      </w:r>
      <w:r w:rsidR="0082438C"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115</w:t>
      </w:r>
      <w:r w:rsid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 xml:space="preserve"> participantes</w:t>
      </w:r>
      <w:r w:rsidRPr="00114C53"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  <w:t>).</w:t>
      </w:r>
    </w:p>
    <w:p w14:paraId="353B55A7" w14:textId="4B47ABAB" w:rsidR="005D579D" w:rsidRPr="00114C53" w:rsidRDefault="00D53691" w:rsidP="00114C53">
      <w:pPr>
        <w:pStyle w:val="Prrafodelista"/>
        <w:numPr>
          <w:ilvl w:val="0"/>
          <w:numId w:val="1"/>
        </w:numPr>
        <w:shd w:val="clear" w:color="auto" w:fill="FFFFFF"/>
        <w:ind w:left="714" w:hanging="357"/>
        <w:jc w:val="both"/>
        <w:rPr>
          <w:rFonts w:ascii="Verdana" w:eastAsia="Times New Roman" w:hAnsi="Verdana" w:cstheme="minorHAnsi"/>
          <w:color w:val="222222"/>
          <w:sz w:val="20"/>
          <w:szCs w:val="20"/>
          <w:lang w:eastAsia="es-AR"/>
        </w:rPr>
      </w:pPr>
      <w:r w:rsidRPr="00114C53">
        <w:rPr>
          <w:rFonts w:ascii="Verdana" w:hAnsi="Verdana" w:cs="Times New Roman"/>
          <w:b/>
          <w:color w:val="222222"/>
          <w:sz w:val="20"/>
          <w:szCs w:val="20"/>
          <w:lang w:eastAsia="es-ES_tradnl"/>
        </w:rPr>
        <w:t>4 encuentros</w:t>
      </w:r>
      <w:r w:rsidRPr="00114C53">
        <w:rPr>
          <w:rFonts w:ascii="Verdana" w:hAnsi="Verdana" w:cs="Times New Roman"/>
          <w:color w:val="222222"/>
          <w:sz w:val="20"/>
          <w:szCs w:val="20"/>
          <w:lang w:eastAsia="es-ES_tradnl"/>
        </w:rPr>
        <w:t xml:space="preserve"> en el marc</w:t>
      </w:r>
      <w:r w:rsidR="00114C53">
        <w:rPr>
          <w:rFonts w:ascii="Verdana" w:hAnsi="Verdana" w:cs="Times New Roman"/>
          <w:color w:val="222222"/>
          <w:sz w:val="20"/>
          <w:szCs w:val="20"/>
          <w:lang w:eastAsia="es-ES_tradnl"/>
        </w:rPr>
        <w:t>o del ciclo de CCA Sustentables, i</w:t>
      </w:r>
      <w:r w:rsidRPr="00114C53">
        <w:rPr>
          <w:rFonts w:ascii="Verdana" w:hAnsi="Verdana" w:cs="Times New Roman"/>
          <w:color w:val="222222"/>
          <w:sz w:val="20"/>
          <w:szCs w:val="20"/>
          <w:lang w:eastAsia="es-ES_tradnl"/>
        </w:rPr>
        <w:t xml:space="preserve">niciativa desarrollada junto con el Departamento de RSE de CAME. </w:t>
      </w:r>
    </w:p>
    <w:p w14:paraId="22E6283D" w14:textId="77777777" w:rsidR="00736636" w:rsidRPr="0082438C" w:rsidRDefault="00736636" w:rsidP="0082438C">
      <w:pPr>
        <w:jc w:val="both"/>
        <w:rPr>
          <w:rFonts w:cs="Times New Roman"/>
          <w:color w:val="222222"/>
          <w:sz w:val="22"/>
          <w:szCs w:val="22"/>
          <w:lang w:eastAsia="es-ES_tradnl"/>
        </w:rPr>
      </w:pPr>
      <w:bookmarkStart w:id="0" w:name="_GoBack"/>
      <w:bookmarkEnd w:id="0"/>
    </w:p>
    <w:p w14:paraId="17806BDC" w14:textId="1D3D818B" w:rsidR="00CA5D5A" w:rsidRPr="009E0A0D" w:rsidRDefault="00CA5D5A" w:rsidP="00114C53">
      <w:pPr>
        <w:pStyle w:val="Prrafodelista"/>
        <w:jc w:val="both"/>
        <w:rPr>
          <w:rFonts w:ascii="Calibri" w:eastAsia="Calibri" w:hAnsi="Calibri" w:cs="Times New Roman"/>
          <w:sz w:val="22"/>
          <w:szCs w:val="22"/>
          <w:lang w:val="es-AR"/>
        </w:rPr>
      </w:pPr>
    </w:p>
    <w:sectPr w:rsidR="00CA5D5A" w:rsidRPr="009E0A0D" w:rsidSect="002918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02FF" w:usb1="5000785B" w:usb2="00000000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Times">
    <w:charset w:val="00"/>
    <w:family w:val="roman"/>
    <w:pitch w:val="variable"/>
    <w:sig w:usb0="00000003" w:usb1="00000000" w:usb2="00000000" w:usb3="00000000" w:csb0="00000001" w:csb1="00000000"/>
  </w:font>
  <w:font w:name="DIN Alternate">
    <w:altName w:val="Arial"/>
    <w:charset w:val="00"/>
    <w:family w:val="swiss"/>
    <w:pitch w:val="variable"/>
    <w:sig w:usb0="8000002F" w:usb1="10000048" w:usb2="00000000" w:usb3="00000000" w:csb0="0000011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0FAF"/>
    <w:multiLevelType w:val="hybridMultilevel"/>
    <w:tmpl w:val="1C5A145A"/>
    <w:lvl w:ilvl="0" w:tplc="11C03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_tradn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78DD"/>
    <w:multiLevelType w:val="hybridMultilevel"/>
    <w:tmpl w:val="2C5AC8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60C12"/>
    <w:multiLevelType w:val="hybridMultilevel"/>
    <w:tmpl w:val="E618EBA0"/>
    <w:lvl w:ilvl="0" w:tplc="111CD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lang w:val="es-ES_tradn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33CF9"/>
    <w:multiLevelType w:val="hybridMultilevel"/>
    <w:tmpl w:val="650ACD0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85571"/>
    <w:multiLevelType w:val="hybridMultilevel"/>
    <w:tmpl w:val="1696CC60"/>
    <w:lvl w:ilvl="0" w:tplc="D6D08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1F"/>
    <w:rsid w:val="00114C53"/>
    <w:rsid w:val="00131859"/>
    <w:rsid w:val="00170729"/>
    <w:rsid w:val="001C5725"/>
    <w:rsid w:val="002918EF"/>
    <w:rsid w:val="003952A8"/>
    <w:rsid w:val="005023E0"/>
    <w:rsid w:val="005B1B5A"/>
    <w:rsid w:val="005D579D"/>
    <w:rsid w:val="00621AF4"/>
    <w:rsid w:val="0064021F"/>
    <w:rsid w:val="00693C2F"/>
    <w:rsid w:val="00736636"/>
    <w:rsid w:val="007665FB"/>
    <w:rsid w:val="0082438C"/>
    <w:rsid w:val="009E0A0D"/>
    <w:rsid w:val="00A7354A"/>
    <w:rsid w:val="00A7558E"/>
    <w:rsid w:val="00C46585"/>
    <w:rsid w:val="00CA5D5A"/>
    <w:rsid w:val="00D175FD"/>
    <w:rsid w:val="00D53691"/>
    <w:rsid w:val="00D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BCC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A0A"/>
    <w:pPr>
      <w:ind w:left="720"/>
      <w:contextualSpacing/>
    </w:pPr>
  </w:style>
  <w:style w:type="paragraph" w:customStyle="1" w:styleId="p1">
    <w:name w:val="p1"/>
    <w:basedOn w:val="Normal"/>
    <w:rsid w:val="00C46585"/>
    <w:rPr>
      <w:rFonts w:ascii="Helvetica" w:hAnsi="Helvetica" w:cs="Times New Roman"/>
      <w:sz w:val="18"/>
      <w:szCs w:val="1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Luciana Sousa</cp:lastModifiedBy>
  <cp:revision>4</cp:revision>
  <dcterms:created xsi:type="dcterms:W3CDTF">2021-03-18T15:06:00Z</dcterms:created>
  <dcterms:modified xsi:type="dcterms:W3CDTF">2021-03-18T16:08:00Z</dcterms:modified>
</cp:coreProperties>
</file>