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97" w:rsidRDefault="00B24197" w:rsidP="00B24197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lang w:val="es-ES"/>
        </w:rPr>
      </w:pPr>
      <w:r>
        <w:rPr>
          <w:rFonts w:ascii="Verdana" w:hAnsi="Verdana"/>
          <w:sz w:val="20"/>
          <w:lang w:val="es-ES"/>
        </w:rPr>
        <w:t>Si aún quedaba alguna duda acerca de la importancia de las economías regionales para el d</w:t>
      </w:r>
      <w:r w:rsidR="00AC144B">
        <w:rPr>
          <w:rFonts w:ascii="Verdana" w:hAnsi="Verdana"/>
          <w:sz w:val="20"/>
          <w:lang w:val="es-ES"/>
        </w:rPr>
        <w:t xml:space="preserve">esarrollo de nuestro país, el </w:t>
      </w:r>
      <w:r>
        <w:rPr>
          <w:rFonts w:ascii="Verdana" w:hAnsi="Verdana"/>
          <w:sz w:val="20"/>
          <w:lang w:val="es-ES"/>
        </w:rPr>
        <w:t xml:space="preserve">2020 </w:t>
      </w:r>
      <w:r w:rsidR="00AC144B">
        <w:rPr>
          <w:rFonts w:ascii="Verdana" w:hAnsi="Verdana"/>
          <w:sz w:val="20"/>
          <w:lang w:val="es-ES"/>
        </w:rPr>
        <w:t xml:space="preserve">fue el año que </w:t>
      </w:r>
      <w:r>
        <w:rPr>
          <w:rFonts w:ascii="Verdana" w:hAnsi="Verdana"/>
          <w:sz w:val="20"/>
          <w:lang w:val="es-ES"/>
        </w:rPr>
        <w:t xml:space="preserve">no solo dejó en claro que sin productores no hay alimentos, sino también visibilizó el compromiso </w:t>
      </w:r>
      <w:r w:rsidR="00D635AC">
        <w:rPr>
          <w:rFonts w:ascii="Verdana" w:hAnsi="Verdana"/>
          <w:sz w:val="20"/>
          <w:lang w:val="es-ES"/>
        </w:rPr>
        <w:t xml:space="preserve">del </w:t>
      </w:r>
      <w:r>
        <w:rPr>
          <w:rFonts w:ascii="Verdana" w:hAnsi="Verdana"/>
          <w:sz w:val="20"/>
          <w:lang w:val="es-ES"/>
        </w:rPr>
        <w:t xml:space="preserve">sector agroalimentario para garantizar el abastecimiento de la mesa diaria de todos los argentinos. </w:t>
      </w:r>
    </w:p>
    <w:p w:rsidR="004837BB" w:rsidRDefault="00AD6D9F" w:rsidP="004837BB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lang w:val="es-ES"/>
        </w:rPr>
        <w:t>D</w:t>
      </w:r>
      <w:r w:rsidR="00B24197">
        <w:rPr>
          <w:rFonts w:ascii="Verdana" w:hAnsi="Verdana"/>
          <w:sz w:val="20"/>
          <w:lang w:val="es-ES"/>
        </w:rPr>
        <w:t>esde</w:t>
      </w:r>
      <w:r w:rsidR="00B24197" w:rsidRPr="00CE2DB6">
        <w:rPr>
          <w:rFonts w:ascii="Verdana" w:hAnsi="Verdana"/>
          <w:sz w:val="20"/>
          <w:lang w:val="es-ES"/>
        </w:rPr>
        <w:t xml:space="preserve"> el </w:t>
      </w:r>
      <w:r w:rsidR="00D635AC">
        <w:rPr>
          <w:rFonts w:ascii="Verdana" w:hAnsi="Verdana"/>
          <w:sz w:val="20"/>
          <w:lang w:val="es-ES"/>
        </w:rPr>
        <w:t xml:space="preserve">área </w:t>
      </w:r>
      <w:r w:rsidR="00B24197" w:rsidRPr="00CE2DB6">
        <w:rPr>
          <w:rFonts w:ascii="Verdana" w:hAnsi="Verdana"/>
          <w:sz w:val="20"/>
          <w:lang w:val="es-ES"/>
        </w:rPr>
        <w:t xml:space="preserve">de Economías Regionales </w:t>
      </w:r>
      <w:r w:rsidR="00B24197">
        <w:rPr>
          <w:rFonts w:ascii="Verdana" w:hAnsi="Verdana"/>
          <w:sz w:val="20"/>
          <w:lang w:val="es-ES"/>
        </w:rPr>
        <w:t xml:space="preserve">(ER) </w:t>
      </w:r>
      <w:r w:rsidR="00D635AC">
        <w:rPr>
          <w:rFonts w:ascii="Verdana" w:hAnsi="Verdana"/>
          <w:sz w:val="20"/>
          <w:lang w:val="es-ES"/>
        </w:rPr>
        <w:t xml:space="preserve">de CAME </w:t>
      </w:r>
      <w:r w:rsidR="00A05887">
        <w:rPr>
          <w:rFonts w:ascii="Verdana" w:hAnsi="Verdana"/>
          <w:sz w:val="20"/>
          <w:lang w:val="es-ES"/>
        </w:rPr>
        <w:t>se gestionó, un</w:t>
      </w:r>
      <w:r w:rsidR="009633C4">
        <w:rPr>
          <w:rFonts w:ascii="Verdana" w:hAnsi="Verdana"/>
          <w:sz w:val="20"/>
          <w:lang w:val="es-ES"/>
        </w:rPr>
        <w:t xml:space="preserve"> año más, </w:t>
      </w:r>
      <w:r w:rsidR="00205E05">
        <w:rPr>
          <w:rFonts w:ascii="Verdana" w:hAnsi="Verdana"/>
          <w:sz w:val="20"/>
          <w:lang w:val="es-ES"/>
        </w:rPr>
        <w:t xml:space="preserve">en defensa de la </w:t>
      </w:r>
      <w:r w:rsidR="00D635AC" w:rsidRPr="00D635AC">
        <w:rPr>
          <w:rFonts w:ascii="Verdana" w:hAnsi="Verdana"/>
          <w:sz w:val="20"/>
          <w:lang w:val="es-ES"/>
        </w:rPr>
        <w:t>rentabilidad y competitividad de la pyme agropecuaria</w:t>
      </w:r>
      <w:r w:rsidR="00205E05">
        <w:rPr>
          <w:rFonts w:ascii="Verdana" w:hAnsi="Verdana"/>
          <w:sz w:val="20"/>
          <w:lang w:val="es-ES"/>
        </w:rPr>
        <w:t xml:space="preserve">, procurando políticas públicas integrales y medidas </w:t>
      </w:r>
      <w:r w:rsidR="002B03B7">
        <w:rPr>
          <w:rFonts w:ascii="Verdana" w:hAnsi="Verdana"/>
          <w:sz w:val="20"/>
          <w:lang w:val="es-ES"/>
        </w:rPr>
        <w:t xml:space="preserve">diferenciales </w:t>
      </w:r>
      <w:r w:rsidR="009633C4">
        <w:rPr>
          <w:rFonts w:ascii="Verdana" w:hAnsi="Verdana"/>
          <w:sz w:val="20"/>
          <w:lang w:val="es-ES"/>
        </w:rPr>
        <w:t>que contemplaran</w:t>
      </w:r>
      <w:r w:rsidR="00205E05">
        <w:rPr>
          <w:rFonts w:ascii="Verdana" w:hAnsi="Verdana"/>
          <w:sz w:val="20"/>
          <w:lang w:val="es-ES"/>
        </w:rPr>
        <w:t xml:space="preserve"> </w:t>
      </w:r>
      <w:r>
        <w:rPr>
          <w:rFonts w:ascii="Verdana" w:hAnsi="Verdana"/>
          <w:sz w:val="20"/>
          <w:lang w:val="es-ES"/>
        </w:rPr>
        <w:t xml:space="preserve">tanto </w:t>
      </w:r>
      <w:r w:rsidR="002B03B7">
        <w:rPr>
          <w:rFonts w:ascii="Verdana" w:hAnsi="Verdana"/>
          <w:sz w:val="20"/>
          <w:szCs w:val="20"/>
        </w:rPr>
        <w:t>las asimetrías</w:t>
      </w:r>
      <w:r w:rsidR="002B03B7" w:rsidRPr="0014708D">
        <w:rPr>
          <w:rFonts w:ascii="Verdana" w:hAnsi="Verdana"/>
          <w:sz w:val="20"/>
          <w:szCs w:val="20"/>
        </w:rPr>
        <w:t xml:space="preserve"> de la estructura productiva nacional</w:t>
      </w:r>
      <w:r>
        <w:rPr>
          <w:rFonts w:ascii="Verdana" w:hAnsi="Verdana"/>
          <w:sz w:val="20"/>
          <w:szCs w:val="20"/>
        </w:rPr>
        <w:t xml:space="preserve"> como </w:t>
      </w:r>
      <w:r w:rsidR="002B03B7" w:rsidRPr="0014708D">
        <w:rPr>
          <w:rFonts w:ascii="Verdana" w:hAnsi="Verdana"/>
          <w:sz w:val="20"/>
          <w:szCs w:val="20"/>
        </w:rPr>
        <w:t>la</w:t>
      </w:r>
      <w:r w:rsidR="002B03B7">
        <w:rPr>
          <w:rFonts w:ascii="Verdana" w:hAnsi="Verdana"/>
          <w:sz w:val="20"/>
          <w:szCs w:val="20"/>
        </w:rPr>
        <w:t xml:space="preserve"> heterogeneidad regional. </w:t>
      </w:r>
      <w:r w:rsidR="002B03B7" w:rsidRPr="0014708D">
        <w:rPr>
          <w:rFonts w:ascii="Verdana" w:hAnsi="Verdana"/>
          <w:sz w:val="20"/>
          <w:szCs w:val="20"/>
        </w:rPr>
        <w:t xml:space="preserve"> </w:t>
      </w:r>
    </w:p>
    <w:p w:rsidR="007C1CCA" w:rsidRPr="007C1CCA" w:rsidRDefault="00F343BC" w:rsidP="007C1CCA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lang w:val="es-ES"/>
        </w:rPr>
        <w:t>Durante el 2020, e</w:t>
      </w:r>
      <w:r w:rsidR="00D87BCD" w:rsidRPr="00D87BCD">
        <w:rPr>
          <w:rFonts w:ascii="Verdana" w:hAnsi="Verdana"/>
          <w:sz w:val="20"/>
          <w:lang w:val="es-ES"/>
        </w:rPr>
        <w:t>n el marco del Aislamiento Social, Preventivo y Obligatorio (ASPO) y el Distanciamiento Social, Preventivo y Obligatorio (DISPO)</w:t>
      </w:r>
      <w:r w:rsidR="007663FA">
        <w:rPr>
          <w:rFonts w:ascii="Verdana" w:hAnsi="Verdana"/>
          <w:sz w:val="20"/>
          <w:lang w:val="es-ES"/>
        </w:rPr>
        <w:t>;</w:t>
      </w:r>
      <w:r w:rsidR="00D87BCD">
        <w:rPr>
          <w:rFonts w:ascii="Verdana" w:hAnsi="Verdana"/>
          <w:sz w:val="20"/>
          <w:lang w:val="es-ES"/>
        </w:rPr>
        <w:t xml:space="preserve"> l</w:t>
      </w:r>
      <w:r w:rsidR="00D87BCD">
        <w:rPr>
          <w:rFonts w:ascii="Verdana" w:hAnsi="Verdana"/>
          <w:sz w:val="20"/>
          <w:szCs w:val="20"/>
        </w:rPr>
        <w:t xml:space="preserve">os encuentros nacionales y regionales </w:t>
      </w:r>
      <w:r w:rsidR="007C1CCA">
        <w:rPr>
          <w:rFonts w:ascii="Verdana" w:hAnsi="Verdana"/>
          <w:sz w:val="20"/>
          <w:szCs w:val="20"/>
        </w:rPr>
        <w:t xml:space="preserve">presenciales </w:t>
      </w:r>
      <w:r w:rsidR="00D87BCD">
        <w:rPr>
          <w:rFonts w:ascii="Verdana" w:hAnsi="Verdana"/>
          <w:sz w:val="20"/>
          <w:szCs w:val="20"/>
        </w:rPr>
        <w:t xml:space="preserve">no pudieron llevarse a cabo. En su lugar y para conocer las demandas de cada sector productivo, </w:t>
      </w:r>
      <w:r>
        <w:rPr>
          <w:rFonts w:ascii="Verdana" w:hAnsi="Verdana"/>
          <w:sz w:val="20"/>
          <w:szCs w:val="20"/>
        </w:rPr>
        <w:t xml:space="preserve">el sector organizó </w:t>
      </w:r>
      <w:r w:rsidR="00D87BCD" w:rsidRPr="0038285B">
        <w:rPr>
          <w:rFonts w:ascii="Verdana" w:hAnsi="Verdana"/>
          <w:sz w:val="20"/>
          <w:szCs w:val="20"/>
        </w:rPr>
        <w:t>reuniones periód</w:t>
      </w:r>
      <w:r w:rsidR="00D87BCD">
        <w:rPr>
          <w:rFonts w:ascii="Verdana" w:hAnsi="Verdana"/>
          <w:sz w:val="20"/>
          <w:szCs w:val="20"/>
        </w:rPr>
        <w:t xml:space="preserve">icas a través de la plataforma </w:t>
      </w:r>
      <w:r w:rsidR="00D87BCD" w:rsidRPr="00D87BCD">
        <w:rPr>
          <w:rFonts w:ascii="Verdana" w:hAnsi="Verdana"/>
          <w:i/>
          <w:sz w:val="20"/>
          <w:szCs w:val="20"/>
        </w:rPr>
        <w:t>Zoom</w:t>
      </w:r>
      <w:r w:rsidR="00D87BCD" w:rsidRPr="0038285B">
        <w:rPr>
          <w:rFonts w:ascii="Verdana" w:hAnsi="Verdana"/>
          <w:sz w:val="20"/>
          <w:szCs w:val="20"/>
        </w:rPr>
        <w:t xml:space="preserve"> con productores agropecuarios </w:t>
      </w:r>
      <w:r w:rsidR="00B35901">
        <w:rPr>
          <w:rFonts w:ascii="Verdana" w:hAnsi="Verdana"/>
          <w:sz w:val="20"/>
          <w:szCs w:val="20"/>
        </w:rPr>
        <w:t xml:space="preserve">y agroindustriales </w:t>
      </w:r>
      <w:r w:rsidR="00D87BCD">
        <w:rPr>
          <w:rFonts w:ascii="Verdana" w:hAnsi="Verdana"/>
          <w:sz w:val="20"/>
          <w:szCs w:val="20"/>
        </w:rPr>
        <w:t xml:space="preserve">nucleados en </w:t>
      </w:r>
      <w:r w:rsidR="00D87BCD" w:rsidRPr="0038285B">
        <w:rPr>
          <w:rFonts w:ascii="Verdana" w:hAnsi="Verdana"/>
          <w:sz w:val="20"/>
          <w:szCs w:val="20"/>
        </w:rPr>
        <w:t>la Mesa Chica de Economías Regionales y la Mesa Agroalimentaria.</w:t>
      </w:r>
      <w:r w:rsidR="00497902">
        <w:rPr>
          <w:rFonts w:ascii="Verdana" w:hAnsi="Verdana"/>
          <w:sz w:val="20"/>
          <w:szCs w:val="20"/>
        </w:rPr>
        <w:t xml:space="preserve"> </w:t>
      </w:r>
    </w:p>
    <w:p w:rsidR="00CF7258" w:rsidRDefault="00D95A6B" w:rsidP="00D95A6B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Entre las actividades realizadas junto con los productores se destacaron</w:t>
      </w:r>
      <w:r w:rsidR="00A05887">
        <w:rPr>
          <w:rFonts w:ascii="Verdana" w:hAnsi="Verdana"/>
          <w:sz w:val="20"/>
          <w:szCs w:val="20"/>
        </w:rPr>
        <w:t xml:space="preserve"> los webinarios, que contaron con un alto nivel de participación a nivel na</w:t>
      </w:r>
      <w:bookmarkStart w:id="0" w:name="_GoBack"/>
      <w:bookmarkEnd w:id="0"/>
      <w:r w:rsidR="00A05887">
        <w:rPr>
          <w:rFonts w:ascii="Verdana" w:hAnsi="Verdana"/>
          <w:sz w:val="20"/>
          <w:szCs w:val="20"/>
        </w:rPr>
        <w:t xml:space="preserve">cional e internacional, y las </w:t>
      </w:r>
      <w:r>
        <w:rPr>
          <w:rFonts w:ascii="Verdana" w:hAnsi="Verdana"/>
          <w:sz w:val="20"/>
          <w:szCs w:val="20"/>
        </w:rPr>
        <w:t xml:space="preserve">encuestas. Esta </w:t>
      </w:r>
      <w:r w:rsidR="00A05887">
        <w:rPr>
          <w:rFonts w:ascii="Verdana" w:hAnsi="Verdana"/>
          <w:sz w:val="20"/>
          <w:szCs w:val="20"/>
        </w:rPr>
        <w:t xml:space="preserve">última </w:t>
      </w:r>
      <w:r>
        <w:rPr>
          <w:rFonts w:ascii="Verdana" w:hAnsi="Verdana"/>
          <w:sz w:val="20"/>
          <w:szCs w:val="20"/>
        </w:rPr>
        <w:t xml:space="preserve">herramienta permitió elaborar diagnósticos, en distintos momentos de la pandemia de COVID-19, sobre el estado de la cadena de pagos, de provisión, requerimientos de capital de trabajo, etc.; información estratégica que fue elevada al </w:t>
      </w:r>
      <w:r w:rsidR="00497902">
        <w:rPr>
          <w:rFonts w:ascii="Verdana" w:hAnsi="Verdana"/>
          <w:sz w:val="20"/>
          <w:szCs w:val="20"/>
        </w:rPr>
        <w:t xml:space="preserve">Ministerio de Agricultura, </w:t>
      </w:r>
      <w:r>
        <w:rPr>
          <w:rFonts w:ascii="Verdana" w:hAnsi="Verdana"/>
          <w:sz w:val="20"/>
          <w:szCs w:val="20"/>
        </w:rPr>
        <w:t xml:space="preserve">Ganadería y Pesca de la Nación. </w:t>
      </w:r>
    </w:p>
    <w:p w:rsidR="001450FA" w:rsidRPr="001450FA" w:rsidRDefault="007C1CCA" w:rsidP="001450FA">
      <w:pPr>
        <w:tabs>
          <w:tab w:val="left" w:pos="-142"/>
        </w:tabs>
        <w:ind w:left="-993" w:right="-994"/>
        <w:jc w:val="both"/>
        <w:rPr>
          <w:rFonts w:ascii="Verdana" w:eastAsia="Times New Roman" w:hAnsi="Verdana" w:cs="Helvetica"/>
          <w:sz w:val="20"/>
          <w:szCs w:val="20"/>
          <w:lang w:eastAsia="es-AR"/>
        </w:rPr>
      </w:pPr>
      <w:r>
        <w:rPr>
          <w:rFonts w:ascii="Verdana" w:hAnsi="Verdana"/>
          <w:sz w:val="20"/>
          <w:szCs w:val="20"/>
        </w:rPr>
        <w:t>La falta de disponibilidad de efectivo y la multiplicidad de permisos de circulaci</w:t>
      </w:r>
      <w:r w:rsidR="00DD3A73">
        <w:rPr>
          <w:rFonts w:ascii="Verdana" w:hAnsi="Verdana"/>
          <w:sz w:val="20"/>
          <w:szCs w:val="20"/>
        </w:rPr>
        <w:t xml:space="preserve">ón, fueron dos de los temas que requirieron la intervención del sector de Economías Regionales de CAME. Luego de las gestiones realizadas, </w:t>
      </w:r>
      <w:r w:rsidR="00DD3A73" w:rsidRPr="00DD3A73">
        <w:rPr>
          <w:rFonts w:ascii="Verdana" w:eastAsia="Times New Roman" w:hAnsi="Verdana" w:cs="Helvetica"/>
          <w:sz w:val="20"/>
          <w:szCs w:val="20"/>
          <w:lang w:eastAsia="es-AR"/>
        </w:rPr>
        <w:t xml:space="preserve">se aprobó un permiso </w:t>
      </w:r>
      <w:r w:rsidR="00DD3A73">
        <w:rPr>
          <w:rFonts w:ascii="Verdana" w:eastAsia="Times New Roman" w:hAnsi="Verdana" w:cs="Helvetica"/>
          <w:sz w:val="20"/>
          <w:szCs w:val="20"/>
          <w:lang w:eastAsia="es-AR"/>
        </w:rPr>
        <w:t xml:space="preserve">único </w:t>
      </w:r>
      <w:r w:rsidR="00DD3A73" w:rsidRPr="00DD3A73">
        <w:rPr>
          <w:rFonts w:ascii="Verdana" w:eastAsia="Times New Roman" w:hAnsi="Verdana" w:cs="Helvetica"/>
          <w:sz w:val="20"/>
          <w:szCs w:val="20"/>
          <w:lang w:eastAsia="es-AR"/>
        </w:rPr>
        <w:t>de circulación válido</w:t>
      </w:r>
      <w:r w:rsidR="00DD3A73">
        <w:rPr>
          <w:rFonts w:ascii="Verdana" w:eastAsia="Times New Roman" w:hAnsi="Verdana" w:cs="Helvetica"/>
          <w:sz w:val="20"/>
          <w:szCs w:val="20"/>
          <w:lang w:eastAsia="es-AR"/>
        </w:rPr>
        <w:t xml:space="preserve"> en todo el territorio nacional y se logró restablecer el </w:t>
      </w:r>
      <w:r w:rsidR="00DD3A73" w:rsidRPr="0038285B">
        <w:rPr>
          <w:rFonts w:ascii="Verdana" w:eastAsia="Times New Roman" w:hAnsi="Verdana" w:cs="Helvetica"/>
          <w:sz w:val="20"/>
          <w:szCs w:val="20"/>
          <w:lang w:eastAsia="es-AR"/>
        </w:rPr>
        <w:t>funcionamiento del sistema bancario</w:t>
      </w:r>
      <w:r w:rsidR="00A05887">
        <w:rPr>
          <w:rFonts w:ascii="Verdana" w:eastAsia="Times New Roman" w:hAnsi="Verdana" w:cs="Helvetica"/>
          <w:sz w:val="20"/>
          <w:szCs w:val="20"/>
          <w:lang w:eastAsia="es-AR"/>
        </w:rPr>
        <w:t xml:space="preserve"> para </w:t>
      </w:r>
      <w:r w:rsidR="001450FA" w:rsidRPr="0038285B">
        <w:rPr>
          <w:rFonts w:ascii="Verdana" w:eastAsia="Times New Roman" w:hAnsi="Verdana" w:cs="Helvetica"/>
          <w:sz w:val="20"/>
          <w:szCs w:val="20"/>
          <w:lang w:eastAsia="es-AR"/>
        </w:rPr>
        <w:t xml:space="preserve">poder pagar los salarios de los trabajadores temporarios (no bancarizados) y comprar diversos insumos </w:t>
      </w:r>
      <w:r w:rsidR="007B6B64">
        <w:rPr>
          <w:rFonts w:ascii="Verdana" w:eastAsia="Times New Roman" w:hAnsi="Verdana" w:cs="Helvetica"/>
          <w:sz w:val="20"/>
          <w:szCs w:val="20"/>
          <w:lang w:eastAsia="es-AR"/>
        </w:rPr>
        <w:t>que requerían</w:t>
      </w:r>
      <w:r w:rsidR="001450FA">
        <w:rPr>
          <w:rFonts w:ascii="Verdana" w:eastAsia="Times New Roman" w:hAnsi="Verdana" w:cs="Helvetica"/>
          <w:sz w:val="20"/>
          <w:szCs w:val="20"/>
          <w:lang w:eastAsia="es-AR"/>
        </w:rPr>
        <w:t xml:space="preserve"> </w:t>
      </w:r>
      <w:r w:rsidR="001450FA" w:rsidRPr="0038285B">
        <w:rPr>
          <w:rFonts w:ascii="Verdana" w:eastAsia="Times New Roman" w:hAnsi="Verdana" w:cs="Helvetica"/>
          <w:sz w:val="20"/>
          <w:szCs w:val="20"/>
          <w:lang w:eastAsia="es-AR"/>
        </w:rPr>
        <w:t>pago de contado (gasoil, por ejemplo).</w:t>
      </w:r>
    </w:p>
    <w:p w:rsidR="006D1826" w:rsidRDefault="00DD3A73" w:rsidP="008F0F97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Como miembro permanente</w:t>
      </w:r>
      <w:r w:rsidR="00497902" w:rsidRPr="0038285B">
        <w:rPr>
          <w:rFonts w:ascii="Verdana" w:hAnsi="Verdana"/>
          <w:sz w:val="20"/>
          <w:szCs w:val="20"/>
        </w:rPr>
        <w:t xml:space="preserve"> de la Comisión Nacional de Trabajo Agrario (CNTA)</w:t>
      </w:r>
      <w:r w:rsidR="00CF7258">
        <w:rPr>
          <w:rFonts w:ascii="Verdana" w:hAnsi="Verdana"/>
          <w:sz w:val="20"/>
          <w:szCs w:val="20"/>
        </w:rPr>
        <w:t xml:space="preserve"> y la </w:t>
      </w:r>
      <w:r w:rsidR="00CF7258" w:rsidRPr="0038285B">
        <w:rPr>
          <w:rFonts w:ascii="Verdana" w:hAnsi="Verdana"/>
          <w:sz w:val="20"/>
          <w:szCs w:val="20"/>
          <w:lang w:eastAsia="es-ES"/>
        </w:rPr>
        <w:t>Comisión Nacional de Emergencias y Desastres Agropecuarios (CNEyDA)</w:t>
      </w:r>
      <w:r w:rsidR="00497902" w:rsidRPr="0038285B">
        <w:rPr>
          <w:rFonts w:ascii="Verdana" w:hAnsi="Verdana"/>
          <w:sz w:val="20"/>
          <w:szCs w:val="20"/>
        </w:rPr>
        <w:t xml:space="preserve">, </w:t>
      </w:r>
      <w:r w:rsidR="00F752F8">
        <w:rPr>
          <w:rFonts w:ascii="Verdana" w:hAnsi="Verdana"/>
          <w:sz w:val="20"/>
          <w:szCs w:val="20"/>
        </w:rPr>
        <w:t>el sector participó</w:t>
      </w:r>
      <w:r w:rsidR="00497902" w:rsidRPr="0038285B">
        <w:rPr>
          <w:rFonts w:ascii="Verdana" w:hAnsi="Verdana"/>
          <w:sz w:val="20"/>
          <w:szCs w:val="20"/>
        </w:rPr>
        <w:t xml:space="preserve"> de los debates paritarios</w:t>
      </w:r>
      <w:r w:rsidR="00F752F8">
        <w:rPr>
          <w:rFonts w:ascii="Verdana" w:hAnsi="Verdana"/>
          <w:sz w:val="20"/>
          <w:szCs w:val="20"/>
        </w:rPr>
        <w:t xml:space="preserve"> y </w:t>
      </w:r>
      <w:r w:rsidR="00F752F8" w:rsidRPr="0038285B">
        <w:rPr>
          <w:rFonts w:ascii="Verdana" w:hAnsi="Verdana"/>
          <w:sz w:val="20"/>
          <w:szCs w:val="20"/>
          <w:lang w:eastAsia="es-ES"/>
        </w:rPr>
        <w:t>anal</w:t>
      </w:r>
      <w:r w:rsidR="00F752F8">
        <w:rPr>
          <w:rFonts w:ascii="Verdana" w:hAnsi="Verdana"/>
          <w:sz w:val="20"/>
          <w:szCs w:val="20"/>
          <w:lang w:eastAsia="es-ES"/>
        </w:rPr>
        <w:t>izó</w:t>
      </w:r>
      <w:r w:rsidR="00F752F8" w:rsidRPr="0038285B">
        <w:rPr>
          <w:rFonts w:ascii="Verdana" w:hAnsi="Verdana"/>
          <w:sz w:val="20"/>
          <w:szCs w:val="20"/>
          <w:lang w:eastAsia="es-ES"/>
        </w:rPr>
        <w:t xml:space="preserve"> el alcance de diversas inclemencias climáticas sufridas a lo largo y ancho del país</w:t>
      </w:r>
      <w:r w:rsidR="00F752F8">
        <w:rPr>
          <w:rFonts w:ascii="Verdana" w:hAnsi="Verdana"/>
          <w:sz w:val="20"/>
          <w:szCs w:val="20"/>
        </w:rPr>
        <w:t xml:space="preserve">. </w:t>
      </w:r>
      <w:r w:rsidR="008F0F97">
        <w:rPr>
          <w:rFonts w:ascii="Verdana" w:hAnsi="Verdana"/>
          <w:sz w:val="20"/>
          <w:szCs w:val="20"/>
        </w:rPr>
        <w:t>En la CNTA, l</w:t>
      </w:r>
      <w:r w:rsidR="00CF7258">
        <w:rPr>
          <w:rFonts w:ascii="Verdana" w:hAnsi="Verdana"/>
          <w:sz w:val="20"/>
          <w:szCs w:val="20"/>
        </w:rPr>
        <w:t xml:space="preserve">a postura de </w:t>
      </w:r>
      <w:r w:rsidR="00497902" w:rsidRPr="0038285B">
        <w:rPr>
          <w:rFonts w:ascii="Verdana" w:hAnsi="Verdana"/>
          <w:sz w:val="20"/>
          <w:szCs w:val="20"/>
        </w:rPr>
        <w:t xml:space="preserve">CAME </w:t>
      </w:r>
      <w:r w:rsidR="00CF7258">
        <w:rPr>
          <w:rFonts w:ascii="Verdana" w:hAnsi="Verdana"/>
          <w:sz w:val="20"/>
          <w:szCs w:val="20"/>
        </w:rPr>
        <w:t xml:space="preserve">fue clara: </w:t>
      </w:r>
      <w:r w:rsidR="00497902" w:rsidRPr="0038285B">
        <w:rPr>
          <w:rFonts w:ascii="Verdana" w:hAnsi="Verdana"/>
          <w:sz w:val="20"/>
          <w:szCs w:val="20"/>
        </w:rPr>
        <w:t>no permitir que durante la pospandemia sigan desapareciendo empresa</w:t>
      </w:r>
      <w:r w:rsidR="00CF7258">
        <w:rPr>
          <w:rFonts w:ascii="Verdana" w:hAnsi="Verdana"/>
          <w:sz w:val="20"/>
          <w:szCs w:val="20"/>
        </w:rPr>
        <w:t xml:space="preserve">s, pudiendo </w:t>
      </w:r>
      <w:r w:rsidR="008F0F97">
        <w:rPr>
          <w:rFonts w:ascii="Verdana" w:hAnsi="Verdana"/>
          <w:sz w:val="20"/>
          <w:szCs w:val="20"/>
        </w:rPr>
        <w:t xml:space="preserve">así </w:t>
      </w:r>
      <w:r w:rsidR="00CF7258">
        <w:rPr>
          <w:rFonts w:ascii="Verdana" w:hAnsi="Verdana"/>
          <w:sz w:val="20"/>
          <w:szCs w:val="20"/>
        </w:rPr>
        <w:t xml:space="preserve">conservarse las fuentes de trabajo. </w:t>
      </w:r>
    </w:p>
    <w:p w:rsidR="006A2A55" w:rsidRDefault="00C62CC5" w:rsidP="006A2A55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Además, el área</w:t>
      </w:r>
      <w:r w:rsidR="006D1826">
        <w:rPr>
          <w:rFonts w:ascii="Verdana" w:hAnsi="Verdana"/>
          <w:sz w:val="20"/>
          <w:szCs w:val="20"/>
        </w:rPr>
        <w:t xml:space="preserve"> continuó elaborando mensualmente el Índice de Precios en Origen y Destino (IPOD) y comenzó a difundir infografías que desagregan los precios de los productos agropecuarios, visibilizando el impacto de la presión tributaria y la participaci</w:t>
      </w:r>
      <w:r w:rsidR="001D78DA">
        <w:rPr>
          <w:rFonts w:ascii="Verdana" w:hAnsi="Verdana"/>
          <w:sz w:val="20"/>
          <w:szCs w:val="20"/>
        </w:rPr>
        <w:t xml:space="preserve">ón </w:t>
      </w:r>
      <w:r w:rsidR="00F323C0">
        <w:rPr>
          <w:rFonts w:ascii="Verdana" w:hAnsi="Verdana"/>
          <w:sz w:val="20"/>
          <w:szCs w:val="20"/>
        </w:rPr>
        <w:t xml:space="preserve">de </w:t>
      </w:r>
      <w:r w:rsidR="006D1826">
        <w:rPr>
          <w:rFonts w:ascii="Verdana" w:hAnsi="Verdana"/>
          <w:sz w:val="20"/>
          <w:szCs w:val="20"/>
        </w:rPr>
        <w:t>cada eslab</w:t>
      </w:r>
      <w:r w:rsidR="00A829F5">
        <w:rPr>
          <w:rFonts w:ascii="Verdana" w:hAnsi="Verdana"/>
          <w:sz w:val="20"/>
          <w:szCs w:val="20"/>
        </w:rPr>
        <w:t>ón de la cade</w:t>
      </w:r>
      <w:r w:rsidR="006A2A55">
        <w:rPr>
          <w:rFonts w:ascii="Verdana" w:hAnsi="Verdana"/>
          <w:sz w:val="20"/>
          <w:szCs w:val="20"/>
        </w:rPr>
        <w:t>na de valor en el precio final.</w:t>
      </w:r>
    </w:p>
    <w:p w:rsidR="007C1CCA" w:rsidRDefault="006A2A55" w:rsidP="00763CA5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agenda de trabajo </w:t>
      </w:r>
      <w:r w:rsidR="00C62CC5">
        <w:rPr>
          <w:rFonts w:ascii="Verdana" w:hAnsi="Verdana"/>
          <w:sz w:val="20"/>
          <w:szCs w:val="20"/>
        </w:rPr>
        <w:t xml:space="preserve">del 2021 </w:t>
      </w:r>
      <w:r w:rsidR="007C48C3">
        <w:rPr>
          <w:rFonts w:ascii="Verdana" w:hAnsi="Verdana"/>
          <w:sz w:val="20"/>
          <w:szCs w:val="20"/>
        </w:rPr>
        <w:t>perseguirá un ambicioso objetivo:</w:t>
      </w:r>
      <w:r w:rsidR="00763CA5">
        <w:rPr>
          <w:rFonts w:ascii="Verdana" w:hAnsi="Verdana"/>
          <w:sz w:val="20"/>
          <w:szCs w:val="20"/>
        </w:rPr>
        <w:t xml:space="preserve"> </w:t>
      </w:r>
      <w:r w:rsidR="00416420">
        <w:rPr>
          <w:rFonts w:ascii="Verdana" w:hAnsi="Verdana"/>
          <w:sz w:val="20"/>
          <w:szCs w:val="20"/>
        </w:rPr>
        <w:t>acompañar a las pymes agropecuarias</w:t>
      </w:r>
      <w:r w:rsidR="00763CA5">
        <w:rPr>
          <w:rFonts w:ascii="Verdana" w:hAnsi="Verdana"/>
          <w:sz w:val="20"/>
          <w:szCs w:val="20"/>
        </w:rPr>
        <w:t xml:space="preserve">, ya sea brindándoles herramientas concretas desarrolladas junto con otros departamentos de la entidad o bien logrando el diseño de </w:t>
      </w:r>
      <w:r w:rsidR="007C48C3">
        <w:rPr>
          <w:rFonts w:ascii="Verdana" w:hAnsi="Verdana"/>
          <w:sz w:val="20"/>
          <w:szCs w:val="20"/>
        </w:rPr>
        <w:t>políticas públicas más eficiente</w:t>
      </w:r>
      <w:r w:rsidR="00763CA5">
        <w:rPr>
          <w:rFonts w:ascii="Verdana" w:hAnsi="Verdana"/>
          <w:sz w:val="20"/>
          <w:szCs w:val="20"/>
        </w:rPr>
        <w:t>s e integrales para el agro</w:t>
      </w:r>
      <w:r w:rsidR="007C48C3">
        <w:rPr>
          <w:rFonts w:ascii="Verdana" w:hAnsi="Verdana"/>
          <w:sz w:val="20"/>
          <w:szCs w:val="20"/>
        </w:rPr>
        <w:t xml:space="preserve">, en pos de </w:t>
      </w:r>
      <w:r w:rsidR="00416420">
        <w:rPr>
          <w:rFonts w:ascii="Verdana" w:hAnsi="Verdana"/>
          <w:sz w:val="20"/>
          <w:szCs w:val="20"/>
        </w:rPr>
        <w:t>su</w:t>
      </w:r>
      <w:r w:rsidR="007C48C3">
        <w:rPr>
          <w:rFonts w:ascii="Verdana" w:hAnsi="Verdana"/>
          <w:sz w:val="20"/>
          <w:szCs w:val="20"/>
        </w:rPr>
        <w:t xml:space="preserve"> rentabilidad y sostenibilidad</w:t>
      </w:r>
      <w:r w:rsidR="00416420">
        <w:rPr>
          <w:rFonts w:ascii="Verdana" w:hAnsi="Verdana"/>
          <w:sz w:val="20"/>
          <w:szCs w:val="20"/>
        </w:rPr>
        <w:t xml:space="preserve">. </w:t>
      </w:r>
    </w:p>
    <w:p w:rsidR="00E928AF" w:rsidRDefault="007C48C3" w:rsidP="00495210">
      <w:pPr>
        <w:tabs>
          <w:tab w:val="left" w:pos="-142"/>
        </w:tabs>
        <w:ind w:left="-993" w:right="-9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ese sentido, la </w:t>
      </w:r>
      <w:r w:rsidR="006A2A55">
        <w:rPr>
          <w:rFonts w:ascii="Verdana" w:hAnsi="Verdana"/>
          <w:sz w:val="20"/>
          <w:szCs w:val="20"/>
        </w:rPr>
        <w:t xml:space="preserve">gestión </w:t>
      </w:r>
      <w:r w:rsidR="00C62CC5">
        <w:rPr>
          <w:rFonts w:ascii="Verdana" w:hAnsi="Verdana"/>
          <w:sz w:val="20"/>
          <w:szCs w:val="20"/>
        </w:rPr>
        <w:t xml:space="preserve">del sector </w:t>
      </w:r>
      <w:r w:rsidR="00E928AF">
        <w:rPr>
          <w:rFonts w:ascii="Verdana" w:hAnsi="Verdana"/>
          <w:sz w:val="20"/>
          <w:szCs w:val="20"/>
        </w:rPr>
        <w:t>estará orientada a</w:t>
      </w:r>
      <w:r w:rsidR="00763CA5">
        <w:rPr>
          <w:rFonts w:ascii="Verdana" w:hAnsi="Verdana"/>
          <w:sz w:val="20"/>
          <w:szCs w:val="20"/>
        </w:rPr>
        <w:t xml:space="preserve"> alcanzar </w:t>
      </w:r>
      <w:r w:rsidR="00E928AF" w:rsidRPr="00E928AF">
        <w:rPr>
          <w:rFonts w:ascii="Verdana" w:hAnsi="Verdana"/>
          <w:sz w:val="20"/>
          <w:szCs w:val="20"/>
        </w:rPr>
        <w:t>todas aquellas medidas que sean necesarias para el normal desarrollo de la actividad, entre las que se encuentran, por ejemplo:</w:t>
      </w:r>
      <w:r w:rsidR="00A46C27">
        <w:rPr>
          <w:rFonts w:ascii="Verdana" w:hAnsi="Verdana"/>
          <w:sz w:val="20"/>
          <w:szCs w:val="20"/>
        </w:rPr>
        <w:t xml:space="preserve"> </w:t>
      </w:r>
      <w:r w:rsidR="003A39BD">
        <w:rPr>
          <w:rFonts w:ascii="Verdana" w:hAnsi="Verdana"/>
          <w:sz w:val="20"/>
          <w:szCs w:val="20"/>
        </w:rPr>
        <w:t>r</w:t>
      </w:r>
      <w:r w:rsidR="003A39BD" w:rsidRPr="003A39BD">
        <w:rPr>
          <w:rFonts w:ascii="Verdana" w:hAnsi="Verdana"/>
          <w:sz w:val="20"/>
          <w:szCs w:val="20"/>
        </w:rPr>
        <w:t>ediseño del esquema tributario por uno más “racional”, que evite la superposición de ta</w:t>
      </w:r>
      <w:r w:rsidR="00623A1A">
        <w:rPr>
          <w:rFonts w:ascii="Verdana" w:hAnsi="Verdana"/>
          <w:sz w:val="20"/>
          <w:szCs w:val="20"/>
        </w:rPr>
        <w:t>sas y tributos en los 3 niveles -es clave la eliminación de las retenciones a la totalidad de las economías regionales-; e</w:t>
      </w:r>
      <w:r w:rsidR="003A39BD" w:rsidRPr="00623A1A">
        <w:rPr>
          <w:rFonts w:ascii="Verdana" w:hAnsi="Verdana"/>
          <w:sz w:val="20"/>
          <w:szCs w:val="20"/>
        </w:rPr>
        <w:t xml:space="preserve">studio de las cadenas de valor para comenzar a sentar las bases del “Comercio Justo”, generando una mayor transparencia comercial; garantización de la disponibilidad de mano de obra mediante la compatibilización de Planes Sociales y Trabajo Registrado; </w:t>
      </w:r>
      <w:r w:rsidR="00623A1A" w:rsidRPr="00623A1A">
        <w:rPr>
          <w:rFonts w:ascii="Verdana" w:hAnsi="Verdana"/>
          <w:sz w:val="20"/>
          <w:szCs w:val="20"/>
        </w:rPr>
        <w:t>y r</w:t>
      </w:r>
      <w:r w:rsidR="003A39BD" w:rsidRPr="00623A1A">
        <w:rPr>
          <w:rFonts w:ascii="Verdana" w:hAnsi="Verdana"/>
          <w:sz w:val="20"/>
          <w:szCs w:val="20"/>
        </w:rPr>
        <w:t>educción del costo laboral, a partir de una actualización del Mínimo No Imponible (MNI)</w:t>
      </w:r>
      <w:r w:rsidR="00623A1A" w:rsidRPr="00623A1A">
        <w:rPr>
          <w:rFonts w:ascii="Verdana" w:hAnsi="Verdana"/>
          <w:sz w:val="20"/>
          <w:szCs w:val="20"/>
        </w:rPr>
        <w:t>; entre otras.</w:t>
      </w:r>
    </w:p>
    <w:p w:rsidR="005E7D65" w:rsidRPr="004C1978" w:rsidRDefault="005E7D65" w:rsidP="004C1978"/>
    <w:sectPr w:rsidR="005E7D65" w:rsidRPr="004C1978" w:rsidSect="00F323C0">
      <w:headerReference w:type="default" r:id="rId7"/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E2" w:rsidRDefault="00146EE2" w:rsidP="004C1978">
      <w:pPr>
        <w:spacing w:after="0" w:line="240" w:lineRule="auto"/>
      </w:pPr>
      <w:r>
        <w:separator/>
      </w:r>
    </w:p>
  </w:endnote>
  <w:endnote w:type="continuationSeparator" w:id="0">
    <w:p w:rsidR="00146EE2" w:rsidRDefault="00146EE2" w:rsidP="004C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E2" w:rsidRDefault="00146EE2" w:rsidP="004C1978">
      <w:pPr>
        <w:spacing w:after="0" w:line="240" w:lineRule="auto"/>
      </w:pPr>
      <w:r>
        <w:separator/>
      </w:r>
    </w:p>
  </w:footnote>
  <w:footnote w:type="continuationSeparator" w:id="0">
    <w:p w:rsidR="00146EE2" w:rsidRDefault="00146EE2" w:rsidP="004C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78" w:rsidRDefault="004C1978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s-ES"/>
                            </w:rPr>
                            <w:alias w:val="Título"/>
                            <w:id w:val="21548258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C1978" w:rsidRDefault="004C1978" w:rsidP="004C1978">
                              <w:pPr>
                                <w:spacing w:after="0" w:line="240" w:lineRule="auto"/>
                              </w:pPr>
                              <w:r w:rsidRPr="004C1978">
                                <w:rPr>
                                  <w:lang w:val="es-ES"/>
                                </w:rPr>
                                <w:t>ECONOMÍAS REGIONALES</w:t>
                              </w:r>
                              <w:r w:rsidR="00D44675">
                                <w:rPr>
                                  <w:lang w:val="es-ES"/>
                                </w:rPr>
                                <w:t xml:space="preserve"> CAME</w:t>
                              </w:r>
                              <w:r>
                                <w:rPr>
                                  <w:lang w:val="es-ES"/>
                                </w:rPr>
                                <w:t xml:space="preserve">| </w:t>
                              </w:r>
                              <w:r w:rsidRPr="004C1978">
                                <w:rPr>
                                  <w:lang w:val="es-ES"/>
                                </w:rPr>
                                <w:t>MEMORIA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es-ES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C1978" w:rsidRDefault="004C1978" w:rsidP="004C1978">
                        <w:pPr>
                          <w:spacing w:after="0" w:line="240" w:lineRule="auto"/>
                        </w:pPr>
                        <w:r w:rsidRPr="004C1978">
                          <w:rPr>
                            <w:lang w:val="es-ES"/>
                          </w:rPr>
                          <w:t>ECONOMÍAS REGIONALES</w:t>
                        </w:r>
                        <w:r w:rsidR="00D44675">
                          <w:rPr>
                            <w:lang w:val="es-ES"/>
                          </w:rPr>
                          <w:t xml:space="preserve"> CAME</w:t>
                        </w:r>
                        <w:r>
                          <w:rPr>
                            <w:lang w:val="es-ES"/>
                          </w:rPr>
                          <w:t xml:space="preserve">| </w:t>
                        </w:r>
                        <w:r w:rsidRPr="004C1978">
                          <w:rPr>
                            <w:lang w:val="es-ES"/>
                          </w:rPr>
                          <w:t>MEMORIA 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C1978" w:rsidRDefault="004C197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63FA" w:rsidRPr="007663FA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4C1978" w:rsidRDefault="004C197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63FA" w:rsidRPr="007663FA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47D7"/>
    <w:multiLevelType w:val="hybridMultilevel"/>
    <w:tmpl w:val="8F7AB680"/>
    <w:lvl w:ilvl="0" w:tplc="04D01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7212"/>
    <w:multiLevelType w:val="hybridMultilevel"/>
    <w:tmpl w:val="B78860DA"/>
    <w:lvl w:ilvl="0" w:tplc="F3C6B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49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6A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CF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EF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01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A8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0E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49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B379E7"/>
    <w:multiLevelType w:val="hybridMultilevel"/>
    <w:tmpl w:val="66309722"/>
    <w:lvl w:ilvl="0" w:tplc="5A98F9B0">
      <w:start w:val="1"/>
      <w:numFmt w:val="lowerLetter"/>
      <w:lvlText w:val="%1)"/>
      <w:lvlJc w:val="left"/>
      <w:pPr>
        <w:ind w:left="-207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2042C56"/>
    <w:multiLevelType w:val="hybridMultilevel"/>
    <w:tmpl w:val="4F0280AC"/>
    <w:lvl w:ilvl="0" w:tplc="04D01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379E"/>
    <w:multiLevelType w:val="hybridMultilevel"/>
    <w:tmpl w:val="D8386DB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8"/>
    <w:rsid w:val="000324F0"/>
    <w:rsid w:val="00061E8D"/>
    <w:rsid w:val="000E0AA7"/>
    <w:rsid w:val="001450FA"/>
    <w:rsid w:val="00146EE2"/>
    <w:rsid w:val="001D78DA"/>
    <w:rsid w:val="00205E05"/>
    <w:rsid w:val="002525D9"/>
    <w:rsid w:val="002B03B7"/>
    <w:rsid w:val="002F5533"/>
    <w:rsid w:val="002F6A19"/>
    <w:rsid w:val="00364AC4"/>
    <w:rsid w:val="003A39BD"/>
    <w:rsid w:val="003B2B8C"/>
    <w:rsid w:val="00416420"/>
    <w:rsid w:val="004837BB"/>
    <w:rsid w:val="00495210"/>
    <w:rsid w:val="00497902"/>
    <w:rsid w:val="004C1978"/>
    <w:rsid w:val="004C7C48"/>
    <w:rsid w:val="005E7D65"/>
    <w:rsid w:val="00623A1A"/>
    <w:rsid w:val="006A2A55"/>
    <w:rsid w:val="006B7A42"/>
    <w:rsid w:val="006D1826"/>
    <w:rsid w:val="00763CA5"/>
    <w:rsid w:val="007663FA"/>
    <w:rsid w:val="00793A68"/>
    <w:rsid w:val="007B6B64"/>
    <w:rsid w:val="007C1CCA"/>
    <w:rsid w:val="007C48C3"/>
    <w:rsid w:val="007C6CE4"/>
    <w:rsid w:val="007D0E92"/>
    <w:rsid w:val="008F0F97"/>
    <w:rsid w:val="0091624C"/>
    <w:rsid w:val="0092346B"/>
    <w:rsid w:val="009633C4"/>
    <w:rsid w:val="00963D92"/>
    <w:rsid w:val="00A05887"/>
    <w:rsid w:val="00A215F9"/>
    <w:rsid w:val="00A46C27"/>
    <w:rsid w:val="00A829F5"/>
    <w:rsid w:val="00A94367"/>
    <w:rsid w:val="00AC144B"/>
    <w:rsid w:val="00AD6D9F"/>
    <w:rsid w:val="00B0453C"/>
    <w:rsid w:val="00B24197"/>
    <w:rsid w:val="00B35901"/>
    <w:rsid w:val="00B80477"/>
    <w:rsid w:val="00C62CC5"/>
    <w:rsid w:val="00CF7258"/>
    <w:rsid w:val="00D44675"/>
    <w:rsid w:val="00D635AC"/>
    <w:rsid w:val="00D732A9"/>
    <w:rsid w:val="00D83907"/>
    <w:rsid w:val="00D86019"/>
    <w:rsid w:val="00D87BCD"/>
    <w:rsid w:val="00D95A6B"/>
    <w:rsid w:val="00DD3A73"/>
    <w:rsid w:val="00E05223"/>
    <w:rsid w:val="00E928AF"/>
    <w:rsid w:val="00EC1162"/>
    <w:rsid w:val="00F323C0"/>
    <w:rsid w:val="00F343BC"/>
    <w:rsid w:val="00F752F8"/>
    <w:rsid w:val="00FA346A"/>
    <w:rsid w:val="00F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289AC"/>
  <w15:chartTrackingRefBased/>
  <w15:docId w15:val="{39589C93-8BDC-4DBC-AB2A-A71C63C0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D6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978"/>
  </w:style>
  <w:style w:type="paragraph" w:styleId="Piedepgina">
    <w:name w:val="footer"/>
    <w:basedOn w:val="Normal"/>
    <w:link w:val="PiedepginaCar"/>
    <w:uiPriority w:val="99"/>
    <w:unhideWhenUsed/>
    <w:rsid w:val="004C1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978"/>
  </w:style>
  <w:style w:type="paragraph" w:styleId="Prrafodelista">
    <w:name w:val="List Paragraph"/>
    <w:basedOn w:val="Normal"/>
    <w:uiPriority w:val="34"/>
    <w:qFormat/>
    <w:rsid w:val="005E7D6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3D92"/>
    <w:rPr>
      <w:b/>
      <w:bCs/>
    </w:rPr>
  </w:style>
  <w:style w:type="character" w:styleId="nfasis">
    <w:name w:val="Emphasis"/>
    <w:basedOn w:val="Fuentedeprrafopredeter"/>
    <w:uiPriority w:val="20"/>
    <w:qFormat/>
    <w:rsid w:val="00D87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ECONOMÍAS REGIONALES CAME| MEMORIA 2020</vt:lpstr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ECONOMÍAS REGIONALES CAME| MEMORIA 2020</dc:title>
  <dc:subject/>
  <dc:creator>Alejandra Zavattaro</dc:creator>
  <cp:keywords/>
  <dc:description/>
  <cp:lastModifiedBy>Alejandra Zavattaro</cp:lastModifiedBy>
  <cp:revision>49</cp:revision>
  <dcterms:created xsi:type="dcterms:W3CDTF">2021-01-26T12:54:00Z</dcterms:created>
  <dcterms:modified xsi:type="dcterms:W3CDTF">2021-01-28T13:19:00Z</dcterms:modified>
</cp:coreProperties>
</file>