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0DC" w:rsidRPr="00DB5C4B" w:rsidRDefault="00F670DC" w:rsidP="00F670DC">
      <w:pPr>
        <w:tabs>
          <w:tab w:val="left" w:pos="-142"/>
        </w:tabs>
        <w:jc w:val="both"/>
        <w:rPr>
          <w:rFonts w:ascii="Verdana" w:hAnsi="Verdana"/>
          <w:b/>
          <w:sz w:val="20"/>
          <w:lang w:val="es-ES"/>
        </w:rPr>
      </w:pPr>
      <w:r w:rsidRPr="00DB5C4B">
        <w:rPr>
          <w:rFonts w:ascii="Verdana" w:hAnsi="Verdana"/>
          <w:b/>
          <w:sz w:val="20"/>
          <w:lang w:val="es-ES"/>
        </w:rPr>
        <w:t>Hacia una matriz federal, sustentable y competitiva de nuestras Economías Regionales</w:t>
      </w:r>
    </w:p>
    <w:p w:rsidR="00F670DC" w:rsidRDefault="00F670DC" w:rsidP="00F670DC">
      <w:pPr>
        <w:tabs>
          <w:tab w:val="left" w:pos="-142"/>
        </w:tabs>
        <w:jc w:val="both"/>
        <w:rPr>
          <w:rFonts w:ascii="Verdana" w:hAnsi="Verdana"/>
          <w:sz w:val="20"/>
          <w:lang w:val="es-ES"/>
        </w:rPr>
      </w:pPr>
      <w:r>
        <w:rPr>
          <w:rFonts w:ascii="Verdana" w:hAnsi="Verdana"/>
          <w:sz w:val="20"/>
          <w:lang w:val="es-ES"/>
        </w:rPr>
        <w:t xml:space="preserve">El 2020 fue el año que no solo dejó en claro que sin productores no hay alimentos, sino también visibilizó el compromiso del sector agroalimentario para garantizar el abastecimiento de la mesa diaria de todos los argentinos. </w:t>
      </w:r>
    </w:p>
    <w:p w:rsidR="00F670DC" w:rsidRDefault="00F670DC" w:rsidP="00F670DC">
      <w:pPr>
        <w:tabs>
          <w:tab w:val="left" w:pos="-142"/>
        </w:tabs>
        <w:jc w:val="both"/>
        <w:rPr>
          <w:rFonts w:ascii="Verdana" w:hAnsi="Verdana"/>
          <w:sz w:val="20"/>
          <w:szCs w:val="20"/>
        </w:rPr>
      </w:pPr>
      <w:r>
        <w:rPr>
          <w:rFonts w:ascii="Verdana" w:hAnsi="Verdana"/>
          <w:sz w:val="20"/>
          <w:lang w:val="es-ES"/>
        </w:rPr>
        <w:t>Desde</w:t>
      </w:r>
      <w:r w:rsidRPr="00CE2DB6">
        <w:rPr>
          <w:rFonts w:ascii="Verdana" w:hAnsi="Verdana"/>
          <w:sz w:val="20"/>
          <w:lang w:val="es-ES"/>
        </w:rPr>
        <w:t xml:space="preserve"> el </w:t>
      </w:r>
      <w:r>
        <w:rPr>
          <w:rFonts w:ascii="Verdana" w:hAnsi="Verdana"/>
          <w:sz w:val="20"/>
          <w:lang w:val="es-ES"/>
        </w:rPr>
        <w:t xml:space="preserve">área </w:t>
      </w:r>
      <w:r w:rsidRPr="00CE2DB6">
        <w:rPr>
          <w:rFonts w:ascii="Verdana" w:hAnsi="Verdana"/>
          <w:sz w:val="20"/>
          <w:lang w:val="es-ES"/>
        </w:rPr>
        <w:t xml:space="preserve">de Economías Regionales </w:t>
      </w:r>
      <w:r>
        <w:rPr>
          <w:rFonts w:ascii="Verdana" w:hAnsi="Verdana"/>
          <w:sz w:val="20"/>
          <w:lang w:val="es-ES"/>
        </w:rPr>
        <w:t xml:space="preserve">de CAME se gestionó, un año más, en defensa de la </w:t>
      </w:r>
      <w:r w:rsidRPr="00D635AC">
        <w:rPr>
          <w:rFonts w:ascii="Verdana" w:hAnsi="Verdana"/>
          <w:sz w:val="20"/>
          <w:lang w:val="es-ES"/>
        </w:rPr>
        <w:t>rentabilidad y competitividad de la pyme agropecuaria</w:t>
      </w:r>
      <w:r>
        <w:rPr>
          <w:rFonts w:ascii="Verdana" w:hAnsi="Verdana"/>
          <w:sz w:val="20"/>
          <w:lang w:val="es-ES"/>
        </w:rPr>
        <w:t xml:space="preserve">, procurando políticas públicas integrales y medidas diferenciales que contemplaran tanto </w:t>
      </w:r>
      <w:r>
        <w:rPr>
          <w:rFonts w:ascii="Verdana" w:hAnsi="Verdana"/>
          <w:sz w:val="20"/>
          <w:szCs w:val="20"/>
        </w:rPr>
        <w:t>las asimetrías</w:t>
      </w:r>
      <w:r w:rsidRPr="0014708D">
        <w:rPr>
          <w:rFonts w:ascii="Verdana" w:hAnsi="Verdana"/>
          <w:sz w:val="20"/>
          <w:szCs w:val="20"/>
        </w:rPr>
        <w:t xml:space="preserve"> de la estructura productiva nacional</w:t>
      </w:r>
      <w:r>
        <w:rPr>
          <w:rFonts w:ascii="Verdana" w:hAnsi="Verdana"/>
          <w:sz w:val="20"/>
          <w:szCs w:val="20"/>
        </w:rPr>
        <w:t xml:space="preserve"> como </w:t>
      </w:r>
      <w:r w:rsidRPr="0014708D">
        <w:rPr>
          <w:rFonts w:ascii="Verdana" w:hAnsi="Verdana"/>
          <w:sz w:val="20"/>
          <w:szCs w:val="20"/>
        </w:rPr>
        <w:t>la</w:t>
      </w:r>
      <w:r>
        <w:rPr>
          <w:rFonts w:ascii="Verdana" w:hAnsi="Verdana"/>
          <w:sz w:val="20"/>
          <w:szCs w:val="20"/>
        </w:rPr>
        <w:t xml:space="preserve"> heterogeneidad regional. </w:t>
      </w:r>
      <w:r w:rsidRPr="0014708D">
        <w:rPr>
          <w:rFonts w:ascii="Verdana" w:hAnsi="Verdana"/>
          <w:sz w:val="20"/>
          <w:szCs w:val="20"/>
        </w:rPr>
        <w:t xml:space="preserve"> </w:t>
      </w:r>
    </w:p>
    <w:p w:rsidR="00F670DC" w:rsidRDefault="00F670DC" w:rsidP="00F670DC">
      <w:pPr>
        <w:spacing w:before="100" w:beforeAutospacing="1" w:after="100" w:afterAutospacing="1"/>
        <w:rPr>
          <w:rFonts w:ascii="Verdana" w:hAnsi="Verdana"/>
          <w:sz w:val="20"/>
          <w:szCs w:val="20"/>
        </w:rPr>
      </w:pPr>
      <w:r w:rsidRPr="00DB5C4B">
        <w:rPr>
          <w:rFonts w:ascii="Verdana" w:hAnsi="Verdana"/>
          <w:sz w:val="20"/>
          <w:szCs w:val="20"/>
          <w:highlight w:val="yellow"/>
        </w:rPr>
        <w:t>Embeber video:</w:t>
      </w:r>
      <w:r>
        <w:rPr>
          <w:rFonts w:ascii="Verdana" w:hAnsi="Verdana"/>
          <w:sz w:val="20"/>
          <w:szCs w:val="20"/>
        </w:rPr>
        <w:t xml:space="preserve"> </w:t>
      </w:r>
      <w:hyperlink r:id="rId5" w:history="1">
        <w:r>
          <w:rPr>
            <w:rStyle w:val="Hipervnculo"/>
            <w:rFonts w:ascii="Verdana" w:hAnsi="Verdana"/>
            <w:color w:val="0000FF"/>
            <w:sz w:val="20"/>
            <w:szCs w:val="20"/>
          </w:rPr>
          <w:t>https://vimeo.com/518729074</w:t>
        </w:r>
      </w:hyperlink>
      <w:r>
        <w:rPr>
          <w:rFonts w:ascii="Verdana" w:hAnsi="Verdana"/>
          <w:sz w:val="20"/>
          <w:szCs w:val="20"/>
        </w:rPr>
        <w:t xml:space="preserve"> </w:t>
      </w:r>
    </w:p>
    <w:p w:rsidR="00F670DC" w:rsidRDefault="00F670DC" w:rsidP="00F670DC">
      <w:pPr>
        <w:tabs>
          <w:tab w:val="left" w:pos="-142"/>
        </w:tabs>
        <w:jc w:val="both"/>
        <w:rPr>
          <w:rFonts w:ascii="Verdana" w:hAnsi="Verdana"/>
          <w:sz w:val="20"/>
          <w:szCs w:val="20"/>
        </w:rPr>
      </w:pPr>
    </w:p>
    <w:p w:rsidR="00F670DC" w:rsidRDefault="00F670DC" w:rsidP="00F670DC">
      <w:pPr>
        <w:tabs>
          <w:tab w:val="left" w:pos="-142"/>
        </w:tabs>
        <w:jc w:val="both"/>
        <w:rPr>
          <w:rFonts w:ascii="Verdana" w:hAnsi="Verdana"/>
          <w:sz w:val="20"/>
          <w:szCs w:val="20"/>
        </w:rPr>
      </w:pPr>
      <w:r w:rsidRPr="00F670DC">
        <w:rPr>
          <w:rFonts w:ascii="Verdana" w:hAnsi="Verdana"/>
          <w:sz w:val="20"/>
          <w:szCs w:val="20"/>
          <w:highlight w:val="yellow"/>
        </w:rPr>
        <w:t xml:space="preserve">Widget de íconos o </w:t>
      </w:r>
      <w:proofErr w:type="spellStart"/>
      <w:r w:rsidRPr="00F670DC">
        <w:rPr>
          <w:rFonts w:ascii="Verdana" w:hAnsi="Verdana"/>
          <w:sz w:val="20"/>
          <w:szCs w:val="20"/>
          <w:highlight w:val="yellow"/>
        </w:rPr>
        <w:t>bullets</w:t>
      </w:r>
      <w:proofErr w:type="spellEnd"/>
    </w:p>
    <w:p w:rsidR="00F670DC" w:rsidRDefault="00F670DC" w:rsidP="00F670DC">
      <w:pPr>
        <w:tabs>
          <w:tab w:val="left" w:pos="-142"/>
        </w:tabs>
        <w:jc w:val="both"/>
        <w:rPr>
          <w:rFonts w:ascii="Verdana" w:hAnsi="Verdana"/>
          <w:sz w:val="20"/>
          <w:lang w:val="es-ES"/>
        </w:rPr>
      </w:pPr>
    </w:p>
    <w:p w:rsidR="00F670DC" w:rsidRPr="00F670DC" w:rsidRDefault="00F670DC" w:rsidP="00F670DC">
      <w:pPr>
        <w:pStyle w:val="Prrafodelista"/>
        <w:numPr>
          <w:ilvl w:val="0"/>
          <w:numId w:val="1"/>
        </w:numPr>
        <w:tabs>
          <w:tab w:val="left" w:pos="-142"/>
        </w:tabs>
        <w:jc w:val="both"/>
        <w:rPr>
          <w:rFonts w:ascii="Verdana" w:hAnsi="Verdana"/>
          <w:sz w:val="20"/>
          <w:szCs w:val="20"/>
        </w:rPr>
      </w:pPr>
      <w:r w:rsidRPr="00F670DC">
        <w:rPr>
          <w:rFonts w:ascii="Verdana" w:hAnsi="Verdana"/>
          <w:sz w:val="20"/>
          <w:lang w:val="es-ES"/>
        </w:rPr>
        <w:t>C</w:t>
      </w:r>
      <w:r w:rsidRPr="00F670DC">
        <w:rPr>
          <w:rFonts w:ascii="Verdana" w:hAnsi="Verdana"/>
          <w:sz w:val="20"/>
          <w:lang w:val="es-ES"/>
        </w:rPr>
        <w:t>on el propósito de</w:t>
      </w:r>
      <w:r w:rsidRPr="00F670DC">
        <w:rPr>
          <w:rFonts w:ascii="Verdana" w:hAnsi="Verdana"/>
          <w:sz w:val="20"/>
          <w:szCs w:val="20"/>
        </w:rPr>
        <w:t xml:space="preserve"> conocer las de</w:t>
      </w:r>
      <w:r>
        <w:rPr>
          <w:rFonts w:ascii="Verdana" w:hAnsi="Verdana"/>
          <w:sz w:val="20"/>
          <w:szCs w:val="20"/>
        </w:rPr>
        <w:t>mandas de cada sector</w:t>
      </w:r>
      <w:r w:rsidRPr="00F670DC">
        <w:rPr>
          <w:rFonts w:ascii="Verdana" w:hAnsi="Verdana"/>
          <w:sz w:val="20"/>
          <w:szCs w:val="20"/>
        </w:rPr>
        <w:t xml:space="preserve">, organizamos </w:t>
      </w:r>
      <w:r w:rsidRPr="00F670DC">
        <w:rPr>
          <w:rFonts w:ascii="Verdana" w:hAnsi="Verdana"/>
          <w:b/>
          <w:sz w:val="20"/>
          <w:szCs w:val="20"/>
        </w:rPr>
        <w:t>reuniones virtuales periódicas</w:t>
      </w:r>
      <w:r w:rsidRPr="00F670DC">
        <w:rPr>
          <w:rFonts w:ascii="Verdana" w:hAnsi="Verdana"/>
          <w:sz w:val="20"/>
          <w:szCs w:val="20"/>
        </w:rPr>
        <w:t xml:space="preserve"> con productores agropecuarios y agroindustriales nucleados en la Mesa Chica de Economías Regionales y la Mesa Agroalimentaria. </w:t>
      </w:r>
    </w:p>
    <w:p w:rsidR="00F670DC" w:rsidRPr="00F670DC" w:rsidRDefault="00F670DC" w:rsidP="00F670DC">
      <w:pPr>
        <w:pStyle w:val="Prrafodelista"/>
        <w:numPr>
          <w:ilvl w:val="0"/>
          <w:numId w:val="1"/>
        </w:numPr>
        <w:tabs>
          <w:tab w:val="left" w:pos="-142"/>
        </w:tabs>
        <w:jc w:val="both"/>
        <w:rPr>
          <w:rFonts w:ascii="Verdana" w:hAnsi="Verdana"/>
          <w:sz w:val="20"/>
          <w:szCs w:val="20"/>
        </w:rPr>
      </w:pPr>
      <w:r w:rsidRPr="00F670DC">
        <w:rPr>
          <w:rFonts w:ascii="Verdana" w:hAnsi="Verdana"/>
          <w:sz w:val="20"/>
          <w:szCs w:val="20"/>
        </w:rPr>
        <w:t xml:space="preserve">Entre las actividades realizadas junto con los productores se destacaron los </w:t>
      </w:r>
      <w:proofErr w:type="spellStart"/>
      <w:r w:rsidRPr="00F670DC">
        <w:rPr>
          <w:rFonts w:ascii="Verdana" w:hAnsi="Verdana"/>
          <w:b/>
          <w:sz w:val="20"/>
          <w:szCs w:val="20"/>
        </w:rPr>
        <w:t>webinarios</w:t>
      </w:r>
      <w:proofErr w:type="spellEnd"/>
      <w:r w:rsidRPr="00F670DC">
        <w:rPr>
          <w:rFonts w:ascii="Verdana" w:hAnsi="Verdana"/>
          <w:b/>
          <w:sz w:val="20"/>
          <w:szCs w:val="20"/>
        </w:rPr>
        <w:t>,</w:t>
      </w:r>
      <w:r w:rsidRPr="00F670DC">
        <w:rPr>
          <w:rFonts w:ascii="Verdana" w:hAnsi="Verdana"/>
          <w:sz w:val="20"/>
          <w:szCs w:val="20"/>
        </w:rPr>
        <w:t xml:space="preserve"> que contaron con un alto nivel de participación a</w:t>
      </w:r>
      <w:r w:rsidRPr="00F670DC">
        <w:rPr>
          <w:rFonts w:ascii="Verdana" w:hAnsi="Verdana"/>
          <w:sz w:val="20"/>
          <w:szCs w:val="20"/>
        </w:rPr>
        <w:t xml:space="preserve"> nivel nacional e internacional.</w:t>
      </w:r>
    </w:p>
    <w:p w:rsidR="00F670DC" w:rsidRPr="00F670DC" w:rsidRDefault="00F670DC" w:rsidP="00F670DC">
      <w:pPr>
        <w:pStyle w:val="Prrafodelista"/>
        <w:numPr>
          <w:ilvl w:val="0"/>
          <w:numId w:val="1"/>
        </w:numPr>
        <w:tabs>
          <w:tab w:val="left" w:pos="-142"/>
        </w:tabs>
        <w:jc w:val="both"/>
        <w:rPr>
          <w:rFonts w:ascii="Verdana" w:hAnsi="Verdana"/>
          <w:sz w:val="20"/>
          <w:szCs w:val="20"/>
        </w:rPr>
      </w:pPr>
      <w:r w:rsidRPr="00F670DC">
        <w:rPr>
          <w:rFonts w:ascii="Verdana" w:hAnsi="Verdana"/>
          <w:sz w:val="20"/>
          <w:szCs w:val="20"/>
        </w:rPr>
        <w:t>Desarrollamos</w:t>
      </w:r>
      <w:r w:rsidRPr="00F670DC">
        <w:rPr>
          <w:rFonts w:ascii="Verdana" w:hAnsi="Verdana"/>
          <w:sz w:val="20"/>
          <w:szCs w:val="20"/>
        </w:rPr>
        <w:t xml:space="preserve"> encuestas</w:t>
      </w:r>
      <w:r w:rsidRPr="00F670DC">
        <w:rPr>
          <w:rFonts w:ascii="Verdana" w:hAnsi="Verdana"/>
          <w:sz w:val="20"/>
          <w:szCs w:val="20"/>
        </w:rPr>
        <w:t xml:space="preserve"> y relevamientos que nos permitieron elaborar </w:t>
      </w:r>
      <w:r w:rsidRPr="00F670DC">
        <w:rPr>
          <w:rFonts w:ascii="Verdana" w:hAnsi="Verdana"/>
          <w:b/>
          <w:sz w:val="20"/>
          <w:szCs w:val="20"/>
        </w:rPr>
        <w:t>diagnósticos</w:t>
      </w:r>
      <w:r w:rsidRPr="00F670DC">
        <w:rPr>
          <w:rFonts w:ascii="Verdana" w:hAnsi="Verdana"/>
          <w:sz w:val="20"/>
          <w:szCs w:val="20"/>
        </w:rPr>
        <w:t>, en distintos mom</w:t>
      </w:r>
      <w:r>
        <w:rPr>
          <w:rFonts w:ascii="Verdana" w:hAnsi="Verdana"/>
          <w:sz w:val="20"/>
          <w:szCs w:val="20"/>
        </w:rPr>
        <w:t>entos de la pandemia</w:t>
      </w:r>
      <w:r w:rsidRPr="00F670DC">
        <w:rPr>
          <w:rFonts w:ascii="Verdana" w:hAnsi="Verdana"/>
          <w:sz w:val="20"/>
          <w:szCs w:val="20"/>
        </w:rPr>
        <w:t xml:space="preserve">, sobre el estado de la cadena de pagos, de provisión, requerimientos de capital de trabajo, etc.; información estratégica que fue elevada al Ministerio de Agricultura, Ganadería y Pesca de la Nación. </w:t>
      </w:r>
    </w:p>
    <w:p w:rsidR="00F670DC" w:rsidRDefault="00F670DC" w:rsidP="00F670DC">
      <w:pPr>
        <w:pStyle w:val="Prrafodelista"/>
        <w:numPr>
          <w:ilvl w:val="0"/>
          <w:numId w:val="1"/>
        </w:numPr>
        <w:tabs>
          <w:tab w:val="left" w:pos="-142"/>
        </w:tabs>
        <w:jc w:val="both"/>
        <w:rPr>
          <w:rFonts w:ascii="Verdana" w:eastAsia="Times New Roman" w:hAnsi="Verdana" w:cs="Helvetica"/>
          <w:sz w:val="20"/>
          <w:szCs w:val="20"/>
          <w:lang w:eastAsia="es-AR"/>
        </w:rPr>
      </w:pPr>
      <w:r w:rsidRPr="00F670DC">
        <w:rPr>
          <w:rFonts w:ascii="Verdana" w:hAnsi="Verdana"/>
          <w:b/>
          <w:sz w:val="20"/>
          <w:szCs w:val="20"/>
        </w:rPr>
        <w:t>Gestionamos</w:t>
      </w:r>
      <w:r>
        <w:rPr>
          <w:rFonts w:ascii="Verdana" w:hAnsi="Verdana"/>
          <w:sz w:val="20"/>
          <w:szCs w:val="20"/>
        </w:rPr>
        <w:t xml:space="preserve"> en favor de l</w:t>
      </w:r>
      <w:r w:rsidRPr="00F670DC">
        <w:rPr>
          <w:rFonts w:ascii="Verdana" w:hAnsi="Verdana"/>
          <w:sz w:val="20"/>
          <w:szCs w:val="20"/>
        </w:rPr>
        <w:t>a falta de disponibilidad de efectivo y la multiplicidad de permisos de circulación, temas</w:t>
      </w:r>
      <w:r>
        <w:rPr>
          <w:rFonts w:ascii="Verdana" w:hAnsi="Verdana"/>
          <w:sz w:val="20"/>
          <w:szCs w:val="20"/>
        </w:rPr>
        <w:t xml:space="preserve"> estratégicos para la actividad</w:t>
      </w:r>
      <w:r w:rsidRPr="00F670DC">
        <w:rPr>
          <w:rFonts w:ascii="Verdana" w:hAnsi="Verdana"/>
          <w:sz w:val="20"/>
          <w:szCs w:val="20"/>
        </w:rPr>
        <w:t xml:space="preserve"> que requirieron la intervención del sector d</w:t>
      </w:r>
      <w:r>
        <w:rPr>
          <w:rFonts w:ascii="Verdana" w:hAnsi="Verdana"/>
          <w:sz w:val="20"/>
          <w:szCs w:val="20"/>
        </w:rPr>
        <w:t xml:space="preserve">e Economías Regionales de CAME: se logró la </w:t>
      </w:r>
      <w:r>
        <w:rPr>
          <w:rFonts w:ascii="Verdana" w:eastAsia="Times New Roman" w:hAnsi="Verdana" w:cs="Helvetica"/>
          <w:sz w:val="20"/>
          <w:szCs w:val="20"/>
          <w:lang w:eastAsia="es-AR"/>
        </w:rPr>
        <w:t>aprobación de</w:t>
      </w:r>
      <w:r w:rsidRPr="00F670DC">
        <w:rPr>
          <w:rFonts w:ascii="Verdana" w:eastAsia="Times New Roman" w:hAnsi="Verdana" w:cs="Helvetica"/>
          <w:sz w:val="20"/>
          <w:szCs w:val="20"/>
          <w:lang w:eastAsia="es-AR"/>
        </w:rPr>
        <w:t xml:space="preserve"> un permiso único de circulación válido en todo e</w:t>
      </w:r>
      <w:r>
        <w:rPr>
          <w:rFonts w:ascii="Verdana" w:eastAsia="Times New Roman" w:hAnsi="Verdana" w:cs="Helvetica"/>
          <w:sz w:val="20"/>
          <w:szCs w:val="20"/>
          <w:lang w:eastAsia="es-AR"/>
        </w:rPr>
        <w:t>l territorio nacional así como</w:t>
      </w:r>
      <w:r w:rsidRPr="00F670DC">
        <w:rPr>
          <w:rFonts w:ascii="Verdana" w:eastAsia="Times New Roman" w:hAnsi="Verdana" w:cs="Helvetica"/>
          <w:sz w:val="20"/>
          <w:szCs w:val="20"/>
          <w:lang w:eastAsia="es-AR"/>
        </w:rPr>
        <w:t xml:space="preserve"> restablecer el funcionamiento del sistema bancario para poder pagar los salarios de los trabajadores temporarios (no bancarizados) y comprar diversos insumos que requerían pago d</w:t>
      </w:r>
      <w:r>
        <w:rPr>
          <w:rFonts w:ascii="Verdana" w:eastAsia="Times New Roman" w:hAnsi="Verdana" w:cs="Helvetica"/>
          <w:sz w:val="20"/>
          <w:szCs w:val="20"/>
          <w:lang w:eastAsia="es-AR"/>
        </w:rPr>
        <w:t>e contado (gasoil, por ejemplo).</w:t>
      </w:r>
    </w:p>
    <w:p w:rsidR="00F670DC" w:rsidRPr="00F670DC" w:rsidRDefault="00F670DC" w:rsidP="00F670DC">
      <w:pPr>
        <w:pStyle w:val="Prrafodelista"/>
        <w:numPr>
          <w:ilvl w:val="0"/>
          <w:numId w:val="1"/>
        </w:numPr>
        <w:tabs>
          <w:tab w:val="left" w:pos="-142"/>
        </w:tabs>
        <w:jc w:val="both"/>
        <w:rPr>
          <w:rFonts w:ascii="Verdana" w:eastAsia="Times New Roman" w:hAnsi="Verdana" w:cs="Helvetica"/>
          <w:sz w:val="20"/>
          <w:szCs w:val="20"/>
          <w:lang w:eastAsia="es-AR"/>
        </w:rPr>
      </w:pPr>
      <w:r w:rsidRPr="00F670DC">
        <w:rPr>
          <w:rFonts w:ascii="Verdana" w:hAnsi="Verdana"/>
          <w:sz w:val="20"/>
          <w:szCs w:val="20"/>
        </w:rPr>
        <w:t xml:space="preserve">Como miembro permanente de la Comisión Nacional de Trabajo Agrario (CNTA) y la </w:t>
      </w:r>
      <w:r w:rsidRPr="00F670DC">
        <w:rPr>
          <w:rFonts w:ascii="Verdana" w:hAnsi="Verdana"/>
          <w:sz w:val="20"/>
          <w:szCs w:val="20"/>
          <w:lang w:eastAsia="es-ES"/>
        </w:rPr>
        <w:t>Comisión Nacional de Emergencias y Desastres Agropecuarios (</w:t>
      </w:r>
      <w:proofErr w:type="spellStart"/>
      <w:r w:rsidRPr="00F670DC">
        <w:rPr>
          <w:rFonts w:ascii="Verdana" w:hAnsi="Verdana"/>
          <w:sz w:val="20"/>
          <w:szCs w:val="20"/>
          <w:lang w:eastAsia="es-ES"/>
        </w:rPr>
        <w:t>CNEyDA</w:t>
      </w:r>
      <w:proofErr w:type="spellEnd"/>
      <w:r w:rsidRPr="00F670DC">
        <w:rPr>
          <w:rFonts w:ascii="Verdana" w:hAnsi="Verdana"/>
          <w:sz w:val="20"/>
          <w:szCs w:val="20"/>
          <w:lang w:eastAsia="es-ES"/>
        </w:rPr>
        <w:t>)</w:t>
      </w:r>
      <w:r w:rsidRPr="00F670DC">
        <w:rPr>
          <w:rFonts w:ascii="Verdana" w:hAnsi="Verdana"/>
          <w:sz w:val="20"/>
          <w:szCs w:val="20"/>
        </w:rPr>
        <w:t xml:space="preserve">, el sector participó de los debates paritarios y </w:t>
      </w:r>
      <w:r w:rsidRPr="00F670DC">
        <w:rPr>
          <w:rFonts w:ascii="Verdana" w:hAnsi="Verdana"/>
          <w:sz w:val="20"/>
          <w:szCs w:val="20"/>
          <w:lang w:eastAsia="es-ES"/>
        </w:rPr>
        <w:t>analizó el alcance de diversas inclemencias climáticas sufridas a lo largo y ancho del país</w:t>
      </w:r>
      <w:r w:rsidRPr="00F670DC">
        <w:rPr>
          <w:rFonts w:ascii="Verdana" w:hAnsi="Verdana"/>
          <w:sz w:val="20"/>
          <w:szCs w:val="20"/>
        </w:rPr>
        <w:t xml:space="preserve">. En la CNTA, la postura de CAME fue clara: no permitir que durante la </w:t>
      </w:r>
      <w:proofErr w:type="spellStart"/>
      <w:r w:rsidRPr="00F670DC">
        <w:rPr>
          <w:rFonts w:ascii="Verdana" w:hAnsi="Verdana"/>
          <w:sz w:val="20"/>
          <w:szCs w:val="20"/>
        </w:rPr>
        <w:t>pospandemia</w:t>
      </w:r>
      <w:proofErr w:type="spellEnd"/>
      <w:r w:rsidRPr="00F670DC">
        <w:rPr>
          <w:rFonts w:ascii="Verdana" w:hAnsi="Verdana"/>
          <w:sz w:val="20"/>
          <w:szCs w:val="20"/>
        </w:rPr>
        <w:t xml:space="preserve"> sigan desapareciendo empresas, pudiendo así conservarse las fuentes de trabajo. </w:t>
      </w:r>
    </w:p>
    <w:p w:rsidR="00F670DC" w:rsidRDefault="00F670DC" w:rsidP="00F670DC">
      <w:pPr>
        <w:tabs>
          <w:tab w:val="left" w:pos="-142"/>
        </w:tabs>
        <w:jc w:val="both"/>
        <w:rPr>
          <w:rFonts w:ascii="Verdana" w:hAnsi="Verdana"/>
          <w:sz w:val="20"/>
          <w:szCs w:val="20"/>
        </w:rPr>
      </w:pPr>
      <w:r>
        <w:rPr>
          <w:rFonts w:ascii="Verdana" w:hAnsi="Verdana"/>
          <w:sz w:val="20"/>
          <w:szCs w:val="20"/>
        </w:rPr>
        <w:t xml:space="preserve">Además, el área continuó elaborando mensualmente el Índice de Precios en Origen y Destino (IPOD) y comenzó a difundir infografías que desagregan los precios de los </w:t>
      </w:r>
      <w:r>
        <w:rPr>
          <w:rFonts w:ascii="Verdana" w:hAnsi="Verdana"/>
          <w:sz w:val="20"/>
          <w:szCs w:val="20"/>
        </w:rPr>
        <w:lastRenderedPageBreak/>
        <w:t>productos agropecuarios, visibilizando el impacto de la presión tributaria y la participación de cada eslabón de la cadena de valor en el precio final.</w:t>
      </w:r>
    </w:p>
    <w:p w:rsidR="00F670DC" w:rsidRDefault="00F670DC" w:rsidP="00F670DC">
      <w:pPr>
        <w:tabs>
          <w:tab w:val="left" w:pos="-142"/>
        </w:tabs>
        <w:jc w:val="both"/>
        <w:rPr>
          <w:rFonts w:ascii="Verdana" w:hAnsi="Verdana"/>
          <w:sz w:val="20"/>
          <w:szCs w:val="20"/>
        </w:rPr>
      </w:pPr>
      <w:bookmarkStart w:id="0" w:name="_GoBack"/>
      <w:bookmarkEnd w:id="0"/>
      <w:r w:rsidRPr="00F670DC">
        <w:rPr>
          <w:rFonts w:ascii="Verdana" w:hAnsi="Verdana"/>
          <w:sz w:val="20"/>
          <w:szCs w:val="20"/>
          <w:highlight w:val="yellow"/>
        </w:rPr>
        <w:t>(IMÁGENES DE LAS INFOGRAFÍAS)</w:t>
      </w:r>
    </w:p>
    <w:p w:rsidR="007D352D" w:rsidRDefault="007D352D" w:rsidP="00F670DC"/>
    <w:sectPr w:rsidR="007D35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B51A0"/>
    <w:multiLevelType w:val="hybridMultilevel"/>
    <w:tmpl w:val="4ED4A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DC"/>
    <w:rsid w:val="007D352D"/>
    <w:rsid w:val="00F67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5965"/>
  <w15:chartTrackingRefBased/>
  <w15:docId w15:val="{2D882BD1-EF80-4E2D-9592-FD16D854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0D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670DC"/>
    <w:rPr>
      <w:color w:val="000000"/>
      <w:u w:val="single"/>
    </w:rPr>
  </w:style>
  <w:style w:type="paragraph" w:styleId="Prrafodelista">
    <w:name w:val="List Paragraph"/>
    <w:basedOn w:val="Normal"/>
    <w:uiPriority w:val="34"/>
    <w:qFormat/>
    <w:rsid w:val="00F67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meo.com/51872907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Sousa</dc:creator>
  <cp:keywords/>
  <dc:description/>
  <cp:lastModifiedBy>Luciana Sousa</cp:lastModifiedBy>
  <cp:revision>1</cp:revision>
  <dcterms:created xsi:type="dcterms:W3CDTF">2021-03-10T22:55:00Z</dcterms:created>
  <dcterms:modified xsi:type="dcterms:W3CDTF">2021-03-10T23:10:00Z</dcterms:modified>
</cp:coreProperties>
</file>