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br w:type="textWrapping"/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rPr>
          <w:b/>
        </w:rP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</w:p>
    <w:p>
      <w:pPr>
        <w:pStyle w:val="Heading4"/>
      </w:pPr>
      <w:bookmarkStart w:id="38" w:name="compétences-complémentaires"/>
      <w:bookmarkStart w:id="37" w:name="anchor-1"/>
      <w:bookmarkEnd w:id="37"/>
      <w:r>
        <w:t xml:space="preserve">COMPÉTENCES COMPLÉMENTAIRES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2018-12-04T19:22:46Z</dcterms:created>
  <dcterms:modified xsi:type="dcterms:W3CDTF">2018-12-04T19:22:46Z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