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23B9" w14:textId="77777777" w:rsidR="00FC6CB9" w:rsidRPr="00FC6CB9" w:rsidRDefault="00FC6CB9" w:rsidP="00FC6CB9">
      <w:r w:rsidRPr="00FC6CB9">
        <w:t>The overall DevOps Maturity Metric is part of the CB franchise scorecard. It is used to measure the efficiency and capabilities of the development and release processes within the franchise.</w:t>
      </w:r>
    </w:p>
    <w:p w14:paraId="04A967A6" w14:textId="77777777" w:rsidR="00FC6CB9" w:rsidRPr="00FC6CB9" w:rsidRDefault="00FC6CB9" w:rsidP="00FC6CB9">
      <w:r w:rsidRPr="00FC6CB9">
        <w:t>It is a combination of DORA metrics and the DevOps Assessment scores.</w:t>
      </w:r>
    </w:p>
    <w:p w14:paraId="71F9ED18" w14:textId="77777777" w:rsidR="00FC6CB9" w:rsidRPr="00FC6CB9" w:rsidRDefault="00FC6CB9" w:rsidP="00FC6CB9">
      <w:r w:rsidRPr="00FC6CB9">
        <w:t>This and the DORA metrics are captured in the DevOps Assessment tool: </w:t>
      </w:r>
      <w:hyperlink r:id="rId5" w:tgtFrame="_blank" w:history="1">
        <w:r w:rsidRPr="00FC6CB9">
          <w:rPr>
            <w:rStyle w:val="Hyperlink"/>
          </w:rPr>
          <w:t>Tech Tree Assessment</w:t>
        </w:r>
      </w:hyperlink>
    </w:p>
    <w:p w14:paraId="071920DD" w14:textId="77777777" w:rsidR="00FC6CB9" w:rsidRPr="00FC6CB9" w:rsidRDefault="00FC6CB9" w:rsidP="00FC6CB9">
      <w:r w:rsidRPr="00FC6CB9">
        <w:t xml:space="preserve">DORA (DevOps Research &amp; Assessments) metrics were first defined in the Accelerate book by Nicole </w:t>
      </w:r>
      <w:proofErr w:type="spellStart"/>
      <w:r w:rsidRPr="00FC6CB9">
        <w:t>Forsgren</w:t>
      </w:r>
      <w:proofErr w:type="spellEnd"/>
      <w:r w:rsidRPr="00FC6CB9">
        <w:t xml:space="preserve"> et al. and have been widely adopted across the world. The DORA organisation is now managed by Google: </w:t>
      </w:r>
      <w:hyperlink r:id="rId6" w:history="1">
        <w:r w:rsidRPr="00FC6CB9">
          <w:rPr>
            <w:rStyle w:val="Hyperlink"/>
          </w:rPr>
          <w:t>https://cloud.google.com/devops/state-of-devops/</w:t>
        </w:r>
      </w:hyperlink>
    </w:p>
    <w:p w14:paraId="6A0E8324" w14:textId="77777777" w:rsidR="00FC6CB9" w:rsidRPr="00FC6CB9" w:rsidRDefault="00FC6CB9" w:rsidP="00FC6CB9">
      <w:r w:rsidRPr="00FC6CB9">
        <w:t>The idea behind these metrics is that they very simply measure how a team is performing by balancing two throughput measures and two stability measures.</w:t>
      </w:r>
    </w:p>
    <w:p w14:paraId="49C9F982" w14:textId="77777777" w:rsidR="00FC6CB9" w:rsidRPr="00FC6CB9" w:rsidRDefault="00FC6CB9" w:rsidP="00FC6CB9">
      <w:r w:rsidRPr="00FC6CB9">
        <w:t>The below definitions and levels are directly from DORA.</w:t>
      </w:r>
    </w:p>
    <w:p w14:paraId="6475CC9C" w14:textId="77777777" w:rsidR="00FC6CB9" w:rsidRPr="00FC6CB9" w:rsidRDefault="00FC6CB9" w:rsidP="00FC6CB9"/>
    <w:tbl>
      <w:tblPr>
        <w:tblW w:w="10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1415"/>
        <w:gridCol w:w="1416"/>
        <w:gridCol w:w="1458"/>
        <w:gridCol w:w="1548"/>
      </w:tblGrid>
      <w:tr w:rsidR="00FC6CB9" w:rsidRPr="00FC6CB9" w14:paraId="0F181929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77B74" w14:textId="77777777" w:rsidR="00FC6CB9" w:rsidRPr="00FC6CB9" w:rsidRDefault="00FC6CB9" w:rsidP="00FC6CB9">
            <w:pPr>
              <w:rPr>
                <w:b/>
                <w:bCs/>
              </w:rPr>
            </w:pPr>
            <w:r w:rsidRPr="00FC6CB9">
              <w:rPr>
                <w:b/>
                <w:bCs/>
              </w:rPr>
              <w:t>Aspect of software delivery performance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7D180" w14:textId="77777777" w:rsidR="00FC6CB9" w:rsidRPr="00FC6CB9" w:rsidRDefault="00FC6CB9" w:rsidP="00FC6CB9">
            <w:pPr>
              <w:rPr>
                <w:b/>
                <w:bCs/>
              </w:rPr>
            </w:pPr>
            <w:r w:rsidRPr="00FC6CB9">
              <w:rPr>
                <w:b/>
                <w:bCs/>
              </w:rPr>
              <w:t>Elite (4)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D1CD4" w14:textId="77777777" w:rsidR="00FC6CB9" w:rsidRPr="00FC6CB9" w:rsidRDefault="00FC6CB9" w:rsidP="00FC6CB9">
            <w:pPr>
              <w:rPr>
                <w:b/>
                <w:bCs/>
              </w:rPr>
            </w:pPr>
            <w:r w:rsidRPr="00FC6CB9">
              <w:rPr>
                <w:b/>
                <w:bCs/>
              </w:rPr>
              <w:t>High (3)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7B81F" w14:textId="77777777" w:rsidR="00FC6CB9" w:rsidRPr="00FC6CB9" w:rsidRDefault="00FC6CB9" w:rsidP="00FC6CB9">
            <w:pPr>
              <w:rPr>
                <w:b/>
                <w:bCs/>
              </w:rPr>
            </w:pPr>
            <w:r w:rsidRPr="00FC6CB9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F6590" w14:textId="77777777" w:rsidR="00FC6CB9" w:rsidRPr="00FC6CB9" w:rsidRDefault="00FC6CB9" w:rsidP="00FC6CB9">
            <w:pPr>
              <w:rPr>
                <w:b/>
                <w:bCs/>
              </w:rPr>
            </w:pPr>
            <w:r w:rsidRPr="00FC6CB9">
              <w:rPr>
                <w:b/>
                <w:bCs/>
              </w:rPr>
              <w:t>Low (1)</w:t>
            </w:r>
          </w:p>
        </w:tc>
      </w:tr>
      <w:tr w:rsidR="00FC6CB9" w:rsidRPr="00FC6CB9" w14:paraId="546824A6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9F730" w14:textId="77777777" w:rsidR="00FC6CB9" w:rsidRPr="00FC6CB9" w:rsidRDefault="00FC6CB9" w:rsidP="00FC6CB9">
            <w:r w:rsidRPr="00FC6CB9">
              <w:rPr>
                <w:b/>
                <w:bCs/>
              </w:rPr>
              <w:t>Deployment frequency</w:t>
            </w:r>
          </w:p>
          <w:p w14:paraId="09DCB63F" w14:textId="77777777" w:rsidR="00FC6CB9" w:rsidRPr="00FC6CB9" w:rsidRDefault="00FC6CB9" w:rsidP="00FC6CB9">
            <w:r w:rsidRPr="00FC6CB9">
              <w:t xml:space="preserve">For the primary application or </w:t>
            </w:r>
            <w:proofErr w:type="gramStart"/>
            <w:r w:rsidRPr="00FC6CB9">
              <w:t>service</w:t>
            </w:r>
            <w:proofErr w:type="gramEnd"/>
            <w:r w:rsidRPr="00FC6CB9">
              <w:t xml:space="preserve"> you work on, how often does your organization deploy code to production or release it to end users?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83F23" w14:textId="77777777" w:rsidR="00FC6CB9" w:rsidRPr="00FC6CB9" w:rsidRDefault="00FC6CB9" w:rsidP="00FC6CB9">
            <w:r w:rsidRPr="00FC6CB9">
              <w:t>On-demand (multiple deploys per day)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B2105" w14:textId="77777777" w:rsidR="00FC6CB9" w:rsidRPr="00FC6CB9" w:rsidRDefault="00FC6CB9" w:rsidP="00FC6CB9">
            <w:r w:rsidRPr="00FC6CB9">
              <w:t>Between one per day and one per week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E87AD" w14:textId="77777777" w:rsidR="00FC6CB9" w:rsidRPr="00FC6CB9" w:rsidRDefault="00FC6CB9" w:rsidP="00FC6CB9">
            <w:r w:rsidRPr="00FC6CB9">
              <w:t>Between once per week and one per month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79692" w14:textId="77777777" w:rsidR="00FC6CB9" w:rsidRPr="00FC6CB9" w:rsidRDefault="00FC6CB9" w:rsidP="00FC6CB9">
            <w:r w:rsidRPr="00FC6CB9">
              <w:t>Between once per month and once every six months</w:t>
            </w:r>
          </w:p>
        </w:tc>
      </w:tr>
      <w:tr w:rsidR="00FC6CB9" w:rsidRPr="00FC6CB9" w14:paraId="67BFFBE1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2CFD5" w14:textId="77777777" w:rsidR="00FC6CB9" w:rsidRPr="00FC6CB9" w:rsidRDefault="00FC6CB9" w:rsidP="00FC6CB9">
            <w:r w:rsidRPr="00FC6CB9">
              <w:rPr>
                <w:b/>
                <w:bCs/>
              </w:rPr>
              <w:t>Lead time for changes</w:t>
            </w:r>
          </w:p>
          <w:p w14:paraId="15FBE02B" w14:textId="77777777" w:rsidR="00FC6CB9" w:rsidRPr="00FC6CB9" w:rsidRDefault="00FC6CB9" w:rsidP="00FC6CB9">
            <w:r w:rsidRPr="00FC6CB9">
              <w:t xml:space="preserve">For the primary application or </w:t>
            </w:r>
            <w:proofErr w:type="gramStart"/>
            <w:r w:rsidRPr="00FC6CB9">
              <w:t>service</w:t>
            </w:r>
            <w:proofErr w:type="gramEnd"/>
            <w:r w:rsidRPr="00FC6CB9">
              <w:t xml:space="preserve"> you work on, what is your lead time for changes (i.e., how long does it take to go from code committed to code successfully running in production)?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39787" w14:textId="77777777" w:rsidR="00FC6CB9" w:rsidRPr="00FC6CB9" w:rsidRDefault="00FC6CB9" w:rsidP="00FC6CB9">
            <w:r w:rsidRPr="00FC6CB9">
              <w:t>Less than a 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901F1" w14:textId="77777777" w:rsidR="00FC6CB9" w:rsidRPr="00FC6CB9" w:rsidRDefault="00FC6CB9" w:rsidP="00FC6CB9">
            <w:r w:rsidRPr="00FC6CB9">
              <w:t>Between one day and one week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C439B" w14:textId="77777777" w:rsidR="00FC6CB9" w:rsidRPr="00FC6CB9" w:rsidRDefault="00FC6CB9" w:rsidP="00FC6CB9">
            <w:r w:rsidRPr="00FC6CB9">
              <w:t>Between one week and one month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A6EF9" w14:textId="77777777" w:rsidR="00FC6CB9" w:rsidRPr="00FC6CB9" w:rsidRDefault="00FC6CB9" w:rsidP="00FC6CB9">
            <w:r w:rsidRPr="00FC6CB9">
              <w:t>Between one and six months</w:t>
            </w:r>
          </w:p>
        </w:tc>
      </w:tr>
      <w:tr w:rsidR="00FC6CB9" w:rsidRPr="00FC6CB9" w14:paraId="78E7FF02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2ED422" w14:textId="77777777" w:rsidR="00FC6CB9" w:rsidRPr="00FC6CB9" w:rsidRDefault="00FC6CB9" w:rsidP="00FC6CB9">
            <w:r w:rsidRPr="00FC6CB9">
              <w:rPr>
                <w:b/>
                <w:bCs/>
              </w:rPr>
              <w:t xml:space="preserve">Time to restore </w:t>
            </w:r>
            <w:proofErr w:type="gramStart"/>
            <w:r w:rsidRPr="00FC6CB9">
              <w:rPr>
                <w:b/>
                <w:bCs/>
              </w:rPr>
              <w:t>service</w:t>
            </w:r>
            <w:proofErr w:type="gramEnd"/>
          </w:p>
          <w:p w14:paraId="5E8CFDAF" w14:textId="77777777" w:rsidR="00FC6CB9" w:rsidRPr="00FC6CB9" w:rsidRDefault="00FC6CB9" w:rsidP="00FC6CB9">
            <w:r w:rsidRPr="00FC6CB9">
              <w:t xml:space="preserve">For the primary application or </w:t>
            </w:r>
            <w:proofErr w:type="gramStart"/>
            <w:r w:rsidRPr="00FC6CB9">
              <w:t>service</w:t>
            </w:r>
            <w:proofErr w:type="gramEnd"/>
            <w:r w:rsidRPr="00FC6CB9">
              <w:t xml:space="preserve"> you work on, how long does it generally take to restore service when a service incident or a defect that impacts users occurs (e.g., unplanned outage or service impairment)?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ECFA8A" w14:textId="77777777" w:rsidR="00FC6CB9" w:rsidRPr="00FC6CB9" w:rsidRDefault="00FC6CB9" w:rsidP="00FC6CB9">
            <w:r w:rsidRPr="00FC6CB9">
              <w:t>Less than one hour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46369" w14:textId="77777777" w:rsidR="00FC6CB9" w:rsidRPr="00FC6CB9" w:rsidRDefault="00FC6CB9" w:rsidP="00FC6CB9">
            <w:r w:rsidRPr="00FC6CB9">
              <w:t>Less than one day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6A6D5" w14:textId="77777777" w:rsidR="00FC6CB9" w:rsidRPr="00FC6CB9" w:rsidRDefault="00FC6CB9" w:rsidP="00FC6CB9">
            <w:r w:rsidRPr="00FC6CB9">
              <w:t>Less than one week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B249B" w14:textId="77777777" w:rsidR="00FC6CB9" w:rsidRPr="00FC6CB9" w:rsidRDefault="00FC6CB9" w:rsidP="00FC6CB9">
            <w:r w:rsidRPr="00FC6CB9">
              <w:t>Between one week and one month</w:t>
            </w:r>
          </w:p>
        </w:tc>
      </w:tr>
      <w:tr w:rsidR="00FC6CB9" w:rsidRPr="00FC6CB9" w14:paraId="68C87603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EF279" w14:textId="77777777" w:rsidR="00FC6CB9" w:rsidRPr="00FC6CB9" w:rsidRDefault="00FC6CB9" w:rsidP="00FC6CB9">
            <w:r w:rsidRPr="00FC6CB9">
              <w:rPr>
                <w:b/>
                <w:bCs/>
              </w:rPr>
              <w:t xml:space="preserve">Change failure </w:t>
            </w:r>
            <w:proofErr w:type="gramStart"/>
            <w:r w:rsidRPr="00FC6CB9">
              <w:rPr>
                <w:b/>
                <w:bCs/>
              </w:rPr>
              <w:t>rate</w:t>
            </w:r>
            <w:proofErr w:type="gramEnd"/>
          </w:p>
          <w:p w14:paraId="5F190ACF" w14:textId="77777777" w:rsidR="00FC6CB9" w:rsidRPr="00FC6CB9" w:rsidRDefault="00FC6CB9" w:rsidP="00FC6CB9">
            <w:r w:rsidRPr="00FC6CB9">
              <w:t xml:space="preserve">For the primary application or </w:t>
            </w:r>
            <w:proofErr w:type="gramStart"/>
            <w:r w:rsidRPr="00FC6CB9">
              <w:t>service</w:t>
            </w:r>
            <w:proofErr w:type="gramEnd"/>
            <w:r w:rsidRPr="00FC6CB9">
              <w:t xml:space="preserve"> you </w:t>
            </w:r>
            <w:r w:rsidRPr="00FC6CB9">
              <w:lastRenderedPageBreak/>
              <w:t>work on, what percentage of changes to production or released to users result in degraded service (e.g., lead to service impairment or service outage) and subsequently require remediation (e.g., require a hotfix, rollback, fix forward, patch)?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094F8" w14:textId="77777777" w:rsidR="00FC6CB9" w:rsidRPr="00FC6CB9" w:rsidRDefault="00FC6CB9" w:rsidP="00FC6CB9">
            <w:r w:rsidRPr="00FC6CB9">
              <w:lastRenderedPageBreak/>
              <w:t>0 - &lt;= 2%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FCBE8" w14:textId="77777777" w:rsidR="00FC6CB9" w:rsidRPr="00FC6CB9" w:rsidRDefault="00FC6CB9" w:rsidP="00FC6CB9">
            <w:r w:rsidRPr="00FC6CB9">
              <w:t>2 - &lt;= 5%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DE46A4" w14:textId="77777777" w:rsidR="00FC6CB9" w:rsidRPr="00FC6CB9" w:rsidRDefault="00FC6CB9" w:rsidP="00FC6CB9">
            <w:r w:rsidRPr="00FC6CB9">
              <w:t>5 - &lt;= 10%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8E6BB" w14:textId="77777777" w:rsidR="00FC6CB9" w:rsidRPr="00FC6CB9" w:rsidRDefault="00FC6CB9" w:rsidP="00FC6CB9">
            <w:r w:rsidRPr="00FC6CB9">
              <w:t>&gt; 10%</w:t>
            </w:r>
          </w:p>
        </w:tc>
      </w:tr>
    </w:tbl>
    <w:p w14:paraId="6D644860" w14:textId="77777777" w:rsidR="00FC6CB9" w:rsidRPr="00FC6CB9" w:rsidRDefault="00FC6CB9" w:rsidP="00FC6CB9">
      <w:r w:rsidRPr="00FC6CB9">
        <w:br/>
      </w:r>
    </w:p>
    <w:p w14:paraId="3B396B4F" w14:textId="77777777" w:rsidR="00FC6CB9" w:rsidRPr="00FC6CB9" w:rsidRDefault="00FC6CB9" w:rsidP="00FC6CB9">
      <w:r w:rsidRPr="00FC6CB9">
        <w:t>A score of between 1 and 4 is given for each DORA metric, based on the DORA Low (1), Medium (2), High (3), Elite (4) levels.</w:t>
      </w:r>
    </w:p>
    <w:p w14:paraId="24D686D9" w14:textId="77777777" w:rsidR="00FC6CB9" w:rsidRPr="00FC6CB9" w:rsidRDefault="00FC6CB9" w:rsidP="00FC6CB9">
      <w:r w:rsidRPr="00FC6CB9">
        <w:t xml:space="preserve">The slight anomaly of the duplicated range in values for Change Failure Rate of 0-15% in Elite, High and Medium is a reflection of lack of confidence in statistical relevance of the more </w:t>
      </w:r>
      <w:proofErr w:type="gramStart"/>
      <w:r w:rsidRPr="00FC6CB9">
        <w:t>fine grained</w:t>
      </w:r>
      <w:proofErr w:type="gramEnd"/>
      <w:r w:rsidRPr="00FC6CB9">
        <w:t xml:space="preserve"> data shown in the 2019 report.</w:t>
      </w:r>
    </w:p>
    <w:p w14:paraId="550001CE" w14:textId="77777777" w:rsidR="00FC6CB9" w:rsidRPr="00FC6CB9" w:rsidRDefault="00FC6CB9" w:rsidP="00FC6CB9">
      <w:pPr>
        <w:rPr>
          <w:b/>
          <w:bCs/>
        </w:rPr>
      </w:pPr>
      <w:r w:rsidRPr="00FC6CB9">
        <w:rPr>
          <w:b/>
          <w:bCs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1083"/>
        <w:gridCol w:w="1073"/>
        <w:gridCol w:w="1655"/>
      </w:tblGrid>
      <w:tr w:rsidR="00FC6CB9" w:rsidRPr="00FC6CB9" w14:paraId="5EB4FAAD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5226E8" w14:textId="77777777" w:rsidR="00FC6CB9" w:rsidRPr="00FC6CB9" w:rsidRDefault="00FC6CB9" w:rsidP="00FC6CB9">
            <w:r w:rsidRPr="00FC6CB9">
              <w:rPr>
                <w:b/>
                <w:bCs/>
              </w:rPr>
              <w:t>DORA Metric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B81C6" w14:textId="77777777" w:rsidR="00FC6CB9" w:rsidRPr="00FC6CB9" w:rsidRDefault="00FC6CB9" w:rsidP="00FC6CB9">
            <w:r w:rsidRPr="00FC6CB9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E6D8F" w14:textId="77777777" w:rsidR="00FC6CB9" w:rsidRPr="00FC6CB9" w:rsidRDefault="00FC6CB9" w:rsidP="00FC6CB9">
            <w:r w:rsidRPr="00FC6CB9">
              <w:rPr>
                <w:b/>
                <w:bCs/>
              </w:rPr>
              <w:t>Rank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DDEB0" w14:textId="77777777" w:rsidR="00FC6CB9" w:rsidRPr="00FC6CB9" w:rsidRDefault="00FC6CB9" w:rsidP="00FC6CB9">
            <w:r w:rsidRPr="00FC6CB9">
              <w:rPr>
                <w:b/>
                <w:bCs/>
              </w:rPr>
              <w:t>Score</w:t>
            </w:r>
          </w:p>
        </w:tc>
      </w:tr>
      <w:tr w:rsidR="00FC6CB9" w:rsidRPr="00FC6CB9" w14:paraId="06CF17A7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19889" w14:textId="77777777" w:rsidR="00FC6CB9" w:rsidRPr="00FC6CB9" w:rsidRDefault="00FC6CB9" w:rsidP="00FC6CB9">
            <w:r w:rsidRPr="00FC6CB9">
              <w:t>Deployment Frequency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5A9DE" w14:textId="77777777" w:rsidR="00FC6CB9" w:rsidRPr="00FC6CB9" w:rsidRDefault="00FC6CB9" w:rsidP="00FC6CB9">
            <w:r w:rsidRPr="00FC6CB9">
              <w:t>2 days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28B47" w14:textId="77777777" w:rsidR="00FC6CB9" w:rsidRPr="00FC6CB9" w:rsidRDefault="00FC6CB9" w:rsidP="00FC6CB9">
            <w:r w:rsidRPr="00FC6CB9">
              <w:t>High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616A3" w14:textId="77777777" w:rsidR="00FC6CB9" w:rsidRPr="00FC6CB9" w:rsidRDefault="00FC6CB9" w:rsidP="00FC6CB9">
            <w:r w:rsidRPr="00FC6CB9">
              <w:t>3</w:t>
            </w:r>
          </w:p>
        </w:tc>
      </w:tr>
      <w:tr w:rsidR="00FC6CB9" w:rsidRPr="00FC6CB9" w14:paraId="7D6C8967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B0A21" w14:textId="77777777" w:rsidR="00FC6CB9" w:rsidRPr="00FC6CB9" w:rsidRDefault="00FC6CB9" w:rsidP="00FC6CB9">
            <w:r w:rsidRPr="00FC6CB9">
              <w:t>Lead Time for Changes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0711F" w14:textId="77777777" w:rsidR="00FC6CB9" w:rsidRPr="00FC6CB9" w:rsidRDefault="00FC6CB9" w:rsidP="00FC6CB9">
            <w:r w:rsidRPr="00FC6CB9">
              <w:t>20 hours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0AA00" w14:textId="77777777" w:rsidR="00FC6CB9" w:rsidRPr="00FC6CB9" w:rsidRDefault="00FC6CB9" w:rsidP="00FC6CB9">
            <w:r w:rsidRPr="00FC6CB9">
              <w:t>Elite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567FAA" w14:textId="77777777" w:rsidR="00FC6CB9" w:rsidRPr="00FC6CB9" w:rsidRDefault="00FC6CB9" w:rsidP="00FC6CB9">
            <w:r w:rsidRPr="00FC6CB9">
              <w:t>4</w:t>
            </w:r>
          </w:p>
        </w:tc>
      </w:tr>
      <w:tr w:rsidR="00FC6CB9" w:rsidRPr="00FC6CB9" w14:paraId="166C065F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E01CCB" w14:textId="77777777" w:rsidR="00FC6CB9" w:rsidRPr="00FC6CB9" w:rsidRDefault="00FC6CB9" w:rsidP="00FC6CB9">
            <w:r w:rsidRPr="00FC6CB9">
              <w:t>Time to restore service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D72A1" w14:textId="77777777" w:rsidR="00FC6CB9" w:rsidRPr="00FC6CB9" w:rsidRDefault="00FC6CB9" w:rsidP="00FC6CB9">
            <w:r w:rsidRPr="00FC6CB9">
              <w:t>1 week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E3975B" w14:textId="77777777" w:rsidR="00FC6CB9" w:rsidRPr="00FC6CB9" w:rsidRDefault="00FC6CB9" w:rsidP="00FC6CB9">
            <w:r w:rsidRPr="00FC6CB9">
              <w:t>Low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2441F" w14:textId="77777777" w:rsidR="00FC6CB9" w:rsidRPr="00FC6CB9" w:rsidRDefault="00FC6CB9" w:rsidP="00FC6CB9">
            <w:r w:rsidRPr="00FC6CB9">
              <w:t>1</w:t>
            </w:r>
          </w:p>
        </w:tc>
      </w:tr>
      <w:tr w:rsidR="00FC6CB9" w:rsidRPr="00FC6CB9" w14:paraId="14405515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D2B53" w14:textId="77777777" w:rsidR="00FC6CB9" w:rsidRPr="00FC6CB9" w:rsidRDefault="00FC6CB9" w:rsidP="00FC6CB9">
            <w:r w:rsidRPr="00FC6CB9">
              <w:t>Change Failure Rate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3ED90" w14:textId="77777777" w:rsidR="00FC6CB9" w:rsidRPr="00FC6CB9" w:rsidRDefault="00FC6CB9" w:rsidP="00FC6CB9">
            <w:r w:rsidRPr="00FC6CB9">
              <w:t>47%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D820E" w14:textId="77777777" w:rsidR="00FC6CB9" w:rsidRPr="00FC6CB9" w:rsidRDefault="00FC6CB9" w:rsidP="00FC6CB9">
            <w:r w:rsidRPr="00FC6CB9">
              <w:t>Low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633DA2" w14:textId="77777777" w:rsidR="00FC6CB9" w:rsidRPr="00FC6CB9" w:rsidRDefault="00FC6CB9" w:rsidP="00FC6CB9">
            <w:r w:rsidRPr="00FC6CB9">
              <w:t>1</w:t>
            </w:r>
          </w:p>
        </w:tc>
      </w:tr>
      <w:tr w:rsidR="00FC6CB9" w:rsidRPr="00FC6CB9" w14:paraId="5A765C18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CC952" w14:textId="77777777" w:rsidR="00FC6CB9" w:rsidRPr="00FC6CB9" w:rsidRDefault="00FC6CB9" w:rsidP="00FC6CB9">
            <w:r w:rsidRPr="00FC6CB9">
              <w:rPr>
                <w:b/>
                <w:bCs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93F53B" w14:textId="77777777" w:rsidR="00FC6CB9" w:rsidRPr="00FC6CB9" w:rsidRDefault="00FC6CB9" w:rsidP="00FC6CB9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392E1" w14:textId="77777777" w:rsidR="00FC6CB9" w:rsidRPr="00FC6CB9" w:rsidRDefault="00FC6CB9" w:rsidP="00FC6CB9">
            <w:r w:rsidRPr="00FC6CB9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96A64B" w14:textId="77777777" w:rsidR="00FC6CB9" w:rsidRPr="00FC6CB9" w:rsidRDefault="00FC6CB9" w:rsidP="00FC6CB9">
            <w:r w:rsidRPr="00FC6CB9">
              <w:rPr>
                <w:b/>
                <w:bCs/>
              </w:rPr>
              <w:t>2.25 or 56.25%</w:t>
            </w:r>
          </w:p>
        </w:tc>
      </w:tr>
    </w:tbl>
    <w:p w14:paraId="3581E0C1" w14:textId="1A88238E" w:rsidR="00FC6CB9" w:rsidRPr="00FC6CB9" w:rsidRDefault="00FC6CB9" w:rsidP="00FC6CB9">
      <w:pPr>
        <w:shd w:val="clear" w:color="auto" w:fill="C8B9D7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  <w:t>Deployment Frequency</w:t>
      </w:r>
    </w:p>
    <w:p w14:paraId="52980EB9" w14:textId="77777777" w:rsidR="00FC6CB9" w:rsidRPr="00FC6CB9" w:rsidRDefault="00FC6CB9" w:rsidP="00FC6CB9">
      <w:r w:rsidRPr="00FC6CB9">
        <w:rPr>
          <w:b/>
          <w:bCs/>
        </w:rPr>
        <w:t>DORA Metrics definition here are based on book "</w:t>
      </w:r>
      <w:proofErr w:type="gramStart"/>
      <w:r w:rsidRPr="00FC6CB9">
        <w:rPr>
          <w:b/>
          <w:bCs/>
        </w:rPr>
        <w:t>Accelerate"</w:t>
      </w:r>
      <w:proofErr w:type="gramEnd"/>
    </w:p>
    <w:p w14:paraId="2E79BB68" w14:textId="77777777" w:rsidR="00FC6CB9" w:rsidRPr="00FC6CB9" w:rsidRDefault="00FC6CB9" w:rsidP="00FC6CB9">
      <w:pPr>
        <w:rPr>
          <w:b/>
          <w:bCs/>
        </w:rPr>
      </w:pPr>
      <w:r w:rsidRPr="00FC6CB9">
        <w:rPr>
          <w:b/>
          <w:bCs/>
        </w:rPr>
        <w:t>Definition:</w:t>
      </w:r>
    </w:p>
    <w:p w14:paraId="0F17435A" w14:textId="77777777" w:rsidR="00FC6CB9" w:rsidRPr="00FC6CB9" w:rsidRDefault="00FC6CB9" w:rsidP="00FC6CB9">
      <w:r w:rsidRPr="00FC6CB9">
        <w:t xml:space="preserve">How often code is deployed in production for the primary service or </w:t>
      </w:r>
      <w:proofErr w:type="gramStart"/>
      <w:r w:rsidRPr="00FC6CB9">
        <w:t>application</w:t>
      </w:r>
      <w:proofErr w:type="gramEnd"/>
    </w:p>
    <w:p w14:paraId="0A7F7A83" w14:textId="77777777" w:rsidR="00FC6CB9" w:rsidRPr="00FC6CB9" w:rsidRDefault="00FC6CB9" w:rsidP="00FC6CB9">
      <w:r w:rsidRPr="00FC6CB9">
        <w:rPr>
          <w:b/>
          <w:bCs/>
        </w:rPr>
        <w:t>Source of Data: </w:t>
      </w:r>
      <w:r w:rsidRPr="00FC6CB9">
        <w:t>ServiceNow Change Records</w:t>
      </w:r>
    </w:p>
    <w:p w14:paraId="578BAA83" w14:textId="77777777" w:rsidR="00FC6CB9" w:rsidRPr="00FC6CB9" w:rsidRDefault="00FC6CB9" w:rsidP="00FC6CB9">
      <w:r w:rsidRPr="00FC6CB9">
        <w:rPr>
          <w:b/>
          <w:bCs/>
        </w:rPr>
        <w:t>Formula: </w:t>
      </w:r>
      <w:r w:rsidRPr="00FC6CB9">
        <w:t>365/ (# of deployments* in last one year for the CI)</w:t>
      </w:r>
    </w:p>
    <w:p w14:paraId="241942E7" w14:textId="77777777" w:rsidR="00FC6CB9" w:rsidRPr="00FC6CB9" w:rsidRDefault="00FC6CB9" w:rsidP="00FC6CB9">
      <w:r w:rsidRPr="00FC6CB9">
        <w:t>*Rolling one year data for the specific month</w:t>
      </w:r>
    </w:p>
    <w:p w14:paraId="78284D30" w14:textId="77777777" w:rsidR="00FC6CB9" w:rsidRPr="00FC6CB9" w:rsidRDefault="00FC6CB9" w:rsidP="00FC6CB9">
      <w:pPr>
        <w:rPr>
          <w:b/>
          <w:bCs/>
        </w:rPr>
      </w:pPr>
      <w:r w:rsidRPr="00FC6CB9">
        <w:rPr>
          <w:b/>
          <w:bCs/>
        </w:rPr>
        <w:lastRenderedPageBreak/>
        <w:t>Data Capture:</w:t>
      </w:r>
    </w:p>
    <w:p w14:paraId="3D263043" w14:textId="77777777" w:rsidR="00FC6CB9" w:rsidRPr="00FC6CB9" w:rsidRDefault="00FC6CB9" w:rsidP="00FC6CB9">
      <w:pPr>
        <w:numPr>
          <w:ilvl w:val="0"/>
          <w:numId w:val="1"/>
        </w:numPr>
      </w:pPr>
      <w:r w:rsidRPr="00FC6CB9">
        <w:t>Calculated as average time interval at which a Change is deployed for a CI (rolling yearly average)</w:t>
      </w:r>
    </w:p>
    <w:p w14:paraId="7D163DB2" w14:textId="77777777" w:rsidR="00FC6CB9" w:rsidRPr="00FC6CB9" w:rsidRDefault="00FC6CB9" w:rsidP="00FC6CB9">
      <w:pPr>
        <w:numPr>
          <w:ilvl w:val="0"/>
          <w:numId w:val="1"/>
        </w:numPr>
      </w:pPr>
      <w:r w:rsidRPr="00FC6CB9">
        <w:t xml:space="preserve">For Specific cases where number of changes per CI is less than 1, it is taken as 1 and accordingly maximum number of days for </w:t>
      </w:r>
      <w:proofErr w:type="spellStart"/>
      <w:r w:rsidRPr="00FC6CB9">
        <w:t>Devlopyment</w:t>
      </w:r>
      <w:proofErr w:type="spellEnd"/>
      <w:r w:rsidRPr="00FC6CB9">
        <w:t xml:space="preserve"> Frequency is taken as 365.</w:t>
      </w:r>
    </w:p>
    <w:p w14:paraId="5949E12E" w14:textId="77777777" w:rsidR="00FC6CB9" w:rsidRPr="00FC6CB9" w:rsidRDefault="00FC6CB9" w:rsidP="00FC6CB9">
      <w:pPr>
        <w:numPr>
          <w:ilvl w:val="0"/>
          <w:numId w:val="1"/>
        </w:numPr>
      </w:pPr>
      <w:r w:rsidRPr="00FC6CB9">
        <w:t>CIs performing deployment in last one year are considered 'Active', else treated 'Passive'. </w:t>
      </w:r>
    </w:p>
    <w:p w14:paraId="025083F2" w14:textId="77777777" w:rsidR="00FC6CB9" w:rsidRPr="00FC6CB9" w:rsidRDefault="00FC6CB9" w:rsidP="00FC6CB9">
      <w:r w:rsidRPr="00FC6CB9">
        <w:rPr>
          <w:b/>
          <w:bCs/>
        </w:rPr>
        <w:t>Change Records Selection criteria as below:</w:t>
      </w:r>
      <w:r w:rsidRPr="00FC6CB9">
        <w:br/>
      </w:r>
    </w:p>
    <w:p w14:paraId="65E29368" w14:textId="77777777" w:rsidR="00FC6CB9" w:rsidRPr="00FC6CB9" w:rsidRDefault="00FC6CB9" w:rsidP="00FC6CB9">
      <w:pPr>
        <w:numPr>
          <w:ilvl w:val="0"/>
          <w:numId w:val="2"/>
        </w:numPr>
      </w:pPr>
      <w:r w:rsidRPr="00FC6CB9">
        <w:t>Change Records included based on Type: </w:t>
      </w:r>
      <w:r w:rsidRPr="00FC6CB9">
        <w:rPr>
          <w:b/>
          <w:bCs/>
        </w:rPr>
        <w:t>MCR / ECR / RCR</w:t>
      </w:r>
    </w:p>
    <w:p w14:paraId="403DFB56" w14:textId="77777777" w:rsidR="00FC6CB9" w:rsidRPr="00FC6CB9" w:rsidRDefault="00FC6CB9" w:rsidP="00FC6CB9">
      <w:pPr>
        <w:numPr>
          <w:ilvl w:val="0"/>
          <w:numId w:val="2"/>
        </w:numPr>
      </w:pPr>
      <w:r w:rsidRPr="00FC6CB9">
        <w:t>Change Records included based on Change State: </w:t>
      </w:r>
      <w:r w:rsidRPr="00FC6CB9">
        <w:rPr>
          <w:b/>
          <w:bCs/>
        </w:rPr>
        <w:t>Closed Complete</w:t>
      </w:r>
    </w:p>
    <w:p w14:paraId="24DFFB12" w14:textId="77777777" w:rsidR="00FC6CB9" w:rsidRPr="00FC6CB9" w:rsidRDefault="00FC6CB9" w:rsidP="00FC6CB9">
      <w:pPr>
        <w:numPr>
          <w:ilvl w:val="0"/>
          <w:numId w:val="2"/>
        </w:numPr>
      </w:pPr>
      <w:r w:rsidRPr="00FC6CB9">
        <w:t>Exclusion by change closure code: </w:t>
      </w:r>
      <w:r w:rsidRPr="00FC6CB9">
        <w:rPr>
          <w:b/>
          <w:bCs/>
        </w:rPr>
        <w:t xml:space="preserve">Cancelled, Aborted, Backed </w:t>
      </w:r>
      <w:proofErr w:type="gramStart"/>
      <w:r w:rsidRPr="00FC6CB9">
        <w:rPr>
          <w:b/>
          <w:bCs/>
        </w:rPr>
        <w:t>out</w:t>
      </w:r>
      <w:proofErr w:type="gramEnd"/>
    </w:p>
    <w:p w14:paraId="3FAF9970" w14:textId="77777777" w:rsidR="00FC6CB9" w:rsidRPr="00FC6CB9" w:rsidRDefault="00FC6CB9" w:rsidP="00FC6CB9">
      <w:pPr>
        <w:rPr>
          <w:b/>
          <w:bCs/>
        </w:rPr>
      </w:pPr>
      <w:r w:rsidRPr="00FC6CB9">
        <w:rPr>
          <w:b/>
          <w:bCs/>
        </w:rPr>
        <w:t>Detail of calculation steps:</w:t>
      </w:r>
    </w:p>
    <w:p w14:paraId="4E9E247F" w14:textId="77777777" w:rsidR="00FC6CB9" w:rsidRPr="00FC6CB9" w:rsidRDefault="00FC6CB9" w:rsidP="00FC6CB9">
      <w:pPr>
        <w:numPr>
          <w:ilvl w:val="0"/>
          <w:numId w:val="3"/>
        </w:numPr>
      </w:pPr>
      <w:r w:rsidRPr="00FC6CB9">
        <w:t xml:space="preserve">Extract all Change Records for last one year prior to the reporting month as per the selection </w:t>
      </w:r>
      <w:proofErr w:type="gramStart"/>
      <w:r w:rsidRPr="00FC6CB9">
        <w:t>criteria</w:t>
      </w:r>
      <w:proofErr w:type="gramEnd"/>
    </w:p>
    <w:p w14:paraId="23EAE891" w14:textId="77777777" w:rsidR="00FC6CB9" w:rsidRPr="00FC6CB9" w:rsidRDefault="00FC6CB9" w:rsidP="00FC6CB9">
      <w:r w:rsidRPr="00FC6CB9">
        <w:rPr>
          <w:b/>
          <w:bCs/>
        </w:rPr>
        <w:t>Example:</w:t>
      </w:r>
      <w:r w:rsidRPr="00FC6CB9">
        <w:br/>
        <w:t xml:space="preserve">If a Platform, which has </w:t>
      </w:r>
      <w:proofErr w:type="gramStart"/>
      <w:r w:rsidRPr="00FC6CB9">
        <w:t>50  CIs</w:t>
      </w:r>
      <w:proofErr w:type="gramEnd"/>
      <w:r w:rsidRPr="00FC6CB9">
        <w:t xml:space="preserve">,  does 100  deployments in a year. Yearly deployments per CI within the Platform = 100 / </w:t>
      </w:r>
      <w:proofErr w:type="gramStart"/>
      <w:r w:rsidRPr="00FC6CB9">
        <w:t>50  =</w:t>
      </w:r>
      <w:proofErr w:type="gramEnd"/>
      <w:r w:rsidRPr="00FC6CB9">
        <w:t xml:space="preserve"> 2 Deployments </w:t>
      </w:r>
      <w:r w:rsidRPr="00FC6CB9">
        <w:br/>
      </w:r>
      <w:r w:rsidRPr="00FC6CB9">
        <w:rPr>
          <w:b/>
          <w:bCs/>
        </w:rPr>
        <w:t>Deployment Frequency is calculated as:</w:t>
      </w:r>
    </w:p>
    <w:p w14:paraId="05E8C0A5" w14:textId="77777777" w:rsidR="00FC6CB9" w:rsidRPr="00FC6CB9" w:rsidRDefault="00FC6CB9" w:rsidP="00FC6CB9">
      <w:r w:rsidRPr="00FC6CB9">
        <w:t>                         </w:t>
      </w:r>
      <w:proofErr w:type="gramStart"/>
      <w:r w:rsidRPr="00FC6CB9">
        <w:t>365  /</w:t>
      </w:r>
      <w:proofErr w:type="gramEnd"/>
      <w:r w:rsidRPr="00FC6CB9">
        <w:t>  2        =      182.5 Days. </w:t>
      </w:r>
    </w:p>
    <w:p w14:paraId="4D3335BC" w14:textId="77777777" w:rsidR="00FC6CB9" w:rsidRPr="00FC6CB9" w:rsidRDefault="00FC6CB9" w:rsidP="00FC6CB9">
      <w:pPr>
        <w:numPr>
          <w:ilvl w:val="0"/>
          <w:numId w:val="4"/>
        </w:numPr>
      </w:pPr>
      <w:r w:rsidRPr="00FC6CB9">
        <w:t xml:space="preserve">Grouping is done at respective </w:t>
      </w:r>
      <w:proofErr w:type="gramStart"/>
      <w:r w:rsidRPr="00FC6CB9">
        <w:t>levels  (</w:t>
      </w:r>
      <w:proofErr w:type="gramEnd"/>
      <w:r w:rsidRPr="00FC6CB9">
        <w:t>Platform,  Domain, Franchise  and Group ) .</w:t>
      </w:r>
    </w:p>
    <w:p w14:paraId="40A14530" w14:textId="77777777" w:rsidR="00FC6CB9" w:rsidRPr="00FC6CB9" w:rsidRDefault="00FC6CB9" w:rsidP="00FC6CB9">
      <w:pPr>
        <w:numPr>
          <w:ilvl w:val="0"/>
          <w:numId w:val="4"/>
        </w:numPr>
      </w:pPr>
      <w:r w:rsidRPr="00FC6CB9">
        <w:t xml:space="preserve">CI is the most granular entity for reporting </w:t>
      </w:r>
      <w:proofErr w:type="gramStart"/>
      <w:r w:rsidRPr="00FC6CB9">
        <w:t>DF</w:t>
      </w:r>
      <w:proofErr w:type="gramEnd"/>
    </w:p>
    <w:p w14:paraId="50FF4B49" w14:textId="77777777" w:rsidR="00FC6CB9" w:rsidRPr="00FC6CB9" w:rsidRDefault="00FC6CB9" w:rsidP="00FC6CB9">
      <w:pPr>
        <w:shd w:val="clear" w:color="auto" w:fill="C8B9D7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  <w:t xml:space="preserve">Lead Time </w:t>
      </w:r>
      <w:proofErr w:type="gramStart"/>
      <w:r w:rsidRPr="00FC6CB9"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  <w:t>For</w:t>
      </w:r>
      <w:proofErr w:type="gramEnd"/>
      <w:r w:rsidRPr="00FC6CB9"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  <w:t xml:space="preserve"> Changes</w:t>
      </w:r>
    </w:p>
    <w:p w14:paraId="6CF81D5D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Definition:</w:t>
      </w:r>
    </w:p>
    <w:p w14:paraId="058B5D91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Average Time taken to go from "In Progress” to "Last Completed Status" (Can be "Closed" or "Done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or  "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Resolved")</w:t>
      </w:r>
    </w:p>
    <w:p w14:paraId="4E9142FD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Source of Data: </w:t>
      </w: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JIRA.</w:t>
      </w:r>
    </w:p>
    <w:p w14:paraId="35C3D068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Formula: </w:t>
      </w: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Sum of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( "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Last Completed Status" time  - "In Progress" time )  for all JIRA for the specific month / Total # of JIRA tickets for that specific  month.</w:t>
      </w:r>
    </w:p>
    <w:p w14:paraId="341F0039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JIRA Issue types:</w:t>
      </w: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Sub Task, Epic, Investment Theme, Outcome, Opportunity, Initiative, Portfolio Epic and Feature will be excluded while Calculating Lead Time. </w:t>
      </w:r>
    </w:p>
    <w:p w14:paraId="24584767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Data Capture &amp; Calculation:</w:t>
      </w:r>
    </w:p>
    <w:p w14:paraId="69B7F2D6" w14:textId="77777777" w:rsidR="00FC6CB9" w:rsidRPr="00FC6CB9" w:rsidRDefault="00FC6CB9" w:rsidP="00FC6C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All the Jira tickets are pulled from Sandbox instance (with prod data up to a specific refresh date) which has "In Progress" status and last status as "Resolved"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or  "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Done" or "Closed" </w:t>
      </w:r>
    </w:p>
    <w:p w14:paraId="50EBF354" w14:textId="77777777" w:rsidR="00FC6CB9" w:rsidRPr="00FC6CB9" w:rsidRDefault="00FC6CB9" w:rsidP="00FC6C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lastRenderedPageBreak/>
        <w:t>Sum of time difference between "In Progress" to "Last Completed Status" is taken for all JIRA issues for the specific month.</w:t>
      </w:r>
    </w:p>
    <w:p w14:paraId="06E2B376" w14:textId="77777777" w:rsidR="00FC6CB9" w:rsidRPr="00FC6CB9" w:rsidRDefault="00FC6CB9" w:rsidP="00FC6C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This sum is divided by total # of JIRA issues in that month.</w:t>
      </w:r>
    </w:p>
    <w:p w14:paraId="420B7675" w14:textId="77777777" w:rsidR="00FC6CB9" w:rsidRPr="00FC6CB9" w:rsidRDefault="00FC6CB9" w:rsidP="00FC6C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Grouping is done for the JIRA Project Key.</w:t>
      </w:r>
    </w:p>
    <w:p w14:paraId="4CCC3002" w14:textId="77777777" w:rsidR="00FC6CB9" w:rsidRPr="00FC6CB9" w:rsidRDefault="00FC6CB9" w:rsidP="00FC6CB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Based on the JIRA Project Key to CI mapping (as per inputs provided by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teams )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 this is aggregated at Platform/ Domain / Franchise level</w:t>
      </w:r>
    </w:p>
    <w:p w14:paraId="6A981674" w14:textId="77777777" w:rsidR="00FC6CB9" w:rsidRPr="00FC6CB9" w:rsidRDefault="00FC6CB9" w:rsidP="00FC6CB9">
      <w:pPr>
        <w:shd w:val="clear" w:color="auto" w:fill="C8B9D7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  <w:t>Time To Restore Service</w:t>
      </w:r>
    </w:p>
    <w:p w14:paraId="67A244D8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Definition:</w:t>
      </w:r>
    </w:p>
    <w:p w14:paraId="5737F11A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Average time (minutes) to restore service(s) (following an outage) in a calendar month.</w:t>
      </w:r>
    </w:p>
    <w:p w14:paraId="18295C19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Source of Data:</w:t>
      </w: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ServiceNow Incidents Records</w:t>
      </w:r>
    </w:p>
    <w:p w14:paraId="05BEE2E8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Formula: </w:t>
      </w: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Sum of impact duration / total # of impacting incidents in the month</w:t>
      </w:r>
    </w:p>
    <w:p w14:paraId="07139E20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Data Capture:</w:t>
      </w:r>
    </w:p>
    <w:p w14:paraId="16A5DBD0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For calculating below </w:t>
      </w:r>
      <w:proofErr w:type="spell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gudelines</w:t>
      </w:r>
      <w:proofErr w:type="spell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used for fetching records for the </w:t>
      </w:r>
      <w:proofErr w:type="spell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spacified</w:t>
      </w:r>
      <w:proofErr w:type="spell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period:</w:t>
      </w:r>
    </w:p>
    <w:p w14:paraId="73EE7827" w14:textId="77777777" w:rsidR="00FC6CB9" w:rsidRPr="00FC6CB9" w:rsidRDefault="00FC6CB9" w:rsidP="00FC6C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All incident records with Impact 1,2 and 3 excluding child incidents.</w:t>
      </w:r>
    </w:p>
    <w:p w14:paraId="1E8455D9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Detail of calculation steps:</w:t>
      </w:r>
    </w:p>
    <w:p w14:paraId="55DE2C0A" w14:textId="77777777" w:rsidR="00FC6CB9" w:rsidRPr="00FC6CB9" w:rsidRDefault="00FC6CB9" w:rsidP="00FC6CB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Extract all the Incidents as per the selection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criteria</w:t>
      </w:r>
      <w:proofErr w:type="gramEnd"/>
    </w:p>
    <w:p w14:paraId="474C5D0A" w14:textId="77777777" w:rsidR="00FC6CB9" w:rsidRPr="00FC6CB9" w:rsidRDefault="00FC6CB9" w:rsidP="00FC6CB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Only incidents where "parent incident" column is blank are considered to remove impact counted twice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( for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parent &amp; child)</w:t>
      </w:r>
    </w:p>
    <w:p w14:paraId="579A2791" w14:textId="77777777" w:rsidR="00FC6CB9" w:rsidRPr="00FC6CB9" w:rsidRDefault="00FC6CB9" w:rsidP="00FC6CB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Impact Duration is calculated as difference of Work Start and Work End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( and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not based on open time and  resolved time )</w:t>
      </w:r>
    </w:p>
    <w:p w14:paraId="4FECC4D6" w14:textId="77777777" w:rsidR="00FC6CB9" w:rsidRPr="00FC6CB9" w:rsidRDefault="00FC6CB9" w:rsidP="00FC6CB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A simple average of impact duration gives us </w:t>
      </w: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 xml:space="preserve">MTTR or Time to Restore Service in </w:t>
      </w:r>
      <w:proofErr w:type="gramStart"/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minutes</w:t>
      </w:r>
      <w:proofErr w:type="gramEnd"/>
    </w:p>
    <w:p w14:paraId="49481371" w14:textId="77777777" w:rsidR="00FC6CB9" w:rsidRPr="00FC6CB9" w:rsidRDefault="00FC6CB9" w:rsidP="00FC6CB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For average, grouping is done at the respective levels:</w:t>
      </w: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 CI, </w:t>
      </w:r>
      <w:proofErr w:type="gramStart"/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Platform,  Domain</w:t>
      </w:r>
      <w:proofErr w:type="gramEnd"/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, Franchise and Group </w:t>
      </w:r>
    </w:p>
    <w:p w14:paraId="4C4862D3" w14:textId="77777777" w:rsidR="00FC6CB9" w:rsidRDefault="00FC6CB9" w:rsidP="00FC6CB9">
      <w:pPr>
        <w:pStyle w:val="Heading2"/>
        <w:shd w:val="clear" w:color="auto" w:fill="C8B9D7"/>
        <w:spacing w:before="150" w:beforeAutospacing="0" w:after="150" w:afterAutospacing="0"/>
        <w:rPr>
          <w:rFonts w:ascii="Arial" w:hAnsi="Arial" w:cs="Arial"/>
          <w:color w:val="42145F"/>
          <w:sz w:val="35"/>
          <w:szCs w:val="35"/>
        </w:rPr>
      </w:pPr>
      <w:r>
        <w:rPr>
          <w:rFonts w:ascii="Arial" w:hAnsi="Arial" w:cs="Arial"/>
          <w:color w:val="42145F"/>
          <w:sz w:val="35"/>
          <w:szCs w:val="35"/>
        </w:rPr>
        <w:t>Change Failure Rate</w:t>
      </w:r>
    </w:p>
    <w:p w14:paraId="10040D06" w14:textId="77777777" w:rsidR="00FC6CB9" w:rsidRDefault="00FC6CB9" w:rsidP="00FC6CB9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color w:val="42145F"/>
          <w:sz w:val="28"/>
          <w:szCs w:val="28"/>
        </w:rPr>
      </w:pPr>
      <w:r>
        <w:rPr>
          <w:rFonts w:ascii="Arial" w:hAnsi="Arial" w:cs="Arial"/>
          <w:color w:val="42145F"/>
          <w:sz w:val="28"/>
          <w:szCs w:val="28"/>
        </w:rPr>
        <w:t>Definition:</w:t>
      </w:r>
    </w:p>
    <w:p w14:paraId="067466E4" w14:textId="77777777" w:rsidR="00FC6CB9" w:rsidRDefault="00FC6CB9" w:rsidP="00FC6C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%of Changes for the primary system which resulted in degraded service or required remediation.</w:t>
      </w:r>
    </w:p>
    <w:p w14:paraId="3A9BE5C9" w14:textId="77777777" w:rsidR="00FC6CB9" w:rsidRDefault="00FC6CB9" w:rsidP="00FC6C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Style w:val="Strong"/>
          <w:rFonts w:ascii="Arial" w:hAnsi="Arial" w:cs="Arial"/>
          <w:color w:val="515151"/>
          <w:sz w:val="20"/>
          <w:szCs w:val="20"/>
        </w:rPr>
        <w:t>Formula: </w:t>
      </w:r>
      <w:r>
        <w:rPr>
          <w:rFonts w:ascii="Arial" w:hAnsi="Arial" w:cs="Arial"/>
          <w:color w:val="515151"/>
          <w:sz w:val="20"/>
          <w:szCs w:val="20"/>
        </w:rPr>
        <w:t>For a specific month</w:t>
      </w:r>
    </w:p>
    <w:p w14:paraId="09CB2943" w14:textId="77777777" w:rsidR="00FC6CB9" w:rsidRDefault="00FC6CB9" w:rsidP="00FC6C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proofErr w:type="gramStart"/>
      <w:r>
        <w:rPr>
          <w:rFonts w:ascii="Arial" w:hAnsi="Arial" w:cs="Arial"/>
          <w:color w:val="515151"/>
          <w:sz w:val="20"/>
          <w:szCs w:val="20"/>
        </w:rPr>
        <w:t>( #</w:t>
      </w:r>
      <w:proofErr w:type="gramEnd"/>
      <w:r>
        <w:rPr>
          <w:rFonts w:ascii="Arial" w:hAnsi="Arial" w:cs="Arial"/>
          <w:color w:val="515151"/>
          <w:sz w:val="20"/>
          <w:szCs w:val="20"/>
        </w:rPr>
        <w:t xml:space="preserve"> of Changes causing incidents / Total Completed Changes )  * 100</w:t>
      </w:r>
    </w:p>
    <w:p w14:paraId="51FAAFA1" w14:textId="77777777" w:rsidR="00FC6CB9" w:rsidRDefault="00FC6CB9" w:rsidP="00FC6CB9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color w:val="42145F"/>
          <w:sz w:val="28"/>
          <w:szCs w:val="28"/>
        </w:rPr>
      </w:pPr>
      <w:r>
        <w:rPr>
          <w:rFonts w:ascii="Arial" w:hAnsi="Arial" w:cs="Arial"/>
          <w:color w:val="42145F"/>
          <w:sz w:val="28"/>
          <w:szCs w:val="28"/>
        </w:rPr>
        <w:t>Data Capture:</w:t>
      </w:r>
    </w:p>
    <w:p w14:paraId="1930877C" w14:textId="77777777" w:rsidR="00FC6CB9" w:rsidRDefault="00FC6CB9" w:rsidP="00FC6CB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Style w:val="Strong"/>
          <w:rFonts w:ascii="Arial" w:hAnsi="Arial" w:cs="Arial"/>
          <w:color w:val="515151"/>
          <w:sz w:val="20"/>
          <w:szCs w:val="20"/>
        </w:rPr>
        <w:t>Change Records Selection criteria:</w:t>
      </w:r>
    </w:p>
    <w:p w14:paraId="75CA6B46" w14:textId="77777777" w:rsidR="00FC6CB9" w:rsidRDefault="00FC6CB9" w:rsidP="00FC6CB9">
      <w:pPr>
        <w:pStyle w:val="rbs-rteelement-p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Change Records included based on Type: </w:t>
      </w:r>
      <w:r>
        <w:rPr>
          <w:rStyle w:val="Strong"/>
          <w:rFonts w:ascii="Arial" w:hAnsi="Arial" w:cs="Arial"/>
          <w:color w:val="515151"/>
          <w:sz w:val="20"/>
          <w:szCs w:val="20"/>
        </w:rPr>
        <w:t>MCR / ECR /RCR </w:t>
      </w:r>
    </w:p>
    <w:p w14:paraId="7182445A" w14:textId="77777777" w:rsidR="00FC6CB9" w:rsidRDefault="00FC6CB9" w:rsidP="00FC6CB9">
      <w:pPr>
        <w:pStyle w:val="rbs-rteelement-p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Exclusion by change closure code: </w:t>
      </w:r>
      <w:r>
        <w:rPr>
          <w:rStyle w:val="Strong"/>
          <w:rFonts w:ascii="Arial" w:hAnsi="Arial" w:cs="Arial"/>
          <w:color w:val="515151"/>
          <w:sz w:val="20"/>
          <w:szCs w:val="20"/>
        </w:rPr>
        <w:t>Cancelled </w:t>
      </w:r>
    </w:p>
    <w:p w14:paraId="2D852E80" w14:textId="77777777" w:rsidR="00FC6CB9" w:rsidRDefault="00FC6CB9" w:rsidP="00FC6CB9">
      <w:pPr>
        <w:pStyle w:val="rbs-rteelement-p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Change Records included based on Change State: </w:t>
      </w:r>
      <w:r>
        <w:rPr>
          <w:rStyle w:val="Strong"/>
          <w:rFonts w:ascii="Arial" w:hAnsi="Arial" w:cs="Arial"/>
          <w:color w:val="515151"/>
          <w:sz w:val="20"/>
          <w:szCs w:val="20"/>
        </w:rPr>
        <w:t>Closed Complete</w:t>
      </w:r>
    </w:p>
    <w:p w14:paraId="6955BD70" w14:textId="77777777" w:rsidR="00FC6CB9" w:rsidRDefault="00FC6CB9" w:rsidP="00FC6CB9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color w:val="42145F"/>
          <w:sz w:val="28"/>
          <w:szCs w:val="28"/>
        </w:rPr>
      </w:pPr>
      <w:r>
        <w:rPr>
          <w:rFonts w:ascii="Arial" w:hAnsi="Arial" w:cs="Arial"/>
          <w:color w:val="42145F"/>
          <w:sz w:val="28"/>
          <w:szCs w:val="28"/>
        </w:rPr>
        <w:t>Detail of Calculation Steps:</w:t>
      </w:r>
    </w:p>
    <w:p w14:paraId="195162D5" w14:textId="77777777" w:rsidR="00FC6CB9" w:rsidRDefault="00FC6CB9" w:rsidP="00FC6CB9">
      <w:pPr>
        <w:pStyle w:val="rbs-rteelement-p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 xml:space="preserve">Extract All Change Records for the respective </w:t>
      </w:r>
      <w:proofErr w:type="gramStart"/>
      <w:r>
        <w:rPr>
          <w:rFonts w:ascii="Arial" w:hAnsi="Arial" w:cs="Arial"/>
          <w:color w:val="515151"/>
          <w:sz w:val="20"/>
          <w:szCs w:val="20"/>
        </w:rPr>
        <w:t>month  based</w:t>
      </w:r>
      <w:proofErr w:type="gramEnd"/>
      <w:r>
        <w:rPr>
          <w:rFonts w:ascii="Arial" w:hAnsi="Arial" w:cs="Arial"/>
          <w:color w:val="515151"/>
          <w:sz w:val="20"/>
          <w:szCs w:val="20"/>
        </w:rPr>
        <w:t xml:space="preserve"> on the selection criteria</w:t>
      </w:r>
    </w:p>
    <w:p w14:paraId="6249437E" w14:textId="77777777" w:rsidR="00FC6CB9" w:rsidRDefault="00FC6CB9" w:rsidP="00FC6CB9">
      <w:pPr>
        <w:pStyle w:val="rbs-rteelement-p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lastRenderedPageBreak/>
        <w:t xml:space="preserve">Change Records which have a value "True" for the column "Caused Incident" are considered </w:t>
      </w:r>
      <w:proofErr w:type="gramStart"/>
      <w:r>
        <w:rPr>
          <w:rFonts w:ascii="Arial" w:hAnsi="Arial" w:cs="Arial"/>
          <w:color w:val="515151"/>
          <w:sz w:val="20"/>
          <w:szCs w:val="20"/>
        </w:rPr>
        <w:t>as  Failed</w:t>
      </w:r>
      <w:proofErr w:type="gramEnd"/>
      <w:r>
        <w:rPr>
          <w:rFonts w:ascii="Arial" w:hAnsi="Arial" w:cs="Arial"/>
          <w:color w:val="515151"/>
          <w:sz w:val="20"/>
          <w:szCs w:val="20"/>
        </w:rPr>
        <w:t xml:space="preserve"> Change. </w:t>
      </w:r>
    </w:p>
    <w:p w14:paraId="2FAF28DE" w14:textId="77777777" w:rsidR="00FC6CB9" w:rsidRDefault="00FC6CB9" w:rsidP="00FC6CB9">
      <w:pPr>
        <w:pStyle w:val="rbs-rteelement-p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A simple % is taken to calculate the CFR.</w:t>
      </w:r>
    </w:p>
    <w:p w14:paraId="6DBF9C4B" w14:textId="77777777" w:rsidR="00FC6CB9" w:rsidRDefault="00FC6CB9" w:rsidP="00FC6CB9">
      <w:pPr>
        <w:pStyle w:val="rbs-rteelement-p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Style w:val="Strong"/>
          <w:rFonts w:ascii="Arial" w:hAnsi="Arial" w:cs="Arial"/>
          <w:color w:val="515151"/>
          <w:sz w:val="20"/>
          <w:szCs w:val="20"/>
        </w:rPr>
        <w:t>Example:</w:t>
      </w:r>
      <w:r>
        <w:rPr>
          <w:rFonts w:ascii="Arial" w:hAnsi="Arial" w:cs="Arial"/>
          <w:color w:val="515151"/>
          <w:sz w:val="20"/>
          <w:szCs w:val="20"/>
        </w:rPr>
        <w:t> If there are total 100 change records for a platform in that specific month and 2 changes caused incident then the CFR for that platform in that month is calculated as 2% </w:t>
      </w:r>
    </w:p>
    <w:p w14:paraId="6ADBECAB" w14:textId="77777777" w:rsidR="00FC6CB9" w:rsidRDefault="00FC6CB9" w:rsidP="00FC6CB9">
      <w:pPr>
        <w:pStyle w:val="rbs-rteelement-p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Calculate CFR with grouping at respective level: </w:t>
      </w:r>
      <w:proofErr w:type="gramStart"/>
      <w:r>
        <w:rPr>
          <w:rFonts w:ascii="Arial" w:hAnsi="Arial" w:cs="Arial"/>
          <w:color w:val="515151"/>
          <w:sz w:val="20"/>
          <w:szCs w:val="20"/>
        </w:rPr>
        <w:t>CI ,</w:t>
      </w:r>
      <w:proofErr w:type="gramEnd"/>
      <w:r>
        <w:rPr>
          <w:rFonts w:ascii="Arial" w:hAnsi="Arial" w:cs="Arial"/>
          <w:color w:val="515151"/>
          <w:sz w:val="20"/>
          <w:szCs w:val="20"/>
        </w:rPr>
        <w:t> </w:t>
      </w:r>
      <w:r>
        <w:rPr>
          <w:rStyle w:val="Strong"/>
          <w:rFonts w:ascii="Arial" w:hAnsi="Arial" w:cs="Arial"/>
          <w:color w:val="515151"/>
          <w:sz w:val="20"/>
          <w:szCs w:val="20"/>
        </w:rPr>
        <w:t>Platform,  Domain, Franchise and Group</w:t>
      </w:r>
    </w:p>
    <w:p w14:paraId="12134D0B" w14:textId="7FEBB7AC" w:rsidR="00FC6CB9" w:rsidRDefault="00FC6CB9" w:rsidP="00FC6CB9">
      <w:pPr>
        <w:pStyle w:val="rbs-rteelement-p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  <w:r>
        <w:rPr>
          <w:rStyle w:val="Strong"/>
          <w:rFonts w:ascii="Arial" w:hAnsi="Arial" w:cs="Arial"/>
          <w:color w:val="515151"/>
          <w:sz w:val="20"/>
          <w:szCs w:val="20"/>
        </w:rPr>
        <w:t>Source of Data:</w:t>
      </w:r>
      <w:r>
        <w:rPr>
          <w:rFonts w:ascii="Arial" w:hAnsi="Arial" w:cs="Arial"/>
          <w:color w:val="515151"/>
          <w:sz w:val="20"/>
          <w:szCs w:val="20"/>
        </w:rPr>
        <w:t> Service now Incident records</w:t>
      </w:r>
    </w:p>
    <w:p w14:paraId="10F2388D" w14:textId="77777777" w:rsidR="00FC6CB9" w:rsidRDefault="00FC6CB9" w:rsidP="00FC6CB9">
      <w:pPr>
        <w:pStyle w:val="rbs-rteelement-p"/>
        <w:shd w:val="clear" w:color="auto" w:fill="FFFFFF"/>
        <w:spacing w:before="0" w:beforeAutospacing="0" w:after="150" w:afterAutospacing="0"/>
        <w:rPr>
          <w:rFonts w:ascii="Arial" w:hAnsi="Arial" w:cs="Arial"/>
          <w:color w:val="515151"/>
          <w:sz w:val="20"/>
          <w:szCs w:val="20"/>
        </w:rPr>
      </w:pPr>
    </w:p>
    <w:p w14:paraId="6EC9F6E2" w14:textId="77777777" w:rsidR="00FC6CB9" w:rsidRPr="00FC6CB9" w:rsidRDefault="00FC6CB9" w:rsidP="00FC6CB9">
      <w:pPr>
        <w:shd w:val="clear" w:color="auto" w:fill="C8B9D7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35"/>
          <w:szCs w:val="35"/>
          <w:lang w:eastAsia="en-GB"/>
        </w:rPr>
        <w:t>Time On Inner Loop Activities &amp; Toil (NWG)</w:t>
      </w:r>
    </w:p>
    <w:p w14:paraId="55112B25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Toil </w:t>
      </w: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% is calculated based on the Assessment taken by teams. There is a Toil question:</w:t>
      </w:r>
    </w:p>
    <w:p w14:paraId="0EB10BC7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"Thinking about your software delivery lifecycle what % of your team's work can be categorized as toil?"</w:t>
      </w:r>
    </w:p>
    <w:p w14:paraId="391D82E5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Possible Answers are:</w:t>
      </w:r>
    </w:p>
    <w:p w14:paraId="3C336E79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 - "Less than 10%"</w:t>
      </w:r>
    </w:p>
    <w:p w14:paraId="1C21E549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 - "Between 10% to 25%"</w:t>
      </w:r>
    </w:p>
    <w:p w14:paraId="5B65E661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 - "Between 25% to 50%"</w:t>
      </w:r>
    </w:p>
    <w:p w14:paraId="6F43EE4D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 - "Above 50%"</w:t>
      </w:r>
    </w:p>
    <w:p w14:paraId="1C1A02BA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  - "N/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A“</w:t>
      </w:r>
      <w:proofErr w:type="gramEnd"/>
    </w:p>
    <w:p w14:paraId="2CE74BB3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We take the punitive value for each answer to calculate the overall Toil % for NWG</w:t>
      </w:r>
    </w:p>
    <w:p w14:paraId="404FD95C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Below is one sample calculation:</w:t>
      </w:r>
    </w:p>
    <w:tbl>
      <w:tblPr>
        <w:tblW w:w="5000" w:type="pct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237"/>
        <w:gridCol w:w="2212"/>
        <w:gridCol w:w="2262"/>
      </w:tblGrid>
      <w:tr w:rsidR="00FC6CB9" w:rsidRPr="00FC6CB9" w14:paraId="6CC9CBA3" w14:textId="77777777" w:rsidTr="00FC6CB9">
        <w:tc>
          <w:tcPr>
            <w:tcW w:w="23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2527543" w14:textId="77777777" w:rsidR="00FC6CB9" w:rsidRPr="00FC6CB9" w:rsidRDefault="00FC6CB9" w:rsidP="00FC6CB9">
            <w:pPr>
              <w:spacing w:before="120" w:after="12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 xml:space="preserve">​% of Teams work </w:t>
            </w:r>
            <w:proofErr w:type="spellStart"/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>categoried</w:t>
            </w:r>
            <w:proofErr w:type="spellEnd"/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> as Toil</w:t>
            </w:r>
          </w:p>
        </w:tc>
        <w:tc>
          <w:tcPr>
            <w:tcW w:w="23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069792F" w14:textId="77777777" w:rsidR="00FC6CB9" w:rsidRPr="00FC6CB9" w:rsidRDefault="00FC6CB9" w:rsidP="00FC6CB9">
            <w:pPr>
              <w:spacing w:before="120" w:after="12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>​# of Teams</w:t>
            </w:r>
          </w:p>
        </w:tc>
        <w:tc>
          <w:tcPr>
            <w:tcW w:w="23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95AE4DB" w14:textId="77777777" w:rsidR="00FC6CB9" w:rsidRPr="00FC6CB9" w:rsidRDefault="00FC6CB9" w:rsidP="00FC6CB9">
            <w:pPr>
              <w:spacing w:before="120" w:after="12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>​Toil (%) </w:t>
            </w:r>
          </w:p>
        </w:tc>
        <w:tc>
          <w:tcPr>
            <w:tcW w:w="23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F0A64CD" w14:textId="77777777" w:rsidR="00FC6CB9" w:rsidRPr="00FC6CB9" w:rsidRDefault="00FC6CB9" w:rsidP="00FC6CB9">
            <w:pPr>
              <w:spacing w:before="120" w:after="12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>Weighted Toil</w:t>
            </w:r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br/>
              <w:t xml:space="preserve">(# of </w:t>
            </w:r>
            <w:proofErr w:type="spellStart"/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>tems</w:t>
            </w:r>
            <w:proofErr w:type="spellEnd"/>
            <w:r w:rsidRPr="00FC6CB9">
              <w:rPr>
                <w:rFonts w:ascii="Arial" w:eastAsia="Times New Roman" w:hAnsi="Arial" w:cs="Arial"/>
                <w:b/>
                <w:bCs/>
                <w:color w:val="42145F"/>
                <w:sz w:val="23"/>
                <w:szCs w:val="23"/>
                <w:lang w:eastAsia="en-GB"/>
              </w:rPr>
              <w:t xml:space="preserve"> * Toil%)​</w:t>
            </w:r>
          </w:p>
        </w:tc>
      </w:tr>
      <w:tr w:rsidR="00FC6CB9" w:rsidRPr="00FC6CB9" w14:paraId="0C2C82C9" w14:textId="77777777" w:rsidTr="00FC6CB9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4960AC7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​Above 50%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B2830C2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​29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FE372B8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​70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3B4DA6E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​2030</w:t>
            </w:r>
          </w:p>
        </w:tc>
      </w:tr>
      <w:tr w:rsidR="00FC6CB9" w:rsidRPr="00FC6CB9" w14:paraId="3DE2B70F" w14:textId="77777777" w:rsidTr="00FC6CB9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2A1FDD0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​Between 10% to 25%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B92CF28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​91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A220D06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​25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75A4A56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​2275</w:t>
            </w:r>
          </w:p>
        </w:tc>
      </w:tr>
      <w:tr w:rsidR="00FC6CB9" w:rsidRPr="00FC6CB9" w14:paraId="0A164983" w14:textId="77777777" w:rsidTr="00FC6CB9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D9590EB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​Between 25% to 50%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DE55260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​31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195FFE5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​50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286D7ED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​1550</w:t>
            </w:r>
          </w:p>
        </w:tc>
      </w:tr>
      <w:tr w:rsidR="00FC6CB9" w:rsidRPr="00FC6CB9" w14:paraId="05222CD8" w14:textId="77777777" w:rsidTr="00FC6CB9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40ED2BA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​Less than 10%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7B6F385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​65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0A8E442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​10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A499D3E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​650</w:t>
            </w:r>
          </w:p>
        </w:tc>
      </w:tr>
      <w:tr w:rsidR="00FC6CB9" w:rsidRPr="00FC6CB9" w14:paraId="2EBA6BC2" w14:textId="77777777" w:rsidTr="00FC6CB9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B1EFB5E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  <w:t>​</w:t>
            </w:r>
            <w:r w:rsidRPr="00FC6CB9">
              <w:rPr>
                <w:rFonts w:ascii="Arial" w:eastAsia="Times New Roman" w:hAnsi="Arial" w:cs="Arial"/>
                <w:b/>
                <w:bCs/>
                <w:color w:val="515151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E9DEEA9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515151"/>
                <w:sz w:val="20"/>
                <w:szCs w:val="20"/>
                <w:lang w:eastAsia="en-GB"/>
              </w:rPr>
              <w:t>​216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BD994FF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515151"/>
                <w:sz w:val="20"/>
                <w:szCs w:val="20"/>
                <w:lang w:eastAsia="en-GB"/>
              </w:rPr>
              <w:t>​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535DF0A" w14:textId="77777777" w:rsidR="00FC6CB9" w:rsidRPr="00FC6CB9" w:rsidRDefault="00FC6CB9" w:rsidP="00FC6CB9">
            <w:pPr>
              <w:spacing w:after="150" w:line="240" w:lineRule="auto"/>
              <w:rPr>
                <w:rFonts w:ascii="Arial" w:eastAsia="Times New Roman" w:hAnsi="Arial" w:cs="Arial"/>
                <w:color w:val="515151"/>
                <w:sz w:val="20"/>
                <w:szCs w:val="20"/>
                <w:lang w:eastAsia="en-GB"/>
              </w:rPr>
            </w:pPr>
            <w:r w:rsidRPr="00FC6CB9">
              <w:rPr>
                <w:rFonts w:ascii="Arial" w:eastAsia="Times New Roman" w:hAnsi="Arial" w:cs="Arial"/>
                <w:b/>
                <w:bCs/>
                <w:color w:val="515151"/>
                <w:sz w:val="20"/>
                <w:szCs w:val="20"/>
                <w:lang w:eastAsia="en-GB"/>
              </w:rPr>
              <w:t>​6505</w:t>
            </w:r>
          </w:p>
        </w:tc>
      </w:tr>
    </w:tbl>
    <w:p w14:paraId="40C4C552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br/>
        <w:t>Effective Toil% for NWG = 6505/216 = 30.12%</w:t>
      </w:r>
    </w:p>
    <w:p w14:paraId="57D2BE71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br/>
      </w: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Measurement Formula:</w:t>
      </w:r>
    </w:p>
    <w:p w14:paraId="4AE0E538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515151"/>
          <w:sz w:val="20"/>
          <w:szCs w:val="20"/>
          <w:lang w:eastAsia="en-GB"/>
        </w:rPr>
        <w:t># of staff involved in inner loop activities*(1-Toil%)/Total Tech Population</w:t>
      </w:r>
    </w:p>
    <w:p w14:paraId="30C66BF6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Data from </w:t>
      </w:r>
      <w:proofErr w:type="spell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TechTree</w:t>
      </w:r>
      <w:proofErr w:type="spell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is being used to estimate the level of Toil (self-assessed).</w:t>
      </w:r>
    </w:p>
    <w:p w14:paraId="4728954F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lastRenderedPageBreak/>
        <w:t>Time on inner loop and toil data calculations are done based on NWG level.</w:t>
      </w:r>
    </w:p>
    <w:p w14:paraId="7AF4C279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*Inner Loop Job Families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are: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Software Engineers, Infrastructure Engineers, Data Analysts and Testers</w:t>
      </w:r>
    </w:p>
    <w:p w14:paraId="2970C368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The DevOps Assessment is made up of 100+ questions across 11 categories for Generic persona and 13 </w:t>
      </w:r>
      <w:proofErr w:type="spell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catagories</w:t>
      </w:r>
      <w:proofErr w:type="spell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for Mainframe persona. Each category has a score of between 0 and 100. These scores are added up and averages to get an overall DevOps Assessment score.</w:t>
      </w:r>
    </w:p>
    <w:p w14:paraId="66053563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Example of 11 categories for Generic persona: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874"/>
      </w:tblGrid>
      <w:tr w:rsidR="00FC6CB9" w:rsidRPr="00FC6CB9" w14:paraId="25F0C625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DF12D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b/>
                <w:bCs/>
                <w:color w:val="5A287D"/>
                <w:sz w:val="24"/>
                <w:szCs w:val="24"/>
                <w:lang w:eastAsia="en-GB"/>
              </w:rPr>
              <w:t>Assessment Category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A3FDD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b/>
                <w:bCs/>
                <w:color w:val="5A287D"/>
                <w:sz w:val="24"/>
                <w:szCs w:val="24"/>
                <w:lang w:eastAsia="en-GB"/>
              </w:rPr>
              <w:t>Score</w:t>
            </w:r>
          </w:p>
        </w:tc>
      </w:tr>
      <w:tr w:rsidR="00FC6CB9" w:rsidRPr="00FC6CB9" w14:paraId="3EFACA73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E5083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Dormancy Strategy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93679C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74%</w:t>
            </w:r>
          </w:p>
        </w:tc>
      </w:tr>
      <w:tr w:rsidR="00FC6CB9" w:rsidRPr="00FC6CB9" w14:paraId="4B50431F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358481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Configuration Management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2923D4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60%</w:t>
            </w:r>
          </w:p>
        </w:tc>
      </w:tr>
      <w:tr w:rsidR="00FC6CB9" w:rsidRPr="00FC6CB9" w14:paraId="60CCAE2F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BE48F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Quality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C3C28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60%</w:t>
            </w:r>
          </w:p>
        </w:tc>
      </w:tr>
      <w:tr w:rsidR="00FC6CB9" w:rsidRPr="00FC6CB9" w14:paraId="157D87CD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33165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 Practices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AADE1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</w:t>
            </w:r>
          </w:p>
        </w:tc>
      </w:tr>
      <w:tr w:rsidR="00FC6CB9" w:rsidRPr="00FC6CB9" w14:paraId="0B221F93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F01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Deployment Practices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DD070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40%</w:t>
            </w:r>
          </w:p>
        </w:tc>
      </w:tr>
      <w:tr w:rsidR="00FC6CB9" w:rsidRPr="00FC6CB9" w14:paraId="7C2B6CEF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1F76F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Release Practices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E3D89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60%</w:t>
            </w:r>
          </w:p>
        </w:tc>
      </w:tr>
      <w:tr w:rsidR="00FC6CB9" w:rsidRPr="00FC6CB9" w14:paraId="3BDE8018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F078F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Infrastructure as a Service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D1C0CE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80%</w:t>
            </w:r>
          </w:p>
        </w:tc>
      </w:tr>
      <w:tr w:rsidR="00FC6CB9" w:rsidRPr="00FC6CB9" w14:paraId="28E6C30E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E4E9B7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Automated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6F8E2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80%</w:t>
            </w:r>
          </w:p>
        </w:tc>
      </w:tr>
      <w:tr w:rsidR="00FC6CB9" w:rsidRPr="00FC6CB9" w14:paraId="6D80B06E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B878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Application Architecture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298E8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70%</w:t>
            </w:r>
          </w:p>
        </w:tc>
      </w:tr>
      <w:tr w:rsidR="00FC6CB9" w:rsidRPr="00FC6CB9" w14:paraId="1597EC2A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D55FB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Monitoring and Reporting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87F4A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60%</w:t>
            </w:r>
          </w:p>
        </w:tc>
      </w:tr>
      <w:tr w:rsidR="00FC6CB9" w:rsidRPr="00FC6CB9" w14:paraId="31A3BB28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BB62B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837DB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50%</w:t>
            </w:r>
          </w:p>
        </w:tc>
      </w:tr>
      <w:tr w:rsidR="00FC6CB9" w:rsidRPr="00FC6CB9" w14:paraId="5CD35EEA" w14:textId="77777777" w:rsidTr="00FC6C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FB349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DFBD8" w14:textId="77777777" w:rsidR="00FC6CB9" w:rsidRPr="00FC6CB9" w:rsidRDefault="00FC6CB9" w:rsidP="00FC6CB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C6C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61%</w:t>
            </w:r>
          </w:p>
        </w:tc>
      </w:tr>
    </w:tbl>
    <w:p w14:paraId="33ED21DB" w14:textId="77777777" w:rsidR="00FC6CB9" w:rsidRPr="00FC6CB9" w:rsidRDefault="00FC6CB9" w:rsidP="00FC6C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</w:p>
    <w:p w14:paraId="2B38A926" w14:textId="77777777" w:rsidR="00FC6CB9" w:rsidRPr="00FC6CB9" w:rsidRDefault="00FC6CB9" w:rsidP="00FC6CB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</w:pPr>
      <w:r w:rsidRPr="00FC6CB9">
        <w:rPr>
          <w:rFonts w:ascii="Arial" w:eastAsia="Times New Roman" w:hAnsi="Arial" w:cs="Arial"/>
          <w:b/>
          <w:bCs/>
          <w:color w:val="42145F"/>
          <w:sz w:val="28"/>
          <w:szCs w:val="28"/>
          <w:lang w:eastAsia="en-GB"/>
        </w:rPr>
        <w:t>Final Combed DevOps Metric</w:t>
      </w:r>
    </w:p>
    <w:p w14:paraId="37BDE16F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The final score is weighted equally between the DORA score and the assessment score. </w:t>
      </w:r>
      <w:proofErr w:type="gramStart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So</w:t>
      </w:r>
      <w:proofErr w:type="gramEnd"/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 xml:space="preserve"> for our examples:</w:t>
      </w:r>
    </w:p>
    <w:p w14:paraId="0A7E35DF" w14:textId="77777777" w:rsidR="00FC6CB9" w:rsidRPr="00FC6CB9" w:rsidRDefault="00FC6CB9" w:rsidP="00FC6C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15151"/>
          <w:sz w:val="20"/>
          <w:szCs w:val="20"/>
          <w:lang w:eastAsia="en-GB"/>
        </w:rPr>
      </w:pPr>
      <w:r w:rsidRPr="00FC6CB9">
        <w:rPr>
          <w:rFonts w:ascii="Arial" w:eastAsia="Times New Roman" w:hAnsi="Arial" w:cs="Arial"/>
          <w:color w:val="515151"/>
          <w:sz w:val="20"/>
          <w:szCs w:val="20"/>
          <w:lang w:eastAsia="en-GB"/>
        </w:rPr>
        <w:t>56.25% (DORA) + 61% (Assessment) = 117.25 / 2 = 58.6%</w:t>
      </w:r>
    </w:p>
    <w:p w14:paraId="186E5678" w14:textId="77777777" w:rsidR="00F7575F" w:rsidRDefault="00F7575F"/>
    <w:sectPr w:rsidR="00F7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303"/>
    <w:multiLevelType w:val="multilevel"/>
    <w:tmpl w:val="0AA8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2D8F"/>
    <w:multiLevelType w:val="multilevel"/>
    <w:tmpl w:val="E4BE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82A7B"/>
    <w:multiLevelType w:val="multilevel"/>
    <w:tmpl w:val="DE5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944"/>
    <w:multiLevelType w:val="multilevel"/>
    <w:tmpl w:val="95A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51C5A"/>
    <w:multiLevelType w:val="multilevel"/>
    <w:tmpl w:val="C1D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20C41"/>
    <w:multiLevelType w:val="multilevel"/>
    <w:tmpl w:val="A0B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A79AA"/>
    <w:multiLevelType w:val="multilevel"/>
    <w:tmpl w:val="6A5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F5707"/>
    <w:multiLevelType w:val="multilevel"/>
    <w:tmpl w:val="BDA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45151"/>
    <w:multiLevelType w:val="multilevel"/>
    <w:tmpl w:val="B32A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43B3D"/>
    <w:multiLevelType w:val="multilevel"/>
    <w:tmpl w:val="A86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03984">
    <w:abstractNumId w:val="3"/>
  </w:num>
  <w:num w:numId="2" w16cid:durableId="150952231">
    <w:abstractNumId w:val="8"/>
  </w:num>
  <w:num w:numId="3" w16cid:durableId="89087602">
    <w:abstractNumId w:val="2"/>
  </w:num>
  <w:num w:numId="4" w16cid:durableId="2030446137">
    <w:abstractNumId w:val="4"/>
  </w:num>
  <w:num w:numId="5" w16cid:durableId="1559052759">
    <w:abstractNumId w:val="9"/>
  </w:num>
  <w:num w:numId="6" w16cid:durableId="1940094173">
    <w:abstractNumId w:val="6"/>
  </w:num>
  <w:num w:numId="7" w16cid:durableId="2101484042">
    <w:abstractNumId w:val="1"/>
  </w:num>
  <w:num w:numId="8" w16cid:durableId="69935962">
    <w:abstractNumId w:val="0"/>
  </w:num>
  <w:num w:numId="9" w16cid:durableId="2072847180">
    <w:abstractNumId w:val="7"/>
  </w:num>
  <w:num w:numId="10" w16cid:durableId="1415738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9"/>
    <w:rsid w:val="000F5659"/>
    <w:rsid w:val="00F7575F"/>
    <w:rsid w:val="00F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824F"/>
  <w15:chartTrackingRefBased/>
  <w15:docId w15:val="{63258517-D18C-490F-9C06-FAD0DC34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6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C6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C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6C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C6CB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rbs-rteelement-p">
    <w:name w:val="rbs-rteelement-p"/>
    <w:basedOn w:val="Normal"/>
    <w:rsid w:val="00FC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C6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-provider">
    <w:name w:val="ui-provider"/>
    <w:basedOn w:val="DefaultParagraphFont"/>
    <w:rsid w:val="00FC6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evops/state-of-devops/" TargetMode="External"/><Relationship Id="rId5" Type="http://schemas.openxmlformats.org/officeDocument/2006/relationships/hyperlink" Target="https://devops-techtree-assessment.prd.spa.paas.pnf.banksvc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  (Finance &amp; Risk Solutions, Technology)</dc:creator>
  <cp:keywords/>
  <dc:description/>
  <cp:lastModifiedBy>Kumar, Rajesh  (Finance &amp; Risk Solutions, Technology)</cp:lastModifiedBy>
  <cp:revision>1</cp:revision>
  <dcterms:created xsi:type="dcterms:W3CDTF">2024-01-04T10:14:00Z</dcterms:created>
  <dcterms:modified xsi:type="dcterms:W3CDTF">2024-01-04T10:21:00Z</dcterms:modified>
</cp:coreProperties>
</file>