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04.png" ContentType="image/png"/>
  <Override PartName="/word/media/rId71.png" ContentType="image/png"/>
  <Override PartName="/word/media/rId88.png" ContentType="image/png"/>
  <Override PartName="/word/media/rId81.jpg" ContentType="image/jpeg"/>
  <Override PartName="/word/media/rId98.png" ContentType="image/png"/>
  <Override PartName="/word/media/rId112.png" ContentType="image/png"/>
  <Override PartName="/word/media/rId23.svg" ContentType="image/svg+xml"/>
  <Override PartName="/word/media/rId47.png" ContentType="image/png"/>
  <Override PartName="/word/media/rId42.png" ContentType="image/png"/>
  <Override PartName="/word/media/rId64.png" ContentType="image/png"/>
  <Override PartName="/word/media/rId53.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52"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45" w:name="fig-lifespancognitivetrajectories"/>
    <w:p>
      <w:pPr>
        <w:pStyle w:val="FigureTitle"/>
      </w:pPr>
      <w:r>
        <w:t xml:space="preserve">Figure 1</w:t>
      </w:r>
    </w:p>
    <w:p>
      <w:pPr>
        <w:pStyle w:val="Caption"/>
      </w:pPr>
      <w:r>
        <w:t xml:space="preserve">Different Cognitive Trajectories of Aging</w:t>
      </w:r>
    </w:p>
    <w:p>
      <w:pPr>
        <w:pStyle w:val="FigureWithoutNote"/>
      </w:pPr>
      <w:r>
        <w:drawing>
          <wp:inline>
            <wp:extent cx="5943600" cy="2476500"/>
            <wp:effectExtent b="0" l="0" r="0" t="0"/>
            <wp:docPr descr="" title="" id="43" name="Picture"/>
            <a:graphic>
              <a:graphicData uri="http://schemas.openxmlformats.org/drawingml/2006/picture">
                <pic:pic>
                  <pic:nvPicPr>
                    <pic:cNvPr descr="index_files/figure-docx/notebooks-analyses-fig-lifespancognitivetrajectories-output-1.png" id="44" name="Picture"/>
                    <pic:cNvPicPr>
                      <a:picLocks noChangeArrowheads="1" noChangeAspect="1"/>
                    </pic:cNvPicPr>
                  </pic:nvPicPr>
                  <pic:blipFill>
                    <a:blip r:embed="rId42"/>
                    <a:stretch>
                      <a:fillRect/>
                    </a:stretch>
                  </pic:blipFill>
                  <pic:spPr bwMode="auto">
                    <a:xfrm>
                      <a:off x="0" y="0"/>
                      <a:ext cx="5943600" cy="2476500"/>
                    </a:xfrm>
                    <a:prstGeom prst="rect">
                      <a:avLst/>
                    </a:prstGeom>
                    <a:noFill/>
                    <a:ln w="9525">
                      <a:noFill/>
                      <a:headEnd/>
                      <a:tailEnd/>
                    </a:ln>
                  </pic:spPr>
                </pic:pic>
              </a:graphicData>
            </a:graphic>
          </wp:inline>
        </w:drawing>
      </w:r>
    </w:p>
    <w:bookmarkEnd w:id="45"/>
    <w:p>
      <w:pPr>
        <w:pStyle w:val="FigureWithoutNote"/>
      </w:pPr>
      <w:r>
        <w:rPr>
          <w:vertAlign w:val="subscript"/>
        </w:rPr>
        <w:t xml:space="preserve">Source:</w:t>
      </w:r>
      <w:r>
        <w:rPr>
          <w:vertAlign w:val="subscript"/>
        </w:rPr>
        <w:t xml:space="preserve"> </w:t>
      </w:r>
      <w:hyperlink r:id="rId46">
        <w:r>
          <w:rPr>
            <w:rStyle w:val="Hyperlink"/>
            <w:vertAlign w:val="subscript"/>
          </w:rPr>
          <w:t xml:space="preserve">Analyses</w:t>
        </w:r>
      </w:hyperlink>
    </w:p>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externalizingbyage">
        <w:r>
          <w:rPr>
            <w:rStyle w:val="Hyperlink"/>
          </w:rPr>
          <w:t xml:space="preserve">Figure 2</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ernalizingbyage">
        <w:r>
          <w:rPr>
            <w:rStyle w:val="Hyperlink"/>
          </w:rPr>
          <w:t xml:space="preserve">Figure 2</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50" w:name="fig-externalizingbyage"/>
    <w:p>
      <w:pPr>
        <w:pStyle w:val="FigureTitle"/>
      </w:pPr>
      <w:r>
        <w:t xml:space="preserve">Figure 2</w:t>
      </w:r>
    </w:p>
    <w:p>
      <w:pPr>
        <w:pStyle w:val="Caption"/>
      </w:pPr>
      <w:r>
        <w:t xml:space="preserve">Externalizing Behavior Across Development</w:t>
      </w:r>
    </w:p>
    <w:p>
      <w:pPr>
        <w:pStyle w:val="FigureWithoutNote"/>
      </w:pPr>
      <w:r>
        <w:drawing>
          <wp:inline>
            <wp:extent cx="5943600" cy="3962400"/>
            <wp:effectExtent b="0" l="0" r="0" t="0"/>
            <wp:docPr descr="" title="" id="48" name="Picture"/>
            <a:graphic>
              <a:graphicData uri="http://schemas.openxmlformats.org/drawingml/2006/picture">
                <pic:pic>
                  <pic:nvPicPr>
                    <pic:cNvPr descr="index_files/figure-docx/notebooks-analyses-fig-externalizingbyage-output-1.png" id="49" name="Picture"/>
                    <pic:cNvPicPr>
                      <a:picLocks noChangeArrowheads="1" noChangeAspect="1"/>
                    </pic:cNvPicPr>
                  </pic:nvPicPr>
                  <pic:blipFill>
                    <a:blip r:embed="rId47"/>
                    <a:stretch>
                      <a:fillRect/>
                    </a:stretch>
                  </pic:blipFill>
                  <pic:spPr bwMode="auto">
                    <a:xfrm>
                      <a:off x="0" y="0"/>
                      <a:ext cx="5943600" cy="3962400"/>
                    </a:xfrm>
                    <a:prstGeom prst="rect">
                      <a:avLst/>
                    </a:prstGeom>
                    <a:noFill/>
                    <a:ln w="9525">
                      <a:noFill/>
                      <a:headEnd/>
                      <a:tailEnd/>
                    </a:ln>
                  </pic:spPr>
                </pic:pic>
              </a:graphicData>
            </a:graphic>
          </wp:inline>
        </w:drawing>
      </w:r>
    </w:p>
    <w:bookmarkEnd w:id="50"/>
    <w:p>
      <w:pPr>
        <w:pStyle w:val="FigureWithoutNote"/>
      </w:pPr>
      <w:r>
        <w:rPr>
          <w:vertAlign w:val="subscript"/>
        </w:rPr>
        <w:t xml:space="preserve">Source:</w:t>
      </w:r>
      <w:r>
        <w:rPr>
          <w:vertAlign w:val="subscript"/>
        </w:rPr>
        <w:t xml:space="preserve"> </w:t>
      </w:r>
      <w:hyperlink r:id="rId51">
        <w:r>
          <w:rPr>
            <w:rStyle w:val="Hyperlink"/>
            <w:vertAlign w:val="subscript"/>
          </w:rPr>
          <w:t xml:space="preserve">Analyses</w:t>
        </w:r>
      </w:hyperlink>
    </w:p>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2"/>
    <w:bookmarkStart w:id="70"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56" w:name="fig-longitudinalstudies"/>
    <w:p>
      <w:pPr>
        <w:pStyle w:val="FigureTitle"/>
      </w:pPr>
      <w:r>
        <w:t xml:space="preserve">Figure 3</w:t>
      </w:r>
    </w:p>
    <w:p>
      <w:pPr>
        <w:pStyle w:val="Caption"/>
      </w:pPr>
      <w:r>
        <w:t xml:space="preserve">(Approximate) Ages Spanned by Various Lengthy Longitudinal Studies</w:t>
      </w:r>
    </w:p>
    <w:p>
      <w:pPr>
        <w:pStyle w:val="FigureWithoutNote"/>
      </w:pPr>
      <w:r>
        <w:drawing>
          <wp:inline>
            <wp:extent cx="5943600" cy="6792685"/>
            <wp:effectExtent b="0" l="0" r="0" t="0"/>
            <wp:docPr descr="" title="" id="54" name="Picture"/>
            <a:graphic>
              <a:graphicData uri="http://schemas.openxmlformats.org/drawingml/2006/picture">
                <pic:pic>
                  <pic:nvPicPr>
                    <pic:cNvPr descr="index_files/figure-docx/notebooks-analyses-fig-longitudinalstudies-output-1.png" id="55" name="Picture"/>
                    <pic:cNvPicPr>
                      <a:picLocks noChangeArrowheads="1" noChangeAspect="1"/>
                    </pic:cNvPicPr>
                  </pic:nvPicPr>
                  <pic:blipFill>
                    <a:blip r:embed="rId53"/>
                    <a:stretch>
                      <a:fillRect/>
                    </a:stretch>
                  </pic:blipFill>
                  <pic:spPr bwMode="auto">
                    <a:xfrm>
                      <a:off x="0" y="0"/>
                      <a:ext cx="5943600" cy="6792685"/>
                    </a:xfrm>
                    <a:prstGeom prst="rect">
                      <a:avLst/>
                    </a:prstGeom>
                    <a:noFill/>
                    <a:ln w="9525">
                      <a:noFill/>
                      <a:headEnd/>
                      <a:tailEnd/>
                    </a:ln>
                  </pic:spPr>
                </pic:pic>
              </a:graphicData>
            </a:graphic>
          </wp:inline>
        </w:drawing>
      </w:r>
    </w:p>
    <w:bookmarkEnd w:id="56"/>
    <w:p>
      <w:pPr>
        <w:pStyle w:val="FigureWithoutNote"/>
      </w:pPr>
      <w:r>
        <w:rPr>
          <w:vertAlign w:val="subscript"/>
        </w:rPr>
        <w:t xml:space="preserve">Source:</w:t>
      </w:r>
      <w:r>
        <w:rPr>
          <w:vertAlign w:val="subscript"/>
        </w:rPr>
        <w:t xml:space="preserve"> </w:t>
      </w:r>
      <w:hyperlink r:id="rId57">
        <w:r>
          <w:rPr>
            <w:rStyle w:val="Hyperlink"/>
            <w:vertAlign w:val="subscript"/>
          </w:rPr>
          <w:t xml:space="preserve">Analyses</w:t>
        </w:r>
      </w:hyperlink>
    </w:p>
    <w:bookmarkStart w:id="62" w:name="seminal-longitudinal-studies"/>
    <w:p>
      <w:pPr>
        <w:pStyle w:val="Heading2"/>
      </w:pPr>
      <w:r>
        <w:t xml:space="preserve">Seminal Longitudinal Studies</w:t>
      </w:r>
    </w:p>
    <w:bookmarkStart w:id="58"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58"/>
    <w:bookmarkStart w:id="59"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59"/>
    <w:bookmarkStart w:id="60"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60"/>
    <w:bookmarkStart w:id="61"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61"/>
    <w:bookmarkEnd w:id="62"/>
    <w:bookmarkStart w:id="69"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63"/>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differing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67"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outNote"/>
      </w:pPr>
      <w:r>
        <w:drawing>
          <wp:inline>
            <wp:extent cx="5943600" cy="6792685"/>
            <wp:effectExtent b="0" l="0" r="0" t="0"/>
            <wp:docPr descr="" title="" id="65" name="Picture"/>
            <a:graphic>
              <a:graphicData uri="http://schemas.openxmlformats.org/drawingml/2006/picture">
                <pic:pic>
                  <pic:nvPicPr>
                    <pic:cNvPr descr="index_files/figure-docx/notebooks-analyses-fig-longitudinalexternalizingstudies-output-1.png" id="66" name="Picture"/>
                    <pic:cNvPicPr>
                      <a:picLocks noChangeArrowheads="1" noChangeAspect="1"/>
                    </pic:cNvPicPr>
                  </pic:nvPicPr>
                  <pic:blipFill>
                    <a:blip r:embed="rId64"/>
                    <a:stretch>
                      <a:fillRect/>
                    </a:stretch>
                  </pic:blipFill>
                  <pic:spPr bwMode="auto">
                    <a:xfrm>
                      <a:off x="0" y="0"/>
                      <a:ext cx="5943600" cy="6792685"/>
                    </a:xfrm>
                    <a:prstGeom prst="rect">
                      <a:avLst/>
                    </a:prstGeom>
                    <a:noFill/>
                    <a:ln w="9525">
                      <a:noFill/>
                      <a:headEnd/>
                      <a:tailEnd/>
                    </a:ln>
                  </pic:spPr>
                </pic:pic>
              </a:graphicData>
            </a:graphic>
          </wp:inline>
        </w:drawing>
      </w:r>
    </w:p>
    <w:bookmarkEnd w:id="67"/>
    <w:p>
      <w:pPr>
        <w:pStyle w:val="FigureWithoutNote"/>
      </w:pPr>
      <w:r>
        <w:rPr>
          <w:vertAlign w:val="subscript"/>
        </w:rPr>
        <w:t xml:space="preserve">Source:</w:t>
      </w:r>
      <w:r>
        <w:rPr>
          <w:vertAlign w:val="subscript"/>
        </w:rPr>
        <w:t xml:space="preserve"> </w:t>
      </w:r>
      <w:hyperlink r:id="rId68">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one of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69"/>
    <w:bookmarkEnd w:id="70"/>
    <w:bookmarkStart w:id="97"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79"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74"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72" name="Picture"/>
            <a:graphic>
              <a:graphicData uri="http://schemas.openxmlformats.org/drawingml/2006/picture">
                <pic:pic>
                  <pic:nvPicPr>
                    <pic:cNvPr descr="Figures/Petersen2026_figure1.png" id="73" name="Picture"/>
                    <pic:cNvPicPr>
                      <a:picLocks noChangeArrowheads="1" noChangeAspect="1"/>
                    </pic:cNvPicPr>
                  </pic:nvPicPr>
                  <pic:blipFill>
                    <a:blip r:embed="rId71"/>
                    <a:stretch>
                      <a:fillRect/>
                    </a:stretch>
                  </pic:blipFill>
                  <pic:spPr bwMode="auto">
                    <a:xfrm>
                      <a:off x="0" y="0"/>
                      <a:ext cx="5943600" cy="2377440"/>
                    </a:xfrm>
                    <a:prstGeom prst="rect">
                      <a:avLst/>
                    </a:prstGeom>
                    <a:noFill/>
                    <a:ln w="9525">
                      <a:noFill/>
                      <a:headEnd/>
                      <a:tailEnd/>
                    </a:ln>
                  </pic:spPr>
                </pic:pic>
              </a:graphicData>
            </a:graphic>
          </wp:inline>
        </w:drawing>
      </w:r>
    </w:p>
    <w:bookmarkEnd w:id="74"/>
    <w:p>
      <w:pPr>
        <w:pStyle w:val="Figure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78"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76"/>
      </w:r>
      <w:r>
        <w:t xml:space="preserve">—the diagnostic criteria do not differ across development, even though diagnostic manuals acknowledge that developmental factors impact symptom presentation</w:t>
      </w:r>
      <w:r>
        <w:rPr>
          <w:rStyle w:val="FootnoteReference"/>
        </w:rPr>
        <w:footnoteReference w:id="77"/>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78"/>
    <w:bookmarkEnd w:id="79"/>
    <w:bookmarkStart w:id="96"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86"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80"/>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84"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82" name="Picture"/>
            <a:graphic>
              <a:graphicData uri="http://schemas.openxmlformats.org/drawingml/2006/picture">
                <pic:pic>
                  <pic:nvPicPr>
                    <pic:cNvPr descr="Figures/approachesToLongitudinalAssessment.jpg" id="83" name="Picture"/>
                    <pic:cNvPicPr>
                      <a:picLocks noChangeArrowheads="1" noChangeAspect="1"/>
                    </pic:cNvPicPr>
                  </pic:nvPicPr>
                  <pic:blipFill>
                    <a:blip r:embed="rId81"/>
                    <a:stretch>
                      <a:fillRect/>
                    </a:stretch>
                  </pic:blipFill>
                  <pic:spPr bwMode="auto">
                    <a:xfrm>
                      <a:off x="0" y="0"/>
                      <a:ext cx="5943600" cy="2351289"/>
                    </a:xfrm>
                    <a:prstGeom prst="rect">
                      <a:avLst/>
                    </a:prstGeom>
                    <a:noFill/>
                    <a:ln w="9525">
                      <a:noFill/>
                      <a:headEnd/>
                      <a:tailEnd/>
                    </a:ln>
                  </pic:spPr>
                </pic:pic>
              </a:graphicData>
            </a:graphic>
          </wp:inline>
        </w:drawing>
      </w:r>
    </w:p>
    <w:bookmarkEnd w:id="84"/>
    <w:p>
      <w:pPr>
        <w:pStyle w:val="Figure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5">
        <w:r>
          <w:rPr>
            <w:rStyle w:val="Hyperlink"/>
          </w:rPr>
          <w:t xml:space="preserve">https://doi.org/10.1016/j.jaacop.2025.10.008</w:t>
        </w:r>
      </w:hyperlink>
      <w:r>
        <w:t xml:space="preserve">).</w:t>
      </w: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Moreover, using DSM disorders or diagnoses also does not solve the issue.</w:t>
      </w:r>
      <w:r>
        <w:t xml:space="preserve"> </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r>
        <w:t xml:space="preserve"> </w:t>
      </w:r>
      <w:r>
        <w:t xml:space="preserve"> </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for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86"/>
    <w:bookmarkStart w:id="87"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Moreover, it is important for scores across ages to be on the same apples-to-apples scale to be able to compare scores across ages, as would be valuable even in a cross-sectional study that spans a wide age range, as might be found in an epidemiological study.</w:t>
      </w:r>
    </w:p>
    <w:p>
      <w:pPr>
        <w:pStyle w:val="BodyText"/>
      </w:pP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The lack of scoring tools to link scores from age-differing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87"/>
    <w:bookmarkStart w:id="94"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 [i.e., greater reduction of uncertainty in estimates of a person’s construct level; though there are diminishing returns when using more than six response options;</w:t>
      </w:r>
      <w:r>
        <w:t xml:space="preserve"> </w:t>
      </w:r>
      <w:r>
        <w:t xml:space="preserve">Culpepper (</w:t>
      </w:r>
      <w:hyperlink w:anchor="ref-Culpepper2013">
        <w:r>
          <w:rPr>
            <w:rStyle w:val="Hyperlink"/>
          </w:rPr>
          <w:t xml:space="preserve">2013</w:t>
        </w:r>
      </w:hyperlink>
      <w:r>
        <w:t xml:space="preserve">)</w:t>
      </w:r>
      <w:r>
        <w:t xml:space="preserve">;</w:t>
      </w:r>
      <w:r>
        <w:t xml:space="preserve"> </w:t>
      </w:r>
      <w:r>
        <w:t xml:space="preserve">Simms et al. (</w:t>
      </w:r>
      <w:hyperlink w:anchor="ref-Simms2019">
        <w:r>
          <w:rPr>
            <w:rStyle w:val="Hyperlink"/>
          </w:rPr>
          <w:t xml:space="preserve">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91"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89" name="Picture"/>
            <a:graphic>
              <a:graphicData uri="http://schemas.openxmlformats.org/drawingml/2006/picture">
                <pic:pic>
                  <pic:nvPicPr>
                    <pic:cNvPr descr="Figures/Petersen2026_figure4.png" id="90" name="Picture"/>
                    <pic:cNvPicPr>
                      <a:picLocks noChangeArrowheads="1" noChangeAspect="1"/>
                    </pic:cNvPicPr>
                  </pic:nvPicPr>
                  <pic:blipFill>
                    <a:blip r:embed="rId88"/>
                    <a:stretch>
                      <a:fillRect/>
                    </a:stretch>
                  </pic:blipFill>
                  <pic:spPr bwMode="auto">
                    <a:xfrm>
                      <a:off x="0" y="0"/>
                      <a:ext cx="5943600" cy="3668050"/>
                    </a:xfrm>
                    <a:prstGeom prst="rect">
                      <a:avLst/>
                    </a:prstGeom>
                    <a:noFill/>
                    <a:ln w="9525">
                      <a:noFill/>
                      <a:headEnd/>
                      <a:tailEnd/>
                    </a:ln>
                  </pic:spPr>
                </pic:pic>
              </a:graphicData>
            </a:graphic>
          </wp:inline>
        </w:drawing>
      </w:r>
    </w:p>
    <w:bookmarkEnd w:id="91"/>
    <w:p>
      <w:pPr>
        <w:pStyle w:val="Figure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w:t>
      </w:r>
      <w:r>
        <w:t xml:space="preserve"> </w:t>
      </w:r>
      <w:r>
        <w:t xml:space="preserve">“θ”</w:t>
      </w:r>
      <w:r>
        <w:t xml:space="preserve"> </w:t>
      </w:r>
      <w:r>
        <w:t xml:space="preserve">represents the person’s level on the latent externalizing problems factor. The figure demonstrates that items assessing absolute frequency yield more information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r>
        <w:t xml:space="preserve">).</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Kliem et al., 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Krueger et al., 2005</w:t>
        </w:r>
      </w:hyperlink>
      <w:r>
        <w:t xml:space="preserve">;</w:t>
      </w:r>
      <w:r>
        <w:t xml:space="preserve"> </w:t>
      </w:r>
      <w:hyperlink w:anchor="ref-Krueger2007">
        <w:r>
          <w:rPr>
            <w:rStyle w:val="Hyperlink"/>
          </w:rPr>
          <w:t xml:space="preserve">Krueger et al., 2007</w:t>
        </w:r>
      </w:hyperlink>
      <w:r>
        <w:t xml:space="preserve">;</w:t>
      </w:r>
      <w:r>
        <w:t xml:space="preserve"> </w:t>
      </w:r>
      <w:hyperlink w:anchor="ref-Krueger2021">
        <w:r>
          <w:rPr>
            <w:rStyle w:val="Hyperlink"/>
          </w:rPr>
          <w:t xml:space="preserve">Krueger et al., 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Doing so would help move the field away from a focus of symptoms (and absence of symptoms) and toward consideration of the full range of functioning, including thriving.</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(simultaneously) incompatible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92"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35"/>
        <w:tblLayout w:type="fixed"/>
        <w:tblLook w:firstRow="1" w:lastRow="0" w:firstColumn="0" w:lastColumn="0" w:noHBand="0" w:noVBand="0" w:val="0020"/>
      </w:tblPr>
      <w:tblGrid>
        <w:gridCol w:w="3727"/>
        <w:gridCol w:w="2277"/>
        <w:gridCol w:w="1811"/>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Potential Positive Opposite</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w:t>
            </w:r>
            <w:r>
              <w:t xml:space="preserve"> </w:t>
            </w:r>
            <w:r>
              <w:t xml:space="preserve">self-expression</w:t>
            </w:r>
          </w:p>
        </w:tc>
      </w:tr>
      <w:tr>
        <w:tc>
          <w:tcPr/>
          <w:p>
            <w:pPr>
              <w:pStyle w:val="Compact"/>
              <w:jc w:val="left"/>
            </w:pPr>
            <w:r>
              <w:t xml:space="preserve">Behavioral addiction</w:t>
            </w:r>
          </w:p>
        </w:tc>
        <w:tc>
          <w:tcPr/>
          <w:p>
            <w:pPr>
              <w:pStyle w:val="Compact"/>
              <w:jc w:val="left"/>
            </w:pPr>
            <w:r>
              <w:t xml:space="preserve">Non-substance addictions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engagement/Balanced</w:t>
            </w:r>
            <w:r>
              <w:t xml:space="preserve"> </w:t>
            </w:r>
            <w:r>
              <w:t xml:space="preserve">lifestyle</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feeling like a victim,</w:t>
            </w:r>
            <w:r>
              <w:t xml:space="preserve"> </w:t>
            </w:r>
            <w:r>
              <w:t xml:space="preserve">blaming others</w:t>
            </w:r>
          </w:p>
        </w:tc>
        <w:tc>
          <w:tcPr/>
          <w:p>
            <w:pPr>
              <w:pStyle w:val="Compact"/>
              <w:jc w:val="left"/>
            </w:pPr>
            <w:r>
              <w:t xml:space="preserve">Personal</w:t>
            </w:r>
            <w:r>
              <w:t xml:space="preserve"> </w:t>
            </w:r>
            <w:r>
              <w:t xml:space="preserve">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w:t>
            </w:r>
            <w:r>
              <w:t xml:space="preserve"> </w:t>
            </w:r>
            <w:r>
              <w:t xml:space="preserve">protection/Benevolence</w:t>
            </w:r>
          </w:p>
        </w:tc>
      </w:tr>
      <w:tr>
        <w:tc>
          <w:tcPr/>
          <w:p>
            <w:pPr>
              <w:pStyle w:val="Compact"/>
              <w:jc w:val="left"/>
            </w:pPr>
            <w:r>
              <w:t xml:space="preserve">Callousness/Disregard for others/Low concern/Low</w:t>
            </w:r>
            <w:r>
              <w:t xml:space="preserve"> </w:t>
            </w:r>
            <w:r>
              <w:t xml:space="preserve">empathy/Selfishness/Egocentricity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w:t>
            </w:r>
            <w:r>
              <w:t xml:space="preserve"> </w:t>
            </w:r>
            <w:r>
              <w:t xml:space="preserve">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peers</w:t>
            </w:r>
          </w:p>
        </w:tc>
        <w:tc>
          <w:tcPr/>
          <w:p>
            <w:pPr>
              <w:pStyle w:val="Compact"/>
              <w:jc w:val="left"/>
            </w:pPr>
            <w:r>
              <w:t xml:space="preserve">Affiliating with peer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 frequenct attention shifts</w:t>
            </w:r>
          </w:p>
        </w:tc>
        <w:tc>
          <w:tcPr/>
          <w:p>
            <w:pPr>
              <w:pStyle w:val="Compact"/>
              <w:jc w:val="left"/>
            </w:pPr>
            <w:r>
              <w:t xml:space="preserve">Attentional control/Sustained</w:t>
            </w:r>
            <w:r>
              <w:t xml:space="preserve"> </w:t>
            </w:r>
            <w:r>
              <w:t xml:space="preserve">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pursue new and different</w:t>
            </w:r>
            <w:r>
              <w:t xml:space="preserve"> </w:t>
            </w:r>
            <w:r>
              <w:t xml:space="preserve">sensations, especially intense,</w:t>
            </w:r>
            <w:r>
              <w:t xml:space="preserve"> </w:t>
            </w:r>
            <w:r>
              <w:t xml:space="preserve">exhilerating, thrilling, etc. (e.g., risk</w:t>
            </w:r>
            <w:r>
              <w:t xml:space="preserve"> </w:t>
            </w:r>
            <w:r>
              <w:t xml:space="preserve">taking, preference for novelty, intensity)</w:t>
            </w:r>
          </w:p>
        </w:tc>
        <w:tc>
          <w:tcPr/>
          <w:p>
            <w:pPr>
              <w:pStyle w:val="Compact"/>
              <w:jc w:val="left"/>
            </w:pPr>
            <w:r>
              <w:t xml:space="preserve">Prudent exploration/Measured</w:t>
            </w:r>
            <w:r>
              <w:t xml:space="preserve"> </w:t>
            </w:r>
            <w:r>
              <w:t xml:space="preserve">novelty seeking</w:t>
            </w:r>
          </w:p>
        </w:tc>
      </w:tr>
      <w:tr>
        <w:tc>
          <w:tcPr/>
          <w:p>
            <w:pPr>
              <w:pStyle w:val="Compact"/>
              <w:jc w:val="left"/>
            </w:pPr>
            <w:r>
              <w:t xml:space="preserve">Grandiosity/Overconfidence</w:t>
            </w:r>
          </w:p>
        </w:tc>
        <w:tc>
          <w:tcPr/>
          <w:p>
            <w:pPr>
              <w:pStyle w:val="Compact"/>
              <w:jc w:val="left"/>
            </w:pPr>
            <w:r>
              <w:t xml:space="preserve">Exhaggerated sense of self-importance,</w:t>
            </w:r>
            <w:r>
              <w:t xml:space="preserve"> </w:t>
            </w:r>
            <w:r>
              <w:t xml:space="preserve">sense 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regulation/Calm</w:t>
            </w:r>
            <w:r>
              <w:t xml:space="preserve"> </w:t>
            </w:r>
            <w:r>
              <w:t xml:space="preserve">engagement</w:t>
            </w:r>
          </w:p>
        </w:tc>
      </w:tr>
      <w:tr>
        <w:tc>
          <w:tcPr/>
          <w:p>
            <w:pPr>
              <w:pStyle w:val="Compact"/>
              <w:jc w:val="left"/>
            </w:pPr>
            <w:r>
              <w:t xml:space="preserve">Impulsivity/Disinhibition/Impatient urgency/(Low) Planful control</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w:t>
            </w:r>
          </w:p>
        </w:tc>
        <w:tc>
          <w:tcPr/>
          <w:p>
            <w:pPr>
              <w:pStyle w:val="Compact"/>
              <w:jc w:val="left"/>
            </w:pPr>
            <w:r>
              <w:t xml:space="preserve">Failing to meet obligations, avoiding</w:t>
            </w:r>
            <w:r>
              <w:t xml:space="preserve"> </w:t>
            </w:r>
            <w:r>
              <w:t xml:space="preserve">addressing difficulties</w:t>
            </w:r>
          </w:p>
        </w:tc>
        <w:tc>
          <w:tcPr/>
          <w:p>
            <w:pPr>
              <w:pStyle w:val="Compact"/>
              <w:jc w:val="left"/>
            </w:pPr>
            <w:r>
              <w:t xml:space="preserve">Responsibility/Conscientiousness</w:t>
            </w:r>
          </w:p>
        </w:tc>
      </w:tr>
      <w:tr>
        <w:tc>
          <w:tcPr/>
          <w:p>
            <w:pPr>
              <w:pStyle w:val="Compact"/>
              <w:jc w:val="left"/>
            </w:pPr>
            <w:r>
              <w:t xml:space="preserve">(Low) Dependability</w:t>
            </w:r>
          </w:p>
        </w:tc>
        <w:tc>
          <w:tcPr/>
          <w:p>
            <w:pPr>
              <w:pStyle w:val="Compact"/>
              <w:jc w:val="left"/>
            </w:pPr>
            <w:r>
              <w:t xml:space="preserve">Low reliability, consistency,</w:t>
            </w:r>
            <w:r>
              <w:t xml:space="preserve"> </w:t>
            </w:r>
            <w:r>
              <w:t xml:space="preserve">trustworthiness</w:t>
            </w:r>
          </w:p>
        </w:tc>
        <w:tc>
          <w:tcPr/>
          <w:p>
            <w:pPr>
              <w:pStyle w:val="Compact"/>
              <w:jc w:val="left"/>
            </w:pPr>
            <w:r>
              <w:t xml:space="preserve">Dependability/Reliability</w:t>
            </w:r>
          </w:p>
        </w:tc>
      </w:tr>
      <w:tr>
        <w:tc>
          <w:tcPr/>
          <w:p>
            <w:pPr>
              <w:pStyle w:val="Compact"/>
              <w:jc w:val="left"/>
            </w:pPr>
            <w:r>
              <w:t xml:space="preserve">(Low) Perfectionism/(Dis)organization/(Low) Planning</w:t>
            </w:r>
          </w:p>
        </w:tc>
        <w:tc>
          <w:tcPr/>
          <w:p>
            <w:pPr>
              <w:pStyle w:val="Compact"/>
              <w:jc w:val="left"/>
            </w:pPr>
            <w:r>
              <w:t xml:space="preserve">Unconcerned about achievement, low</w:t>
            </w:r>
            <w:r>
              <w:t xml:space="preserve"> </w:t>
            </w:r>
            <w:r>
              <w:t xml:space="preserve">motivation, lack of organization and</w:t>
            </w:r>
            <w:r>
              <w:t xml:space="preserve"> </w:t>
            </w:r>
            <w:r>
              <w:t xml:space="preserve">planning, doesn’t have to be about school</w:t>
            </w:r>
            <w:r>
              <w:t xml:space="preserve"> </w:t>
            </w:r>
            <w:r>
              <w:t xml:space="preserve">or work</w:t>
            </w:r>
          </w:p>
        </w:tc>
        <w:tc>
          <w:tcPr/>
          <w:p>
            <w:pPr>
              <w:pStyle w:val="Compact"/>
              <w:jc w:val="left"/>
            </w:pPr>
            <w:r>
              <w:t xml:space="preserve">Organization/Diligence</w:t>
            </w:r>
          </w:p>
        </w:tc>
      </w:tr>
      <w:tr>
        <w:tc>
          <w:tcPr/>
          <w:p>
            <w:pPr>
              <w:pStyle w:val="Compact"/>
              <w:jc w:val="left"/>
            </w:pPr>
            <w:r>
              <w:t xml:space="preserve">(Low) Performance Concern/(Low) School/Work Performance/ (Low)</w:t>
            </w:r>
            <w:r>
              <w:t xml:space="preserve"> </w:t>
            </w:r>
            <w:r>
              <w:t xml:space="preserve">Workaholism</w:t>
            </w:r>
          </w:p>
        </w:tc>
        <w:tc>
          <w:tcPr/>
          <w:p>
            <w:pPr>
              <w:pStyle w:val="Compact"/>
              <w:jc w:val="left"/>
            </w:pPr>
            <w:r>
              <w:t xml:space="preserve">Low concern about how one’s abilities or</w:t>
            </w:r>
            <w:r>
              <w:t xml:space="preserve"> </w:t>
            </w:r>
            <w:r>
              <w:t xml:space="preserve">actions are evaluated, specific to contexts</w:t>
            </w:r>
            <w:r>
              <w:t xml:space="preserve"> </w:t>
            </w:r>
            <w:r>
              <w:t xml:space="preserve">in which others have expectations for</w:t>
            </w:r>
            <w:r>
              <w:t xml:space="preserve"> </w:t>
            </w:r>
            <w:r>
              <w:t xml:space="preserve">performance (e.g., school and work),</w:t>
            </w:r>
            <w:r>
              <w:t xml:space="preserve"> </w:t>
            </w:r>
            <w:r>
              <w:t xml:space="preserve">specifically low effort rather than</w:t>
            </w:r>
            <w:r>
              <w:t xml:space="preserve"> </w:t>
            </w:r>
            <w:r>
              <w:t xml:space="preserve">performance; low workaholism</w:t>
            </w:r>
          </w:p>
        </w:tc>
        <w:tc>
          <w:tcPr/>
          <w:p>
            <w:pPr>
              <w:pStyle w:val="Compact"/>
              <w:jc w:val="left"/>
            </w:pPr>
            <w:r>
              <w:t xml:space="preserve">Achievement motivation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w:t>
            </w:r>
            <w:r>
              <w:t xml:space="preserve"> </w:t>
            </w:r>
            <w:r>
              <w:t xml:space="preserve">calibrated)</w:t>
            </w:r>
          </w:p>
        </w:tc>
      </w:tr>
      <w:tr>
        <w:tc>
          <w:tcPr/>
          <w:p>
            <w:pPr>
              <w:pStyle w:val="Compact"/>
              <w:jc w:val="left"/>
            </w:pPr>
            <w:r>
              <w:t xml:space="preserve">Oppositionality/Stubbornness</w:t>
            </w:r>
          </w:p>
        </w:tc>
        <w:tc>
          <w:tcPr/>
          <w:p>
            <w:pPr>
              <w:pStyle w:val="Compact"/>
              <w:jc w:val="left"/>
            </w:pPr>
            <w:r>
              <w:t xml:space="preserve">Persistent and defiant attitude, tendency</w:t>
            </w:r>
            <w:r>
              <w:t xml:space="preserve"> </w:t>
            </w:r>
            <w:r>
              <w:t xml:space="preserve">to 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w:t>
            </w:r>
            <w:r>
              <w:t xml:space="preserve"> </w:t>
            </w:r>
            <w:r>
              <w:t xml:space="preserve">others</w:t>
            </w:r>
          </w:p>
        </w:tc>
      </w:tr>
      <w:tr>
        <w:tc>
          <w:tcPr/>
          <w:p>
            <w:pPr>
              <w:pStyle w:val="Compact"/>
              <w:jc w:val="left"/>
            </w:pPr>
            <w:r>
              <w:t xml:space="preserve">Punishment insensitivity</w:t>
            </w:r>
          </w:p>
        </w:tc>
        <w:tc>
          <w:tcPr/>
          <w:p>
            <w:pPr>
              <w:pStyle w:val="Compact"/>
              <w:jc w:val="left"/>
            </w:pPr>
            <w:r>
              <w:t xml:space="preserve">Doesn’t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w:t>
            </w:r>
            <w:r>
              <w:t xml:space="preserve"> </w:t>
            </w:r>
            <w:r>
              <w:t xml:space="preserve">exclusion, speaking negatively of another,</w:t>
            </w:r>
            <w:r>
              <w:t xml:space="preserve"> </w:t>
            </w:r>
            <w:r>
              <w:t xml:space="preserve">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w:t>
            </w:r>
            <w:r>
              <w:t xml:space="preserve"> </w:t>
            </w:r>
            <w:r>
              <w:t xml:space="preserve">who does not or cannot consent to that</w:t>
            </w:r>
            <w:r>
              <w:t xml:space="preserve"> </w:t>
            </w:r>
            <w:r>
              <w:t xml:space="preserve">behavior, or threatening to do so (e.g.,</w:t>
            </w:r>
            <w:r>
              <w:t xml:space="preserve"> </w:t>
            </w:r>
            <w:r>
              <w:t xml:space="preserve">harrassment)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w:t>
            </w:r>
            <w:r>
              <w:t xml:space="preserve"> </w:t>
            </w:r>
            <w:r>
              <w:t xml:space="preserve">sex 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w:t>
            </w:r>
            <w:r>
              <w:t xml:space="preserve"> </w:t>
            </w:r>
            <w:r>
              <w:t xml:space="preserve">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bookmarkEnd w:id="92"/>
    <w:p>
      <w:pPr>
        <w:pStyle w:val="FigureWithoutNote"/>
      </w:pPr>
      <w:r>
        <w:rPr>
          <w:vertAlign w:val="subscript"/>
        </w:rPr>
        <w:t xml:space="preserve">Source:</w:t>
      </w:r>
      <w:r>
        <w:rPr>
          <w:vertAlign w:val="subscript"/>
        </w:rPr>
        <w:t xml:space="preserve"> </w:t>
      </w:r>
      <w:hyperlink r:id="rId93">
        <w:r>
          <w:rPr>
            <w:rStyle w:val="Hyperlink"/>
            <w:vertAlign w:val="subscript"/>
          </w:rPr>
          <w:t xml:space="preserve">Analyses</w:t>
        </w:r>
      </w:hyperlink>
    </w:p>
    <w:p>
      <w:pPr>
        <w:pStyle w:val="AfterWithoutNote"/>
      </w:pPr>
      <w:r>
        <w:t xml:space="preserve">Because existing measures do not capture the full range of individual differences, this naturally further limits the measures’ sensitivity to detect change (i.e., responsiveness), which is crucial for clinical utility and for longitudinal research.</w:t>
      </w:r>
      <w:r>
        <w:t xml:space="preserve"> </w:t>
      </w:r>
      <w:r>
        <w:t xml:space="preserve">Moreover, it is important for measures not to show restriction of range owing to ceiling or floor effects.</w:t>
      </w:r>
    </w:p>
    <w:bookmarkEnd w:id="94"/>
    <w:bookmarkStart w:id="95"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 of externalizing behavior—and other aspects of psychopathology—have key limitations.</w:t>
      </w:r>
      <w:r>
        <w:t xml:space="preserve"> </w:t>
      </w:r>
      <w:r>
        <w:t xml:space="preserve">To address this concern, the field will need to develop better assessments.</w:t>
      </w:r>
      <w:r>
        <w:t xml:space="preserve"> </w:t>
      </w:r>
      <w:r>
        <w:t xml:space="preserve">Moreover, there are problems with how assessments are used to examine development—studies have primarily used the common items approach or the upward/downward extension approach across ages, which are problematic approaches that lead to inaccurate scores and resulting trajectories and developmental inferences.</w:t>
      </w:r>
      <w:r>
        <w:t xml:space="preserve"> </w:t>
      </w:r>
      <w:r>
        <w:t xml:space="preserve">To address this concern, we propose a potential solution to account for heterotypic continuity and to allow charting individuals’ change across the lifespan: a developmental scaling framework.</w:t>
      </w:r>
    </w:p>
    <w:bookmarkEnd w:id="95"/>
    <w:bookmarkEnd w:id="96"/>
    <w:bookmarkEnd w:id="97"/>
    <w:bookmarkStart w:id="110"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02"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important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1"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99" name="Picture"/>
            <a:graphic>
              <a:graphicData uri="http://schemas.openxmlformats.org/drawingml/2006/picture">
                <pic:pic>
                  <pic:nvPicPr>
                    <pic:cNvPr descr="Figures/constructValidItemDesign.png" id="100" name="Picture"/>
                    <pic:cNvPicPr>
                      <a:picLocks noChangeArrowheads="1" noChangeAspect="1"/>
                    </pic:cNvPicPr>
                  </pic:nvPicPr>
                  <pic:blipFill>
                    <a:blip r:embed="rId98"/>
                    <a:stretch>
                      <a:fillRect/>
                    </a:stretch>
                  </pic:blipFill>
                  <pic:spPr bwMode="auto">
                    <a:xfrm>
                      <a:off x="0" y="0"/>
                      <a:ext cx="5877848" cy="3260034"/>
                    </a:xfrm>
                    <a:prstGeom prst="rect">
                      <a:avLst/>
                    </a:prstGeom>
                    <a:noFill/>
                    <a:ln w="9525">
                      <a:noFill/>
                      <a:headEnd/>
                      <a:tailEnd/>
                    </a:ln>
                  </pic:spPr>
                </pic:pic>
              </a:graphicData>
            </a:graphic>
          </wp:inline>
        </w:drawing>
      </w:r>
    </w:p>
    <w:bookmarkEnd w:id="101"/>
    <w:p>
      <w:pPr>
        <w:pStyle w:val="Figure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bookmarkEnd w:id="102"/>
    <w:bookmarkStart w:id="109"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They attempt to estimate latent variables—using either confirmatory factor analysis (CFA) or IRT—on a common scale across ages.</w:t>
      </w:r>
      <w:r>
        <w:t xml:space="preserve"> </w:t>
      </w:r>
      <w:r>
        <w:t xml:space="preserve"> </w:t>
      </w:r>
      <w:r>
        <w:t xml:space="preserve">They do so by trying to align the item parameters for at least a subset of items.</w:t>
      </w:r>
      <w:r>
        <w:t xml:space="preserve"> </w:t>
      </w:r>
      <w:r>
        <w:t xml:space="preserve">In particular, 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the child hits others would have a stronger factor loading on an externalizing factor than an item assessing the extent to which the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the child sets fires would be expected to have a lower intercept than an item assessing the extent to which the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different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p>
      <w:pPr>
        <w:pStyle w:val="BodyText"/>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03"/>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factors loadings and/or intercepts and which items show noninvariant factor loadings or intercepts.</w:t>
      </w:r>
      <w:r>
        <w:t xml:space="preserve"> </w:t>
      </w:r>
      <w:r>
        <w:t xml:space="preserve">The researcher then constrains the factors loadings across time for any items with invariant factor loadings, to serve as anchor items and establish an equivalent scale of the measures across time, and allows the factor loadings to differ across time for the items with noninvariant factors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r>
        <w:t xml:space="preserve"> </w:t>
      </w: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DIF as a function of multiple variables or continuous variables</w:t>
      </w:r>
      <w:r>
        <w:t xml:space="preserve"> </w:t>
      </w:r>
      <w:r>
        <w:t xml:space="preserve">(</w:t>
      </w:r>
      <w:hyperlink w:anchor="ref-ChenPM">
        <w:r>
          <w:rPr>
            <w:rStyle w:val="Hyperlink"/>
          </w:rPr>
          <w:t xml:space="preserve">S. M. Chen &amp; Bauer, in pressb</w:t>
        </w:r>
      </w:hyperlink>
      <w:r>
        <w:t xml:space="preserve">)</w:t>
      </w:r>
      <w:r>
        <w:t xml:space="preserve">.</w:t>
      </w:r>
    </w:p>
    <w:p>
      <w:pPr>
        <w:pStyle w:val="BodyText"/>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Using regularization, unimportant DIF effects are shunken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In addition, Bayesian approaches are often better suited to handle small sample sizes and data with sparse responses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Using a simulation,</w:t>
      </w:r>
      <w:r>
        <w:t xml:space="preserve"> </w:t>
      </w:r>
      <w:r>
        <w:t xml:space="preserve">S. M. Chen and Bauer (</w:t>
      </w:r>
      <w:hyperlink w:anchor="ref-ChenMBR">
        <w:r>
          <w:rPr>
            <w:rStyle w:val="Hyperlink"/>
          </w:rPr>
          <w:t xml:space="preserve">in pressa</w:t>
        </w:r>
      </w:hyperlink>
      <w:r>
        <w:t xml:space="preserve">)</w:t>
      </w:r>
      <w:r>
        <w:t xml:space="preserve"> </w:t>
      </w:r>
      <w:r>
        <w:t xml:space="preserve">found that MNLFA estimated change more accurately than traditional first- or second-order growth curve models.</w:t>
      </w:r>
    </w:p>
    <w:p>
      <w:pPr>
        <w:pStyle w:val="BodyText"/>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developmetal scaling is depicted in</w:t>
      </w:r>
      <w:r>
        <w:t xml:space="preserve"> </w:t>
      </w:r>
      <w:hyperlink w:anchor="fig-linking">
        <w:r>
          <w:rPr>
            <w:rStyle w:val="Hyperlink"/>
          </w:rPr>
          <w:t xml:space="preserve">Figure 9</w:t>
        </w:r>
      </w:hyperlink>
      <w:r>
        <w:t xml:space="preserve">.</w:t>
      </w:r>
      <w:r>
        <w:t xml:space="preserve"> </w:t>
      </w:r>
      <w:r>
        <w:t xml:space="preserve"> </w:t>
      </w:r>
      <w:r>
        <w:t xml:space="preserve">The IRT approach to developmental scaling identifies scaling parameters that minimize the differences between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is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regularizizing priors to identify anchor items without having to specify them in advance.</w:t>
      </w:r>
    </w:p>
    <w:bookmarkStart w:id="107"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05" name="Picture"/>
            <a:graphic>
              <a:graphicData uri="http://schemas.openxmlformats.org/drawingml/2006/picture">
                <pic:pic>
                  <pic:nvPicPr>
                    <pic:cNvPr descr="Figures/Petersen2021_figure1.png" id="106" name="Picture"/>
                    <pic:cNvPicPr>
                      <a:picLocks noChangeArrowheads="1" noChangeAspect="1"/>
                    </pic:cNvPicPr>
                  </pic:nvPicPr>
                  <pic:blipFill>
                    <a:blip r:embed="rId104"/>
                    <a:stretch>
                      <a:fillRect/>
                    </a:stretch>
                  </pic:blipFill>
                  <pic:spPr bwMode="auto">
                    <a:xfrm>
                      <a:off x="0" y="0"/>
                      <a:ext cx="5503598" cy="3669065"/>
                    </a:xfrm>
                    <a:prstGeom prst="rect">
                      <a:avLst/>
                    </a:prstGeom>
                    <a:noFill/>
                    <a:ln w="9525">
                      <a:noFill/>
                      <a:headEnd/>
                      <a:tailEnd/>
                    </a:ln>
                  </pic:spPr>
                </pic:pic>
              </a:graphicData>
            </a:graphic>
          </wp:inline>
        </w:drawing>
      </w:r>
    </w:p>
    <w:bookmarkEnd w:id="107"/>
    <w:p>
      <w:pPr>
        <w:pStyle w:val="Figure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08">
        <w:r>
          <w:rPr>
            <w:rStyle w:val="Hyperlink"/>
          </w:rPr>
          <w:t xml:space="preserve">https://doi.org/10.1037/edu0000461</w:t>
        </w:r>
      </w:hyperlink>
      <w:r>
        <w:t xml:space="preserve">).</w:t>
      </w: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pressb</w:t>
        </w:r>
      </w:hyperlink>
      <w:r>
        <w:t xml:space="preserve">)</w:t>
      </w:r>
      <w:r>
        <w:t xml:space="preserve">.</w:t>
      </w:r>
    </w:p>
    <w:bookmarkEnd w:id="109"/>
    <w:bookmarkEnd w:id="110"/>
    <w:bookmarkStart w:id="126" w:name="other-key-challenges-to-address"/>
    <w:p>
      <w:pPr>
        <w:pStyle w:val="Heading1"/>
      </w:pPr>
      <w:r>
        <w:t xml:space="preserve">Other Key Challenges to Address</w:t>
      </w:r>
    </w:p>
    <w:bookmarkStart w:id="121" w:name="sec-potential-confounds-of-change"/>
    <w:p>
      <w:pPr>
        <w:pStyle w:val="Heading2"/>
      </w:pPr>
      <w:r>
        <w:t xml:space="preserve">Potential Confounds of Change</w:t>
      </w:r>
    </w:p>
    <w:p>
      <w:pPr>
        <w:pStyle w:val="FirstParagraph"/>
      </w:pPr>
      <w:r>
        <w:t xml:space="preserve">It is also important for longitudinal research to consider and, to the extent possible, account for potential confounds of change, such as practice effects, period and cohort effects, measurement error, selective attrition, and changes in the meaning of the scores</w:t>
      </w:r>
      <w:r>
        <w:t xml:space="preserve"> </w:t>
      </w:r>
      <w:r>
        <w:t xml:space="preserve">(</w:t>
      </w:r>
      <w:hyperlink w:anchor="ref-Hertzog2003">
        <w:r>
          <w:rPr>
            <w:rStyle w:val="Hyperlink"/>
          </w:rPr>
          <w:t xml:space="preserve">Hertzog &amp; Nesselroade, 2003</w:t>
        </w:r>
      </w:hyperlink>
      <w:r>
        <w:t xml:space="preserve">)</w:t>
      </w:r>
      <w:r>
        <w:t xml:space="preserve">.</w:t>
      </w:r>
      <w:r>
        <w:t xml:space="preserve"> </w:t>
      </w:r>
      <w:r>
        <w:t xml:space="preserve">By confound of change, we mean that such effects can make it appear that people have changed in their level on the construct when, it reality, they have not changed (or vice versa).</w:t>
      </w:r>
    </w:p>
    <w:bookmarkStart w:id="111" w:name="practiceretest-effects"/>
    <w:p>
      <w:pPr>
        <w:pStyle w:val="Heading3"/>
      </w:pPr>
      <w:r>
        <w:t xml:space="preserve">Practice/Retest Effects</w:t>
      </w:r>
    </w:p>
    <w:p>
      <w:pPr>
        <w:pStyle w:val="FirstParagraph"/>
      </w:pPr>
      <w:r>
        <w:t xml:space="preserve">Practice effects (also called retest effects) occur to the extent that a person’s score changes due to repeated assessment rather than due to changes in their construct level.</w:t>
      </w:r>
      <w:r>
        <w:t xml:space="preserve"> </w:t>
      </w:r>
      <w:r>
        <w:t xml:space="preserve">For instance, if researchers intend to study people’s intelligence across development and they use the same measure and stimuli at each measurement occasion, it is possible that people may perform better over time because they are learning the task and thus improving their score—even if their intelligence has not changed.</w:t>
      </w:r>
      <w:r>
        <w:t xml:space="preserve"> </w:t>
      </w:r>
      <w:r>
        <w:t xml:space="preserve">In a longitudinal study of externalizing problems using repeated surveys, retest effects might be most likely be detected in the form of decreases for a person across ages, which may reflect fatigue in reporting</w:t>
      </w:r>
      <w:r>
        <w:t xml:space="preserve"> </w:t>
      </w:r>
      <w:r>
        <w:t xml:space="preserve">(</w:t>
      </w:r>
      <w:hyperlink w:anchor="ref-Averdijk2014">
        <w:r>
          <w:rPr>
            <w:rStyle w:val="Hyperlink"/>
          </w:rPr>
          <w:t xml:space="preserve">Averdijk, 2014</w:t>
        </w:r>
      </w:hyperlink>
      <w:r>
        <w:t xml:space="preserve">)</w:t>
      </w:r>
      <w:r>
        <w:t xml:space="preserve">.</w:t>
      </w:r>
      <w:r>
        <w:t xml:space="preserve"> </w:t>
      </w:r>
      <w:r>
        <w:t xml:space="preserve">Lower ratings for an individual across time may be especially likely if the surveys include branching logic such that the respondent learns that additional items appear whenever they endorse an item (and that the additional items would not have appeared had they not endorsed the item).</w:t>
      </w:r>
      <w:r>
        <w:t xml:space="preserve"> </w:t>
      </w:r>
      <w:r>
        <w:t xml:space="preserve">Ways to reduce retest effects include changing the measure and/or stimuli</w:t>
      </w:r>
      <w:r>
        <w:t xml:space="preserve"> </w:t>
      </w:r>
      <w:r>
        <w:t xml:space="preserve">(</w:t>
      </w:r>
      <w:hyperlink w:anchor="ref-Tyrell2019">
        <w:r>
          <w:rPr>
            <w:rStyle w:val="Hyperlink"/>
          </w:rPr>
          <w:t xml:space="preserve">Tyrell et al., 2019</w:t>
        </w:r>
      </w:hyperlink>
      <w:r>
        <w:t xml:space="preserve">)</w:t>
      </w:r>
      <w:r>
        <w:t xml:space="preserve"> </w:t>
      </w:r>
      <w:r>
        <w:t xml:space="preserve">and increasing the retest interval.</w:t>
      </w:r>
      <w:r>
        <w:t xml:space="preserve"> </w:t>
      </w:r>
      <w:r>
        <w:t xml:space="preserve">Thus, an added benefit of accounting for heterotypic continuity (by changing the measure across development to align with changes in the construct manifestation) is the reduction of retest effects.</w:t>
      </w:r>
      <w:r>
        <w:t xml:space="preserve"> </w:t>
      </w:r>
      <w:r>
        <w:t xml:space="preserve">A way to account for retest effects is through the use of accelerated longitudinal (i.e., cross-sequential) designs that can separately estimate the effects of age versus timepoint because, unlike in a single-cohort longitudinal design, age and timepoint are decoupled</w:t>
      </w:r>
      <w:r>
        <w:t xml:space="preserve"> </w:t>
      </w:r>
      <w:r>
        <w:t xml:space="preserve">(</w:t>
      </w:r>
      <w:hyperlink w:anchor="ref-Ferrer2004">
        <w:r>
          <w:rPr>
            <w:rStyle w:val="Hyperlink"/>
          </w:rPr>
          <w:t xml:space="preserve">Ferrer et al., 2004</w:t>
        </w:r>
      </w:hyperlink>
      <w:r>
        <w:t xml:space="preserve">)</w:t>
      </w:r>
      <w:r>
        <w:t xml:space="preserve">.</w:t>
      </w:r>
    </w:p>
    <w:bookmarkEnd w:id="111"/>
    <w:bookmarkStart w:id="117" w:name="period-and-cohort-effects"/>
    <w:p>
      <w:pPr>
        <w:pStyle w:val="Heading3"/>
      </w:pPr>
      <w:r>
        <w:t xml:space="preserve">Period and Cohort Effects</w:t>
      </w:r>
    </w:p>
    <w:p>
      <w:pPr>
        <w:pStyle w:val="FirstParagraph"/>
      </w:pPr>
      <w:r>
        <w:t xml:space="preserve">Researchers are commonly interested in how people develop as a function of age.</w:t>
      </w:r>
      <w:r>
        <w:t xml:space="preserve"> </w:t>
      </w:r>
      <w:r>
        <w:t xml:space="preserve">Age refers to a person’s chronological age at the time of measurement.</w:t>
      </w:r>
      <w:r>
        <w:t xml:space="preserve"> </w:t>
      </w:r>
      <w:r>
        <w:t xml:space="preserve">Age is a proxy for development—a stand-in for the myriad ways one’s biology and social roles—and one’s corresponding employment, income, and family structure—change as people age</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However, apparent age-related differences in a cross-sectional or longitudinal study could reflect period or cohort effects instead of development.</w:t>
      </w:r>
      <w:r>
        <w:t xml:space="preserve"> </w:t>
      </w:r>
      <w:r>
        <w:t xml:space="preserve">Thus, it is important to consider and, to the extent possible, account for period and cohort effects.</w:t>
      </w:r>
    </w:p>
    <w:p>
      <w:pPr>
        <w:pStyle w:val="BodyText"/>
      </w:pPr>
      <w:r>
        <w:t xml:space="preserve">Period refers to the historical time at which measurement occurs.</w:t>
      </w:r>
      <w:r>
        <w:t xml:space="preserve"> </w:t>
      </w:r>
      <w:r>
        <w:t xml:space="preserve">If a group of people are assessed during a given time period (e.g., during a war, recession, pandemic, or stressor), their scores could be influenced by the historical time period.</w:t>
      </w:r>
      <w:r>
        <w:t xml:space="preserve"> </w:t>
      </w:r>
      <w:r>
        <w:t xml:space="preserve">The extent to which scores are attributable to the time period (e.g., the economic situation or prevailing standard of living) in which they are assessed is called a period effect.</w:t>
      </w:r>
    </w:p>
    <w:p>
      <w:pPr>
        <w:pStyle w:val="BodyText"/>
      </w:pPr>
      <w:r>
        <w:t xml:space="preserve">Cohort refers to a group of people who experience similar events or historical contexts at similar ages.</w:t>
      </w:r>
      <w:r>
        <w:t xml:space="preserve"> </w:t>
      </w:r>
      <w:r>
        <w:t xml:space="preserve">Cohort commonly refers to birth cohort, which represents the group of people who were born around the same time.</w:t>
      </w:r>
      <w:r>
        <w:t xml:space="preserve"> </w:t>
      </w:r>
      <w:r>
        <w:t xml:space="preserve">If a group of people were born around the same time (e.g., in 1940), their scores may differ from those of people born in other eras because they experienced different historical, social, educational, economic, or technological contexts during development.</w:t>
      </w:r>
      <w:r>
        <w:t xml:space="preserve"> </w:t>
      </w:r>
      <w:r>
        <w:t xml:space="preserve">The extent to which scores are attributable to an individual’s birth cohort is called a cohort effect—that is,</w:t>
      </w:r>
      <w:r>
        <w:t xml:space="preserve"> </w:t>
      </w:r>
      <w:r>
        <w:t xml:space="preserve">“the (enduring, constant) effects of having been a certain age at a certain point in historic time.”</w:t>
      </w:r>
      <w:r>
        <w:t xml:space="preserve"> </w:t>
      </w:r>
      <w:r>
        <w:t xml:space="preserve">(</w:t>
      </w:r>
      <w:hyperlink w:anchor="ref-Rohrer2025">
        <w:r>
          <w:rPr>
            <w:rStyle w:val="Hyperlink"/>
          </w:rPr>
          <w:t xml:space="preserve">Rohrer, 2025, p. 2</w:t>
        </w:r>
      </w:hyperlink>
      <w:r>
        <w:t xml:space="preserve">)</w:t>
      </w:r>
      <w:r>
        <w:t xml:space="preserve">.</w:t>
      </w:r>
      <w:r>
        <w:t xml:space="preserve"> </w:t>
      </w:r>
      <w:r>
        <w:t xml:space="preserve">Period and cohort—like age—are proxy variables for other, causal processes.</w:t>
      </w:r>
    </w:p>
    <w:p>
      <w:pPr>
        <w:pStyle w:val="BodyText"/>
      </w:pPr>
      <w:r>
        <w:t xml:space="preserve">Part of the challenge of estimating the unique contributions of age, period, and cohort is that they are deterministically related.</w:t>
      </w:r>
      <w:r>
        <w:t xml:space="preserve"> </w:t>
      </w:r>
      <w:r>
        <w:t xml:space="preserve">If you know two of these (e.g., age and period), you can determine the third (e.g., cohort).</w:t>
      </w:r>
      <w:r>
        <w:t xml:space="preserve"> </w:t>
      </w:r>
      <w:r>
        <w:t xml:space="preserve">That is,</w:t>
      </w:r>
      <w:r>
        <w:t xml:space="preserve"> </w:t>
      </w:r>
      <m:oMath>
        <m:r>
          <m:rPr>
            <m:nor/>
            <m:sty m:val="p"/>
          </m:rPr>
          <m:t>age</m:t>
        </m:r>
        <m:r>
          <m:rPr>
            <m:sty m:val="p"/>
          </m:rPr>
          <m:t>=</m:t>
        </m:r>
        <m:r>
          <m:rPr>
            <m:nor/>
            <m:sty m:val="p"/>
          </m:rPr>
          <m:t>period</m:t>
        </m:r>
        <m:r>
          <m:rPr>
            <m:sty m:val="p"/>
          </m:rPr>
          <m:t>−</m:t>
        </m:r>
        <m:r>
          <m:rPr>
            <m:nor/>
            <m:sty m:val="p"/>
          </m:rPr>
          <m:t>cohort</m:t>
        </m:r>
      </m:oMath>
      <w:r>
        <w:t xml:space="preserve">.</w:t>
      </w:r>
    </w:p>
    <w:p>
      <w:pPr>
        <w:pStyle w:val="BodyText"/>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r>
        <w:t xml:space="preserve"> </w:t>
      </w:r>
      <w:r>
        <w:t xml:space="preserve">In a cross-sectional study, any age-related differences are confounded with cohort differences.</w:t>
      </w:r>
      <w:r>
        <w:t xml:space="preserve"> </w:t>
      </w:r>
      <w:r>
        <w:t xml:space="preserve">Thus, age-related differences in a cross-sectional study may not reflect development.</w:t>
      </w:r>
      <w:r>
        <w:t xml:space="preserve"> </w:t>
      </w:r>
      <w:r>
        <w:t xml:space="preserve">In a single-cohort longitudinal design, any observed changes with age could be due to period effects (rather than developmental change associated with aging) or could be specific to that cohort.</w:t>
      </w:r>
      <w:r>
        <w:t xml:space="preserve"> </w:t>
      </w:r>
      <w:r>
        <w:t xml:space="preserve">To combat these limitations, studies may employ longitudinal sequential designs that incorporate multiple cohorts, such as time-sequential, cross-sequential, or cohort-sequential designs.</w:t>
      </w:r>
      <w:r>
        <w:t xml:space="preserve"> </w:t>
      </w:r>
      <w:r>
        <w:t xml:space="preserve">For instance, a cross-sequential study (also called accelerated longitudinal study) starts as a cross-sectional study with participants from multiple cohorts, and then follows the participants longitudinally.</w:t>
      </w:r>
      <w:r>
        <w:t xml:space="preserve"> </w:t>
      </w:r>
      <w:r>
        <w:t xml:space="preserve">In a cohort-sequential design, multiple cohorts enter the study at the same age (e.g., age 22) and are then followed longitudinally (typically across the same duration and ages), like starting a longitudinal study at the same age over and over again.</w:t>
      </w:r>
      <w:r>
        <w:t xml:space="preserve"> </w:t>
      </w:r>
      <w:r>
        <w:t xml:space="preserve">A time-sequential design is an extension of a time-lag design.</w:t>
      </w:r>
      <w:r>
        <w:t xml:space="preserve"> </w:t>
      </w:r>
      <w:r>
        <w:t xml:space="preserve">A time-lag design assesses multiple cohorts at the same age (e.g., age 12).</w:t>
      </w:r>
      <w:r>
        <w:t xml:space="preserve"> </w:t>
      </w:r>
      <w:r>
        <w:t xml:space="preserve">A time-sequential design adds age groups to a time-lag design, repeatedly assessing the same age range (e.g., ages 12–18), with some participants followed longitudinally.</w:t>
      </w:r>
    </w:p>
    <w:bookmarkStart w:id="115"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13" name="Picture"/>
            <a:graphic>
              <a:graphicData uri="http://schemas.openxmlformats.org/drawingml/2006/picture">
                <pic:pic>
                  <pic:nvPicPr>
                    <pic:cNvPr descr="Figures/longitudinalDesigns.png" id="114" name="Picture"/>
                    <pic:cNvPicPr>
                      <a:picLocks noChangeArrowheads="1" noChangeAspect="1"/>
                    </pic:cNvPicPr>
                  </pic:nvPicPr>
                  <pic:blipFill>
                    <a:blip r:embed="rId112"/>
                    <a:stretch>
                      <a:fillRect/>
                    </a:stretch>
                  </pic:blipFill>
                  <pic:spPr bwMode="auto">
                    <a:xfrm>
                      <a:off x="0" y="0"/>
                      <a:ext cx="5943600" cy="6619717"/>
                    </a:xfrm>
                    <a:prstGeom prst="rect">
                      <a:avLst/>
                    </a:prstGeom>
                    <a:noFill/>
                    <a:ln w="9525">
                      <a:noFill/>
                      <a:headEnd/>
                      <a:tailEnd/>
                    </a:ln>
                  </pic:spPr>
                </pic:pic>
              </a:graphicData>
            </a:graphic>
          </wp:inline>
        </w:drawing>
      </w:r>
    </w:p>
    <w:bookmarkEnd w:id="115"/>
    <w:p>
      <w:pPr>
        <w:pStyle w:val="Figure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16">
        <w:r>
          <w:rPr>
            <w:rStyle w:val="Hyperlink"/>
          </w:rPr>
          <w:t xml:space="preserve">https://doi.org/10.25820/work.007199</w:t>
        </w:r>
      </w:hyperlink>
      <w:r>
        <w:t xml:space="preserve">). Although the depictions of cohort-sequential and cross-sequential designs differ from the depictions by</w:t>
      </w:r>
      <w:r>
        <w:t xml:space="preserve"> </w:t>
      </w:r>
      <w:r>
        <w:t xml:space="preserve">Schaie (</w:t>
      </w:r>
      <w:hyperlink w:anchor="ref-Schaie2005">
        <w:r>
          <w:rPr>
            <w:rStyle w:val="Hyperlink"/>
          </w:rPr>
          <w:t xml:space="preserve">2005</w:t>
        </w:r>
      </w:hyperlink>
      <w:r>
        <w:t xml:space="preserve">)</w:t>
      </w:r>
      <w:r>
        <w:t xml:space="preserve"> </w:t>
      </w:r>
      <w:r>
        <w:t xml:space="preserve">(i.e., they are reversed), they are consistent with contemporary definitions of these designs</w:t>
      </w:r>
      <w:r>
        <w:t xml:space="preserve"> </w:t>
      </w:r>
      <w:r>
        <w:t xml:space="preserve">(</w:t>
      </w:r>
      <w:hyperlink w:anchor="ref-Little2024">
        <w:r>
          <w:rPr>
            <w:rStyle w:val="Hyperlink"/>
          </w:rPr>
          <w:t xml:space="preserve">Little, 2024</w:t>
        </w:r>
      </w:hyperlink>
      <w:r>
        <w:t xml:space="preserve">;</w:t>
      </w:r>
      <w:r>
        <w:t xml:space="preserve"> </w:t>
      </w:r>
      <w:hyperlink w:anchor="ref-Masche2004">
        <w:r>
          <w:rPr>
            <w:rStyle w:val="Hyperlink"/>
          </w:rPr>
          <w:t xml:space="preserve">Masche &amp; Dulmen, 2004</w:t>
        </w:r>
      </w:hyperlink>
      <w:r>
        <w:t xml:space="preserve">;</w:t>
      </w:r>
      <w:r>
        <w:t xml:space="preserve"> </w:t>
      </w:r>
      <w:hyperlink w:anchor="ref-Whitbourne2019">
        <w:r>
          <w:rPr>
            <w:rStyle w:val="Hyperlink"/>
          </w:rPr>
          <w:t xml:space="preserve">Whitbourne, 2019</w:t>
        </w:r>
      </w:hyperlink>
      <w:r>
        <w:t xml:space="preserve">)</w:t>
      </w:r>
      <w:r>
        <w:t xml:space="preserve">.</w:t>
      </w:r>
    </w:p>
    <w:p>
      <w:pPr>
        <w:pStyle w:val="BodyText"/>
      </w:pPr>
      <w:r>
        <w:t xml:space="preserve">Longitudinal sequential designs provide greater leverage for distinguishing age, period, and cohort influences by collecting information from multiple cohorts at multiple periods and ages.</w:t>
      </w:r>
      <w:r>
        <w:t xml:space="preserve"> </w:t>
      </w:r>
      <w:r>
        <w:t xml:space="preserve">Nevertheless, they do not completely eliminate the confounding between age, period, and cohort</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No research design can fully disentangle age, period, and cohort effects.</w:t>
      </w:r>
      <w:r>
        <w:t xml:space="preserve"> </w:t>
      </w:r>
      <w:r>
        <w:t xml:space="preserve">Confidence that observed age-related differences reflect developmental change increases when there is converging evidence across multiple research designs.</w:t>
      </w:r>
      <w:r>
        <w:t xml:space="preserve"> </w:t>
      </w:r>
      <w:r>
        <w:t xml:space="preserve">However, there may be ways in a given study of accounting for period or cohort effects.</w:t>
      </w:r>
      <w:r>
        <w:t xml:space="preserve"> </w:t>
      </w:r>
      <w:r>
        <w:t xml:space="preserve">For instance, in an accelerated longitudinal study, it would be valuable to evaluate the extent to which the differing cohorts are comparable—i.e., that they show similar scores at the same ages.</w:t>
      </w:r>
      <w:r>
        <w:t xml:space="preserve"> </w:t>
      </w:r>
      <w:r>
        <w:t xml:space="preserve">Moreover, there is an entire set of analytic approaches, known as age-period-cohort analysis</w:t>
      </w:r>
      <w:r>
        <w:t xml:space="preserve"> </w:t>
      </w:r>
      <w:r>
        <w:t xml:space="preserve">(</w:t>
      </w:r>
      <w:hyperlink w:anchor="ref-Yang2013">
        <w:r>
          <w:rPr>
            <w:rStyle w:val="Hyperlink"/>
          </w:rPr>
          <w:t xml:space="preserve">Yang &amp; Land, 2013</w:t>
        </w:r>
      </w:hyperlink>
      <w:r>
        <w:t xml:space="preserve">)</w:t>
      </w:r>
      <w:r>
        <w:t xml:space="preserve">, whose goal is to disentangle the effects of age, period, and cohort.</w:t>
      </w:r>
      <w:r>
        <w:t xml:space="preserve"> </w:t>
      </w:r>
      <w:r>
        <w:t xml:space="preserve">Rohrer (</w:t>
      </w:r>
      <w:hyperlink w:anchor="ref-Rohrer2025">
        <w:r>
          <w:rPr>
            <w:rStyle w:val="Hyperlink"/>
          </w:rPr>
          <w:t xml:space="preserve">2025</w:t>
        </w:r>
      </w:hyperlink>
      <w:r>
        <w:t xml:space="preserve">)</w:t>
      </w:r>
      <w:r>
        <w:t xml:space="preserve"> </w:t>
      </w:r>
      <w:r>
        <w:t xml:space="preserve">provides additional suggestions for considering age, period, and cohort effects.</w:t>
      </w:r>
    </w:p>
    <w:bookmarkEnd w:id="117"/>
    <w:bookmarkStart w:id="118" w:name="measurement-error"/>
    <w:p>
      <w:pPr>
        <w:pStyle w:val="Heading3"/>
      </w:pPr>
      <w:r>
        <w:t xml:space="preserve">Measurement Error</w:t>
      </w:r>
    </w:p>
    <w:p>
      <w:pPr>
        <w:pStyle w:val="FirstParagraph"/>
      </w:pPr>
      <w:r>
        <w:t xml:space="preserve">Measurement error is another potential confound of change that can make it look like change has occurred when, in reality, change has not occurred.</w:t>
      </w:r>
      <w:r>
        <w:t xml:space="preserve"> </w:t>
      </w:r>
      <w:r>
        <w:t xml:space="preserve">Consider the difference between scores at two measurement occasions, a so called</w:t>
      </w:r>
      <w:r>
        <w:t xml:space="preserve"> </w:t>
      </w:r>
      <w:r>
        <w:t xml:space="preserve">“difference score”</w:t>
      </w:r>
      <w:r>
        <w:t xml:space="preserve">, which is a common way of examining change.</w:t>
      </w:r>
      <w:r>
        <w:t xml:space="preserve"> </w:t>
      </w:r>
      <w:r>
        <w:t xml:space="preserve">Difference scores are notoriously unreliable.</w:t>
      </w:r>
      <w:r>
        <w:t xml:space="preserve"> </w:t>
      </w:r>
      <w:r>
        <w:t xml:space="preserve">Difference scores tend to be lower in reliability than each of the indices that compose it, especially when the two indexes are correlated because differences depend on the reliability of both indices in the subtraction</w:t>
      </w:r>
      <w:r>
        <w:t xml:space="preserve"> </w:t>
      </w:r>
      <w:r>
        <w:t xml:space="preserve">(</w:t>
      </w:r>
      <w:hyperlink w:anchor="ref-Revelle2019">
        <w:r>
          <w:rPr>
            <w:rStyle w:val="Hyperlink"/>
          </w:rPr>
          <w:t xml:space="preserve">Revelle &amp; Condon, 2019</w:t>
        </w:r>
      </w:hyperlink>
      <w:r>
        <w:t xml:space="preserve">)</w:t>
      </w:r>
      <w:r>
        <w:t xml:space="preserve">.</w:t>
      </w:r>
      <w:r>
        <w:t xml:space="preserve"> </w:t>
      </w:r>
      <w:r>
        <w:t xml:space="preserve">To be reliable, difference scores require high reliability of the individual indices compared to the correlation between them.</w:t>
      </w:r>
      <w:r>
        <w:t xml:space="preserve"> </w:t>
      </w:r>
      <w:r>
        <w:t xml:space="preserve">That is, the more two things are the same thing, the more likely that subtracting one from the other leaves measurement error rather than construct variance.</w:t>
      </w:r>
      <w:r>
        <w:t xml:space="preserve"> </w:t>
      </w:r>
      <w:r>
        <w:t xml:space="preserve">Ways of accounting for (random) measurement error include (a) combining multiple measures in estimation of a latent variable and (b) using growth curve models with at least three timepoints to estimate model-implied trajectories and reduce the influence of occasion-specific random error.</w:t>
      </w:r>
    </w:p>
    <w:p>
      <w:pPr>
        <w:pStyle w:val="BodyText"/>
      </w:pPr>
      <w:r>
        <w:t xml:space="preserve">In general, the inference of change is strengthened to the extent that: (a) the magnitude of the difference between the scores at the time points is large (i.e., a large effect size), (b) the measurement error (unreliability) at each time point is small, (c) the measure has the same meaning and is on a comparable scale at each time point, and (d) evidence suggests that the differences across time are not likely to be due to potential confounds of change such as practice effects, cohort effects, period effects, or selective attrition.</w:t>
      </w:r>
    </w:p>
    <w:bookmarkEnd w:id="118"/>
    <w:bookmarkStart w:id="119" w:name="selective-missingness-and-attrition"/>
    <w:p>
      <w:pPr>
        <w:pStyle w:val="Heading3"/>
      </w:pPr>
      <w:r>
        <w:t xml:space="preserve">Selective Missingness and Attrition</w:t>
      </w:r>
    </w:p>
    <w:p>
      <w:pPr>
        <w:pStyle w:val="FirstParagraph"/>
      </w:pPr>
      <w:r>
        <w:t xml:space="preserve">Another potential confound of change is selective (or systematic) missingness or attrition.</w:t>
      </w:r>
      <w:r>
        <w:t xml:space="preserve"> </w:t>
      </w:r>
      <w:r>
        <w:t xml:space="preserve">If people who drop out of a longitudinal study differ in systematic ways from those who are retained, inferences about growth patterns and about associations with growth parameters can be biased.</w:t>
      </w:r>
      <w:r>
        <w:t xml:space="preserve"> </w:t>
      </w:r>
      <w:r>
        <w:t xml:space="preserve">Consider an intervention study with two groups: a treatment group that received a medication and a control group that received a placebo.</w:t>
      </w:r>
      <w:r>
        <w:t xml:space="preserve"> </w:t>
      </w:r>
      <w:r>
        <w:t xml:space="preserve">The control group showed a 30% reduction in externalizing problems, on average.</w:t>
      </w:r>
      <w:r>
        <w:t xml:space="preserve"> </w:t>
      </w:r>
      <w:r>
        <w:t xml:space="preserve">In the treatment group, some individuals showed a reduction in externalizing problems whereas others dropped out of the study due to side effects or worsening behavior.</w:t>
      </w:r>
      <w:r>
        <w:t xml:space="preserve"> </w:t>
      </w:r>
      <w:r>
        <w:t xml:space="preserve">If we analyzed only those who were followed until the end of the study, it might appear that the treatment was effective merely because we were excluding individuals for whom the treatment was harmful.</w:t>
      </w:r>
      <w:r>
        <w:t xml:space="preserve"> </w:t>
      </w:r>
      <w:r>
        <w:t xml:space="preserve">Thus, it is important to report the extent of missingness, whether missingness is systematically related to demographic and study variables, and to leverage modern approaches for handling missing data so one does not exclude participants in the analysis merely because they have missing data</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Multiple imputation and full information maximum likelihood are useful if data are missing at random or completely at random</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Enders</w:t>
      </w:r>
      <w:r>
        <w:t xml:space="preserve"> </w:t>
      </w:r>
      <w:r>
        <w:t xml:space="preserve">(</w:t>
      </w:r>
      <w:hyperlink w:anchor="ref-Enders2022">
        <w:r>
          <w:rPr>
            <w:rStyle w:val="Hyperlink"/>
          </w:rPr>
          <w:t xml:space="preserve">2022</w:t>
        </w:r>
      </w:hyperlink>
      <w:r>
        <w:t xml:space="preserve">,</w:t>
      </w:r>
      <w:r>
        <w:t xml:space="preserve"> </w:t>
      </w:r>
      <w:hyperlink w:anchor="ref-Enders2025">
        <w:r>
          <w:rPr>
            <w:rStyle w:val="Hyperlink"/>
          </w:rPr>
          <w:t xml:space="preserve">2025</w:t>
        </w:r>
      </w:hyperlink>
      <w:r>
        <w:t xml:space="preserve">)</w:t>
      </w:r>
      <w:r>
        <w:t xml:space="preserve"> </w:t>
      </w:r>
      <w:r>
        <w:t xml:space="preserve">provides contemporary guidelines for handling missing data, including when data are missing not at random using selection models and pattern mixture models—including in longitudinal studies</w:t>
      </w:r>
      <w:r>
        <w:t xml:space="preserve"> </w:t>
      </w:r>
      <w:r>
        <w:t xml:space="preserve">(</w:t>
      </w:r>
      <w:hyperlink w:anchor="ref-Enders2022">
        <w:r>
          <w:rPr>
            <w:rStyle w:val="Hyperlink"/>
          </w:rPr>
          <w:t xml:space="preserve">Enders, 2022</w:t>
        </w:r>
      </w:hyperlink>
      <w:r>
        <w:t xml:space="preserve">)</w:t>
      </w:r>
      <w:r>
        <w:t xml:space="preserve">.</w:t>
      </w:r>
      <w:r>
        <w:t xml:space="preserve"> </w:t>
      </w:r>
      <w:r>
        <w:t xml:space="preserve">Nicholson et al. (</w:t>
      </w:r>
      <w:hyperlink w:anchor="ref-Nicholson2017">
        <w:r>
          <w:rPr>
            <w:rStyle w:val="Hyperlink"/>
          </w:rPr>
          <w:t xml:space="preserve">2017</w:t>
        </w:r>
      </w:hyperlink>
      <w:r>
        <w:t xml:space="preserve">)</w:t>
      </w:r>
      <w:r>
        <w:t xml:space="preserve"> </w:t>
      </w:r>
      <w:r>
        <w:t xml:space="preserve">provides recommendations for reporting about attrition and missingness in longitudinal studies.</w:t>
      </w:r>
    </w:p>
    <w:bookmarkEnd w:id="119"/>
    <w:bookmarkStart w:id="120" w:name="change-in-meaning-of-the-scores"/>
    <w:p>
      <w:pPr>
        <w:pStyle w:val="Heading3"/>
      </w:pPr>
      <w:r>
        <w:t xml:space="preserve">Change in Meaning of the Scores</w:t>
      </w:r>
    </w:p>
    <w:p>
      <w:pPr>
        <w:pStyle w:val="FirstParagraph"/>
      </w:pPr>
      <w:r>
        <w:t xml:space="preserve">Another potential confound of change is if the same score has different meaning (with respect to the construct) at different points in development.</w:t>
      </w:r>
      <w:r>
        <w:t xml:space="preserve"> </w:t>
      </w:r>
      <w:r>
        <w:t xml:space="preserve">That is, the scores are not on the same number line across time—they do not have the same scale or location across ages.</w:t>
      </w:r>
      <w:r>
        <w:t xml:space="preserve"> </w:t>
      </w:r>
      <w:r>
        <w:t xml:space="preserve">If scores do not have the same scale or location across ages, any inferences about change (or lack thereof) could be incorrect.</w:t>
      </w:r>
      <w:r>
        <w:t xml:space="preserve"> </w:t>
      </w:r>
      <w:r>
        <w:t xml:space="preserve">Consider, for example, if a behavior such as physical aggression becomes more severe (i.e., higher difficulty) with age.</w:t>
      </w:r>
      <w:r>
        <w:t xml:space="preserve"> </w:t>
      </w:r>
      <w:r>
        <w:t xml:space="preserve">In this example, the same score—i.e., endorsement of physical aggression—would reflect a higher level externalizing behavior in adulthood compared to early childhood.</w:t>
      </w:r>
      <w:r>
        <w:t xml:space="preserve"> </w:t>
      </w:r>
      <w:r>
        <w:t xml:space="preserve">Or, consider if a behavior such as disobedience becomes less construct-valid (i.e., lower discrimination) with age.</w:t>
      </w:r>
      <w:r>
        <w:t xml:space="preserve"> </w:t>
      </w:r>
      <w:r>
        <w:t xml:space="preserve">In this example, the same score difference—i.e., between endorsement (1) versus non-endorsement (0) of disobedience to authority—would reflect a greater difference in the level of externalizing behavior in early childhood compared to adulthood.</w:t>
      </w:r>
      <w:r>
        <w:t xml:space="preserve"> </w:t>
      </w:r>
      <w:r>
        <w:t xml:space="preserve">Thus, it is important to consider and account for changes in the meaning of scores across development.</w:t>
      </w:r>
      <w:r>
        <w:t xml:space="preserve"> </w:t>
      </w:r>
      <w:r>
        <w:t xml:space="preserve">Next, we describe longitudinal factorial invariance as a way to evaluate—and account for—the possibility that scores have changed in meaning across ages.</w:t>
      </w:r>
    </w:p>
    <w:bookmarkEnd w:id="120"/>
    <w:bookmarkEnd w:id="121"/>
    <w:bookmarkStart w:id="123"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22"/>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In particular, 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may be necessary to find ways to accommodate or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may be too strong.</w:t>
      </w:r>
      <w:r>
        <w:t xml:space="preserve"> </w:t>
      </w:r>
      <w:r>
        <w:t xml:space="preserve">Researchers have argued that, in many cases, establishing factorial invariance may be unnecessary to compare latent means</w:t>
      </w:r>
      <w:r>
        <w:t xml:space="preserve"> </w:t>
      </w:r>
      <w:r>
        <w:t xml:space="preserve">(</w:t>
      </w:r>
      <w:hyperlink w:anchor="ref-DeLosReyes2025">
        <w:r>
          <w:rPr>
            <w:rStyle w:val="Hyperlink"/>
          </w:rPr>
          <w:t xml:space="preserve">De Los Reyes et al., 2025</w:t>
        </w:r>
      </w:hyperlink>
      <w:r>
        <w:t xml:space="preserve">;</w:t>
      </w:r>
      <w:r>
        <w:t xml:space="preserve"> </w:t>
      </w:r>
      <w:hyperlink w:anchor="ref-Funder2024">
        <w:r>
          <w:rPr>
            <w:rStyle w:val="Hyperlink"/>
          </w:rPr>
          <w:t xml:space="preserve">Funder &amp; Gardiner, 2024</w:t>
        </w:r>
      </w:hyperlink>
      <w:r>
        <w:t xml:space="preserve">;</w:t>
      </w:r>
      <w:r>
        <w:t xml:space="preserve"> </w:t>
      </w:r>
      <w:hyperlink w:anchor="ref-QuantitudeS3E18">
        <w:r>
          <w:rPr>
            <w:rStyle w:val="Hyperlink"/>
          </w:rPr>
          <w:t xml:space="preserve">Hancock &amp; Curran, 2022</w:t>
        </w:r>
      </w:hyperlink>
      <w:r>
        <w:t xml:space="preserve">;</w:t>
      </w:r>
      <w:r>
        <w:t xml:space="preserve"> </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 </w:t>
      </w:r>
      <w:hyperlink w:anchor="ref-Robitzsch2023">
        <w:r>
          <w:rPr>
            <w:rStyle w:val="Hyperlink"/>
          </w:rPr>
          <w:t xml:space="preserve">Robitzsch &amp; Lüdtke, 2023</w:t>
        </w:r>
      </w:hyperlink>
      <w:r>
        <w:t xml:space="preserve">;</w:t>
      </w:r>
      <w:r>
        <w:t xml:space="preserve"> </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Indeed, failed longitudinal invariance can be an artifact of differing means across groups/time rather than bias or differences in the functioning of the measure</w:t>
      </w:r>
      <w:r>
        <w:t xml:space="preserve"> </w:t>
      </w:r>
      <w:r>
        <w:t xml:space="preserve">(</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p>
    <w:p>
      <w:pPr>
        <w:pStyle w:val="BodyText"/>
      </w:pPr>
      <w:r>
        <w:t xml:space="preserve">When a construct demonstrates heterotypic continuity, longitudinal factorial invariance would not necessarily be expected because the construct’s factor structure, by definition, changes with development</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That is, noninvariances across development can be expected by theory</w:t>
      </w:r>
      <w:r>
        <w:t xml:space="preserve"> </w:t>
      </w:r>
      <w:r>
        <w:t xml:space="preserve">(</w:t>
      </w:r>
      <w:hyperlink w:anchor="ref-Sterner2026">
        <w:r>
          <w:rPr>
            <w:rStyle w:val="Hyperlink"/>
          </w:rPr>
          <w:t xml:space="preserve">Sterner et al., 2026</w:t>
        </w:r>
      </w:hyperlink>
      <w:r>
        <w:t xml:space="preserve">)</w:t>
      </w:r>
      <w:r>
        <w:t xml:space="preserve">.</w:t>
      </w:r>
      <w:r>
        <w:t xml:space="preserve"> </w:t>
      </w:r>
      <w:r>
        <w:t xml:space="preserve">As a result, 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As noted by Millsap</w:t>
      </w:r>
      <w:r>
        <w:t xml:space="preserve"> </w:t>
      </w:r>
      <w:r>
        <w:t xml:space="preserve">(</w:t>
      </w:r>
      <w:hyperlink w:anchor="ref-Millsap2011">
        <w:r>
          <w:rPr>
            <w:rStyle w:val="Hyperlink"/>
          </w:rPr>
          <w:t xml:space="preserve">2011, p. 1</w:t>
        </w:r>
      </w:hyperlink>
      <w:r>
        <w:t xml:space="preserve">)</w:t>
      </w:r>
      <w:r>
        <w:t xml:space="preserve">,</w:t>
      </w:r>
      <w:r>
        <w:t xml:space="preserve"> </w:t>
      </w:r>
      <w:r>
        <w:t xml:space="preserve">“Measurement invariance is built on the notion that a measuring device should function in the same way across varied conditions,</w:t>
      </w:r>
      <w:r>
        <w:t xml:space="preserve"> </w:t>
      </w:r>
      <w:r>
        <w:rPr>
          <w:i/>
          <w:iCs/>
        </w:rPr>
        <w:t xml:space="preserve">so long as those varied conditions are irrelevant to the attribute being measured</w:t>
      </w:r>
      <w:r>
        <w:t xml:space="preserve">”</w:t>
      </w:r>
      <w:r>
        <w:t xml:space="preserve"> </w:t>
      </w:r>
      <w:r>
        <w:t xml:space="preserve">(emphasis added).</w:t>
      </w:r>
      <w:r>
        <w:t xml:space="preserve"> </w:t>
      </w:r>
      <w:r>
        <w:t xml:space="preserve">However, age/development would not be considered irrelevant to psychopathology.</w:t>
      </w:r>
      <w:r>
        <w:t xml:space="preserve"> </w:t>
      </w:r>
      <w:r>
        <w:t xml:space="preserve">As described earlier, externalizing (antisocial) behavior is considered to demonstrate heterotypic continuity; thus, longitudinal factorial</w:t>
      </w:r>
      <w:r>
        <w:t xml:space="preserve"> </w:t>
      </w:r>
      <w:r>
        <w:rPr>
          <w:i/>
          <w:iCs/>
        </w:rPr>
        <w:t xml:space="preserve">noninvariance</w:t>
      </w:r>
      <w:r>
        <w:t xml:space="preserve"> </w:t>
      </w:r>
      <w:r>
        <w:t xml:space="preserve">for measures assessing the development of externalizing behavior may be expected.</w:t>
      </w:r>
      <w:r>
        <w:t xml:space="preserve"> </w:t>
      </w:r>
      <w:r>
        <w:t xml:space="preserve">As noted by De Los Reyes et al.</w:t>
      </w:r>
      <w:r>
        <w:t xml:space="preserve"> </w:t>
      </w:r>
      <w:r>
        <w:t xml:space="preserve">(</w:t>
      </w:r>
      <w:hyperlink w:anchor="ref-DeLosReyes2025">
        <w:r>
          <w:rPr>
            <w:rStyle w:val="Hyperlink"/>
          </w:rPr>
          <w:t xml:space="preserve">2025, p. 301</w:t>
        </w:r>
      </w:hyperlink>
      <w:r>
        <w:t xml:space="preserve">)</w:t>
      </w:r>
      <w:r>
        <w:t xml:space="preserve">,</w:t>
      </w:r>
      <w:r>
        <w:t xml:space="preserve"> </w:t>
      </w:r>
      <w:r>
        <w:t xml:space="preserve">“developmental variations in antisocial behavior are unlikely to reflect confounds or biases in measurement.”</w:t>
      </w:r>
      <w:r>
        <w:t xml:space="preserve"> </w:t>
      </w:r>
      <w:r>
        <w:t xml:space="preserve">They characterize such tests of invariance across development—in which the conditions (age) are relevant to the construct of interest—as a questionable research practice, noting,</w:t>
      </w:r>
      <w:r>
        <w:t xml:space="preserve"> </w:t>
      </w:r>
      <w:r>
        <w:t xml:space="preserve">“To be justified in testing measurement invariance [across ages], one would have to assume that when systematic differences manifest between ratings…for younger versus older youth, they cannot possibly reflect anything valid.</w:t>
      </w:r>
      <w:r>
        <w:t xml:space="preserve"> </w:t>
      </w:r>
      <w:r>
        <w:t xml:space="preserve">For a scholar to make such an assumption, they must again ignore decades of theory and research in developmental psychopathology.”</w:t>
      </w:r>
      <w:r>
        <w:t xml:space="preserve"> </w:t>
      </w:r>
      <w:r>
        <w:t xml:space="preserve">Moreover, removing noninvariant items is not recommended if the item retains construct validity</w:t>
      </w:r>
      <w:r>
        <w:t xml:space="preserve"> </w:t>
      </w:r>
      <w:r>
        <w:t xml:space="preserve">(</w:t>
      </w:r>
      <w:hyperlink w:anchor="ref-DeLosReyes2025">
        <w:r>
          <w:rPr>
            <w:rStyle w:val="Hyperlink"/>
          </w:rPr>
          <w:t xml:space="preserve">De Los Reyes et al., 2025</w:t>
        </w:r>
      </w:hyperlink>
      <w:r>
        <w:t xml:space="preserve">;</w:t>
      </w:r>
      <w:r>
        <w:t xml:space="preserve"> </w:t>
      </w:r>
      <w:hyperlink w:anchor="ref-Knight2010">
        <w:r>
          <w:rPr>
            <w:rStyle w:val="Hyperlink"/>
          </w:rPr>
          <w:t xml:space="preserve">Knight &amp; Zerr, 2010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23"/>
    <w:bookmarkStart w:id="124" w:name="integration-across-multiple-sources"/>
    <w:p>
      <w:pPr>
        <w:pStyle w:val="Heading2"/>
      </w:pPr>
      <w:r>
        <w:t xml:space="preserve">Integration Across Multiple Sources</w:t>
      </w:r>
    </w:p>
    <w:p>
      <w:pPr>
        <w:pStyle w:val="FirstParagraph"/>
      </w:pPr>
      <w:r>
        <w:t xml:space="preserve">There is widespread agreement that including multiple sources of data—e.g.. multiple informants or multiple measurement methods—is preferable.</w:t>
      </w:r>
      <w:r>
        <w:t xml:space="preserve"> </w:t>
      </w:r>
      <w:r>
        <w:t xml:space="preserve">However, there is less agreement about how to use the multiple sources of data</w:t>
      </w:r>
      <w:r>
        <w:t xml:space="preserve"> </w:t>
      </w:r>
      <w:r>
        <w:t xml:space="preserve">(</w:t>
      </w:r>
      <w:hyperlink w:anchor="ref-Bauer2013">
        <w:r>
          <w:rPr>
            <w:rStyle w:val="Hyperlink"/>
          </w:rPr>
          <w:t xml:space="preserve">Bauer et al., 2013</w:t>
        </w:r>
      </w:hyperlink>
      <w:r>
        <w:t xml:space="preserve">)</w:t>
      </w:r>
      <w:r>
        <w:t xml:space="preserve">, particularly because informants often show low correspondence with each other when rating the same person.</w:t>
      </w:r>
      <w:r>
        <w:t xml:space="preserve"> </w:t>
      </w:r>
      <w:r>
        <w:t xml:space="preserve">Some of these discrepancies may be confounded by the person behaving differently in different contexts or with different people.</w:t>
      </w:r>
      <w:r>
        <w:t xml:space="preserve"> </w:t>
      </w:r>
      <w:r>
        <w:t xml:space="preserve">The inclusion of multiple measurement methods can help account for measurement error given the considerable variance that is attributable to method bias</w:t>
      </w:r>
      <w:r>
        <w:t xml:space="preserve"> </w:t>
      </w:r>
      <w:r>
        <w:t xml:space="preserve">(</w:t>
      </w:r>
      <w:hyperlink w:anchor="ref-Podsakoff2012">
        <w:r>
          <w:rPr>
            <w:rStyle w:val="Hyperlink"/>
          </w:rPr>
          <w:t xml:space="preserve">Podsakoff et al., 2012</w:t>
        </w:r>
      </w:hyperlink>
      <w:r>
        <w:t xml:space="preserve">)</w:t>
      </w:r>
      <w:r>
        <w:t xml:space="preserve">.</w:t>
      </w:r>
      <w:r>
        <w:t xml:space="preserve"> </w:t>
      </w:r>
      <w:r>
        <w:t xml:space="preserve">The inclusion of multiple informants can be relevant for informing about the pervasiveness of a person’s behavior across contexts (e.g., home, school).</w:t>
      </w:r>
      <w:r>
        <w:t xml:space="preserve"> </w:t>
      </w:r>
      <w:r>
        <w:t xml:space="preserve">The most accurate informant(s) for a person can change with development, so finding ways to leverage the information from multiple informants will be crucial to study development of psychopathology across the lifespan</w:t>
      </w:r>
      <w:r>
        <w:t xml:space="preserve"> </w:t>
      </w:r>
      <w:r>
        <w:t xml:space="preserve">(</w:t>
      </w:r>
      <w:hyperlink w:anchor="ref-DeLosReyes2026">
        <w:r>
          <w:rPr>
            <w:rStyle w:val="Hyperlink"/>
          </w:rPr>
          <w:t xml:space="preserve">De Los Reyes, 2026</w:t>
        </w:r>
      </w:hyperlink>
      <w:r>
        <w:t xml:space="preserve">)</w:t>
      </w:r>
      <w:r>
        <w:t xml:space="preserve">.</w:t>
      </w:r>
      <w:r>
        <w:t xml:space="preserve"> </w:t>
      </w:r>
      <w:r>
        <w:t xml:space="preserve">Some researchers advocate for integrating scores using principal component approaches</w:t>
      </w:r>
      <w:r>
        <w:t xml:space="preserve"> </w:t>
      </w:r>
      <w:r>
        <w:t xml:space="preserve">(while disentangling variance attributable to trait, perspective, and context;</w:t>
      </w:r>
      <w:r>
        <w:t xml:space="preserve"> </w:t>
      </w:r>
      <w:hyperlink w:anchor="ref-Kraemer2003">
        <w:r>
          <w:rPr>
            <w:rStyle w:val="Hyperlink"/>
          </w:rPr>
          <w:t xml:space="preserve">Kraemer et al., 2003</w:t>
        </w:r>
      </w:hyperlink>
      <w:r>
        <w:t xml:space="preserve">)</w:t>
      </w:r>
      <w:r>
        <w:t xml:space="preserve"> </w:t>
      </w:r>
      <w:r>
        <w:t xml:space="preserve">or latent variable approaches</w:t>
      </w:r>
      <w:r>
        <w:t xml:space="preserve"> </w:t>
      </w:r>
      <w:r>
        <w:t xml:space="preserve">(e.g.,</w:t>
      </w:r>
      <w:r>
        <w:t xml:space="preserve"> </w:t>
      </w:r>
      <w:hyperlink w:anchor="ref-Bauer2013">
        <w:r>
          <w:rPr>
            <w:rStyle w:val="Hyperlink"/>
          </w:rPr>
          <w:t xml:space="preserve">Bauer et al., 2013</w:t>
        </w:r>
      </w:hyperlink>
      <w:r>
        <w:t xml:space="preserve">)</w:t>
      </w:r>
      <w:r>
        <w:t xml:space="preserve">, and others advocate for keeping different informants’ ratings separate without integrating them</w:t>
      </w:r>
      <w:r>
        <w:t xml:space="preserve"> </w:t>
      </w:r>
      <w:r>
        <w:t xml:space="preserve">(but including them in the same model;</w:t>
      </w:r>
      <w:r>
        <w:t xml:space="preserve"> </w:t>
      </w:r>
      <w:hyperlink w:anchor="ref-Aitken2023">
        <w:r>
          <w:rPr>
            <w:rStyle w:val="Hyperlink"/>
          </w:rPr>
          <w:t xml:space="preserve">Aitken et al., 2023</w:t>
        </w:r>
      </w:hyperlink>
      <w:r>
        <w:t xml:space="preserve">)</w:t>
      </w:r>
      <w:r>
        <w:t xml:space="preserve">.</w:t>
      </w:r>
      <w:r>
        <w:t xml:space="preserve"> </w:t>
      </w:r>
      <w:r>
        <w:t xml:space="preserve">De Los Reyes et al. (</w:t>
      </w:r>
      <w:hyperlink w:anchor="ref-DeLosReyes2013">
        <w:r>
          <w:rPr>
            <w:rStyle w:val="Hyperlink"/>
          </w:rPr>
          <w:t xml:space="preserve">2013</w:t>
        </w:r>
      </w:hyperlink>
      <w:r>
        <w:t xml:space="preserve">)</w:t>
      </w:r>
      <w:r>
        <w:t xml:space="preserve"> </w:t>
      </w:r>
      <w:r>
        <w:t xml:space="preserve">provide the Operations Triad Model as a framework for using and interpreting reports from multiple informants</w:t>
      </w:r>
      <w:r>
        <w:t xml:space="preserve"> </w:t>
      </w:r>
      <w:r>
        <w:t xml:space="preserve">(for more information, see</w:t>
      </w:r>
      <w:r>
        <w:t xml:space="preserve"> </w:t>
      </w:r>
      <w:hyperlink w:anchor="ref-Makol2025">
        <w:r>
          <w:rPr>
            <w:rStyle w:val="Hyperlink"/>
          </w:rPr>
          <w:t xml:space="preserve">Makol et al., 2025</w:t>
        </w:r>
      </w:hyperlink>
      <w:r>
        <w:t xml:space="preserve">)</w:t>
      </w:r>
      <w:r>
        <w:t xml:space="preserve">.</w:t>
      </w:r>
    </w:p>
    <w:bookmarkEnd w:id="124"/>
    <w:bookmarkStart w:id="125" w:name="obsolescence-of-items-and-measures"/>
    <w:p>
      <w:pPr>
        <w:pStyle w:val="Heading2"/>
      </w:pPr>
      <w:r>
        <w:t xml:space="preserve">Obsolescence of Items and Measures</w:t>
      </w:r>
    </w:p>
    <w:p>
      <w:pPr>
        <w:pStyle w:val="FirstParagraph"/>
      </w:pPr>
      <w:r>
        <w:t xml:space="preserve">Another challenge is that questionniare items—whether the particular wording or the behavior itself—can become obsolete and irrelevant with secular changes.</w:t>
      </w:r>
      <w:r>
        <w:t xml:space="preserve"> </w:t>
      </w:r>
      <w:r>
        <w:t xml:space="preserve">For instance, due to technological changes, items focused on television use—without considering other forms of screen use—may miss important contemporary screen-related use.</w:t>
      </w:r>
      <w:r>
        <w:t xml:space="preserve"> </w:t>
      </w:r>
      <w:r>
        <w:t xml:space="preserve">Additionally, ways people use substances change over historical time.</w:t>
      </w:r>
      <w:r>
        <w:t xml:space="preserve"> </w:t>
      </w:r>
      <w:r>
        <w:t xml:space="preserve">For instance, vaping is a more contemporary way that many adolescents use nicotine.</w:t>
      </w:r>
      <w:r>
        <w:t xml:space="preserve"> </w:t>
      </w:r>
      <w:r>
        <w:t xml:space="preserve">The ways aggressive behavior manifests also changes across historical time.</w:t>
      </w:r>
      <w:r>
        <w:t xml:space="preserve"> </w:t>
      </w:r>
      <w:r>
        <w:t xml:space="preserve">Items focused on physical aggression would miss important contemporary manifestations of aggression, including cyberaggression, cyberbullying, online harassment, aggression on social media (e.g., exclusion).</w:t>
      </w:r>
      <w:r>
        <w:t xml:space="preserve"> </w:t>
      </w:r>
      <w:r>
        <w:t xml:space="preserve">In sum, it is important to keep items relevant for current use, and that naturally means changing item content and/or wording across historical time, a further reason why linking of scores (given differing item content) is crucial.</w:t>
      </w:r>
    </w:p>
    <w:bookmarkEnd w:id="125"/>
    <w:bookmarkEnd w:id="126"/>
    <w:bookmarkStart w:id="127"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27"/>
    <w:bookmarkStart w:id="415" w:name="references"/>
    <w:p>
      <w:pPr>
        <w:pStyle w:val="Heading1"/>
      </w:pPr>
      <w:r>
        <w:t xml:space="preserve">References</w:t>
      </w:r>
    </w:p>
    <w:bookmarkStart w:id="414" w:name="refs"/>
    <w:bookmarkStart w:id="129"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2: Testing and Assessment in Clinical and Counseling Psychology</w:t>
      </w:r>
      <w:r>
        <w:t xml:space="preserve"> </w:t>
      </w:r>
      <w:r>
        <w:t xml:space="preserve">(pp. 119–132). American Psychological Association.</w:t>
      </w:r>
      <w:r>
        <w:t xml:space="preserve"> </w:t>
      </w:r>
      <w:hyperlink r:id="rId128">
        <w:r>
          <w:rPr>
            <w:rStyle w:val="Hyperlink"/>
          </w:rPr>
          <w:t xml:space="preserve">https://doi.org/10.1037/14048-008</w:t>
        </w:r>
      </w:hyperlink>
    </w:p>
    <w:bookmarkEnd w:id="129"/>
    <w:bookmarkStart w:id="131" w:name="ref-Aitken2023"/>
    <w:p>
      <w:pPr>
        <w:pStyle w:val="Bibliography"/>
      </w:pPr>
      <w:r>
        <w:t xml:space="preserve">Aitken, M., Plamondon, A., Krzeczkowski, J., Kil, H., &amp; Andrade, B. F. (2023). Systematic integration of multi-informant externalizing ratings in clinical settings.</w:t>
      </w:r>
      <w:r>
        <w:t xml:space="preserve"> </w:t>
      </w:r>
      <w:r>
        <w:rPr>
          <w:i/>
          <w:iCs/>
        </w:rPr>
        <w:t xml:space="preserve">Research on Child and Adolescent Psychopathology</w:t>
      </w:r>
      <w:r>
        <w:t xml:space="preserve">.</w:t>
      </w:r>
      <w:r>
        <w:t xml:space="preserve"> </w:t>
      </w:r>
      <w:hyperlink r:id="rId130">
        <w:r>
          <w:rPr>
            <w:rStyle w:val="Hyperlink"/>
          </w:rPr>
          <w:t xml:space="preserve">https://doi.org/10.1007/s10802-023-01119-z</w:t>
        </w:r>
      </w:hyperlink>
    </w:p>
    <w:bookmarkEnd w:id="131"/>
    <w:bookmarkStart w:id="132"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32"/>
    <w:bookmarkStart w:id="134"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33">
        <w:r>
          <w:rPr>
            <w:rStyle w:val="Hyperlink"/>
          </w:rPr>
          <w:t xml:space="preserve">https://doi.org/10.1002/jcv2.70043</w:t>
        </w:r>
      </w:hyperlink>
    </w:p>
    <w:bookmarkEnd w:id="134"/>
    <w:bookmarkStart w:id="136" w:name="ref-Averdijk2014"/>
    <w:p>
      <w:pPr>
        <w:pStyle w:val="Bibliography"/>
      </w:pPr>
      <w:r>
        <w:t xml:space="preserve">Averdijk, M. (2014). Methodological challenges in the study of age−victimization patterns. Can we use the accelerated design of the NCVS to reconstruct victim careers?</w:t>
      </w:r>
      <w:r>
        <w:t xml:space="preserve"> </w:t>
      </w:r>
      <w:r>
        <w:rPr>
          <w:i/>
          <w:iCs/>
        </w:rPr>
        <w:t xml:space="preserve">International Review of Victimology</w:t>
      </w:r>
      <w:r>
        <w:t xml:space="preserve">,</w:t>
      </w:r>
      <w:r>
        <w:t xml:space="preserve"> </w:t>
      </w:r>
      <w:r>
        <w:rPr>
          <w:i/>
          <w:iCs/>
        </w:rPr>
        <w:t xml:space="preserve">20</w:t>
      </w:r>
      <w:r>
        <w:t xml:space="preserve">(3), 265–288.</w:t>
      </w:r>
      <w:r>
        <w:t xml:space="preserve"> </w:t>
      </w:r>
      <w:hyperlink r:id="rId135">
        <w:r>
          <w:rPr>
            <w:rStyle w:val="Hyperlink"/>
          </w:rPr>
          <w:t xml:space="preserve">https://doi.org/10.1177/0269758014537147</w:t>
        </w:r>
      </w:hyperlink>
    </w:p>
    <w:bookmarkEnd w:id="136"/>
    <w:bookmarkStart w:id="138"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37">
        <w:r>
          <w:rPr>
            <w:rStyle w:val="Hyperlink"/>
          </w:rPr>
          <w:t xml:space="preserve">https://doi.org/10.1016/j.jpsychires.2013.08.016</w:t>
        </w:r>
      </w:hyperlink>
    </w:p>
    <w:bookmarkEnd w:id="138"/>
    <w:bookmarkStart w:id="140"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39">
        <w:r>
          <w:rPr>
            <w:rStyle w:val="Hyperlink"/>
          </w:rPr>
          <w:t xml:space="preserve">https://doi.org/10.1037/met0000077</w:t>
        </w:r>
      </w:hyperlink>
    </w:p>
    <w:bookmarkEnd w:id="140"/>
    <w:bookmarkStart w:id="142" w:name="ref-Bauer2013"/>
    <w:p>
      <w:pPr>
        <w:pStyle w:val="Bibliography"/>
      </w:pPr>
      <w:r>
        <w:t xml:space="preserve">Bauer, D. J., Howard, A. L., Baldasaro, R. E., Curran, P. J., Hussong, A. M., Chassin, L., &amp; Zucker, R. A. (2013). A trifactor model for integrating ratings across multiple informants.</w:t>
      </w:r>
      <w:r>
        <w:t xml:space="preserve"> </w:t>
      </w:r>
      <w:r>
        <w:rPr>
          <w:i/>
          <w:iCs/>
        </w:rPr>
        <w:t xml:space="preserve">Psychological Methods</w:t>
      </w:r>
      <w:r>
        <w:t xml:space="preserve">,</w:t>
      </w:r>
      <w:r>
        <w:t xml:space="preserve"> </w:t>
      </w:r>
      <w:r>
        <w:rPr>
          <w:i/>
          <w:iCs/>
        </w:rPr>
        <w:t xml:space="preserve">18</w:t>
      </w:r>
      <w:r>
        <w:t xml:space="preserve">(4), 475–493.</w:t>
      </w:r>
      <w:r>
        <w:t xml:space="preserve"> </w:t>
      </w:r>
      <w:hyperlink r:id="rId141">
        <w:r>
          <w:rPr>
            <w:rStyle w:val="Hyperlink"/>
          </w:rPr>
          <w:t xml:space="preserve">https://doi.org/10.1037/a0032475</w:t>
        </w:r>
      </w:hyperlink>
    </w:p>
    <w:bookmarkEnd w:id="142"/>
    <w:bookmarkStart w:id="144" w:name="ref-Berluti2026"/>
    <w:p>
      <w:pPr>
        <w:pStyle w:val="Bibliography"/>
      </w:pPr>
      <w:r>
        <w:t xml:space="preserve">Berluti, K., Amormino, P., Potter, A., Wshah, S., &amp; Marsh, A. (2026). Machine learning prediction of conduct problems in children using the longitudinal ABCD study.</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43">
        <w:r>
          <w:rPr>
            <w:rStyle w:val="Hyperlink"/>
          </w:rPr>
          <w:t xml:space="preserve">https://doi.org/10.1111/jcpp.70057</w:t>
        </w:r>
      </w:hyperlink>
    </w:p>
    <w:bookmarkEnd w:id="144"/>
    <w:bookmarkStart w:id="146"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 Findings 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45">
        <w:r>
          <w:rPr>
            <w:rStyle w:val="Hyperlink"/>
          </w:rPr>
          <w:t xml:space="preserve">https://doi.org/10.1017/S0954579423001505</w:t>
        </w:r>
      </w:hyperlink>
    </w:p>
    <w:bookmarkEnd w:id="146"/>
    <w:bookmarkStart w:id="148"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47">
        <w:r>
          <w:rPr>
            <w:rStyle w:val="Hyperlink"/>
          </w:rPr>
          <w:t xml:space="preserve">https://doi.org/10.1016/j.jaac.2017.05.019</w:t>
        </w:r>
      </w:hyperlink>
    </w:p>
    <w:bookmarkEnd w:id="148"/>
    <w:bookmarkStart w:id="150"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49">
        <w:r>
          <w:rPr>
            <w:rStyle w:val="Hyperlink"/>
          </w:rPr>
          <w:t xml:space="preserve">https://doi.org/10.1111/j.1467-8624.2004.00755.x</w:t>
        </w:r>
      </w:hyperlink>
    </w:p>
    <w:bookmarkEnd w:id="150"/>
    <w:bookmarkStart w:id="152"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1: Theory and Method</w:t>
      </w:r>
      <w:r>
        <w:t xml:space="preserve"> </w:t>
      </w:r>
      <w:r>
        <w:t xml:space="preserve">(pp. 1–45).</w:t>
      </w:r>
      <w:r>
        <w:t xml:space="preserve"> </w:t>
      </w:r>
      <w:hyperlink r:id="rId151">
        <w:r>
          <w:rPr>
            <w:rStyle w:val="Hyperlink"/>
          </w:rPr>
          <w:t xml:space="preserve">https://doi.org/10.1002/9781119125556.devpsy101</w:t>
        </w:r>
      </w:hyperlink>
    </w:p>
    <w:bookmarkEnd w:id="152"/>
    <w:bookmarkStart w:id="154"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53">
        <w:r>
          <w:rPr>
            <w:rStyle w:val="Hyperlink"/>
          </w:rPr>
          <w:t xml:space="preserve">https://doi.org/10.1007/s10802-012-9669-9</w:t>
        </w:r>
      </w:hyperlink>
    </w:p>
    <w:bookmarkEnd w:id="154"/>
    <w:bookmarkStart w:id="156"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 A 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55">
        <w:r>
          <w:rPr>
            <w:rStyle w:val="Hyperlink"/>
          </w:rPr>
          <w:t xml:space="preserve">https://doi.org/10.1037/0012-1649.39.2.222</w:t>
        </w:r>
      </w:hyperlink>
    </w:p>
    <w:bookmarkEnd w:id="156"/>
    <w:bookmarkStart w:id="158" w:name="ref-Burns2001"/>
    <w:p>
      <w:pPr>
        <w:pStyle w:val="Bibliography"/>
      </w:pPr>
      <w:r>
        <w:t xml:space="preserve">Burns, G. L., Walsh, J. A., Patterson, D. R., Holte, C. S., Sommers-Flanagan, R., &amp; Parker, C. M. (2001). Attention deficit and disruptive behavior disorder symptoms: Usefulness 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57">
        <w:r>
          <w:rPr>
            <w:rStyle w:val="Hyperlink"/>
          </w:rPr>
          <w:t xml:space="preserve">https://doi.org/10.1027/1015-5759.17.1.25</w:t>
        </w:r>
      </w:hyperlink>
    </w:p>
    <w:bookmarkEnd w:id="158"/>
    <w:bookmarkStart w:id="160"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59">
        <w:r>
          <w:rPr>
            <w:rStyle w:val="Hyperlink"/>
          </w:rPr>
          <w:t xml:space="preserve">https://doi.org/10.1016/j.cpr.2012.02.006</w:t>
        </w:r>
      </w:hyperlink>
    </w:p>
    <w:bookmarkEnd w:id="160"/>
    <w:bookmarkStart w:id="162"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61">
        <w:r>
          <w:rPr>
            <w:rStyle w:val="Hyperlink"/>
          </w:rPr>
          <w:t xml:space="preserve">https://doi.org/10.1001/jamanetworkopen.2020.3221</w:t>
        </w:r>
      </w:hyperlink>
    </w:p>
    <w:bookmarkEnd w:id="162"/>
    <w:bookmarkStart w:id="164"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63">
        <w:r>
          <w:rPr>
            <w:rStyle w:val="Hyperlink"/>
          </w:rPr>
          <w:t xml:space="preserve">https://doi.org/10.1177/2167702613497473</w:t>
        </w:r>
      </w:hyperlink>
    </w:p>
    <w:bookmarkEnd w:id="164"/>
    <w:bookmarkStart w:id="166"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65">
        <w:r>
          <w:rPr>
            <w:rStyle w:val="Hyperlink"/>
          </w:rPr>
          <w:t xml:space="preserve">https://doi.org/10.1002/9780470147658.chpsy0306</w:t>
        </w:r>
      </w:hyperlink>
    </w:p>
    <w:bookmarkEnd w:id="166"/>
    <w:bookmarkStart w:id="168"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67">
        <w:r>
          <w:rPr>
            <w:rStyle w:val="Hyperlink"/>
          </w:rPr>
          <w:t xml:space="preserve">https://doi.org/10.1007/s40865-015-0012-3</w:t>
        </w:r>
      </w:hyperlink>
    </w:p>
    <w:bookmarkEnd w:id="168"/>
    <w:bookmarkStart w:id="170" w:name="ref-ChenMBR"/>
    <w:p>
      <w:pPr>
        <w:pStyle w:val="Bibliography"/>
      </w:pPr>
      <w:r>
        <w:t xml:space="preserve">Chen, S. M., &amp; Bauer, D. J. (in pressa). Improving the evaluation of construct change over time: Advantages 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69">
        <w:r>
          <w:rPr>
            <w:rStyle w:val="Hyperlink"/>
          </w:rPr>
          <w:t xml:space="preserve">https://doi.org/10.1080/00273171.2026.2640576</w:t>
        </w:r>
      </w:hyperlink>
    </w:p>
    <w:bookmarkEnd w:id="170"/>
    <w:bookmarkStart w:id="172" w:name="ref-ChenPM"/>
    <w:p>
      <w:pPr>
        <w:pStyle w:val="Bibliography"/>
      </w:pPr>
      <w:r>
        <w:t xml:space="preserve">Chen, S. M., &amp; Bauer, D. J. (in pressb). Modeling construct change over time amidst potential changes in construct measurement: A longitudinal moderated factor analysis approach.</w:t>
      </w:r>
      <w:r>
        <w:t xml:space="preserve"> </w:t>
      </w:r>
      <w:r>
        <w:rPr>
          <w:i/>
          <w:iCs/>
        </w:rPr>
        <w:t xml:space="preserve">Psychological Methods</w:t>
      </w:r>
      <w:r>
        <w:t xml:space="preserve">.</w:t>
      </w:r>
      <w:r>
        <w:t xml:space="preserve"> </w:t>
      </w:r>
      <w:hyperlink r:id="rId171">
        <w:r>
          <w:rPr>
            <w:rStyle w:val="Hyperlink"/>
          </w:rPr>
          <w:t xml:space="preserve">https://doi.org/10.1037/met0000685</w:t>
        </w:r>
      </w:hyperlink>
    </w:p>
    <w:bookmarkEnd w:id="172"/>
    <w:bookmarkStart w:id="174"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73">
        <w:r>
          <w:rPr>
            <w:rStyle w:val="Hyperlink"/>
          </w:rPr>
          <w:t xml:space="preserve">https://doi.org/10.14283/jfa.2012.9</w:t>
        </w:r>
      </w:hyperlink>
    </w:p>
    <w:bookmarkEnd w:id="174"/>
    <w:bookmarkStart w:id="176"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75">
        <w:r>
          <w:rPr>
            <w:rStyle w:val="Hyperlink"/>
          </w:rPr>
          <w:t xml:space="preserve">https://doi.org/10.1037/0022-006X.70.1.6</w:t>
        </w:r>
      </w:hyperlink>
    </w:p>
    <w:bookmarkEnd w:id="176"/>
    <w:bookmarkStart w:id="178" w:name="ref-Cieciuch2014"/>
    <w:p>
      <w:pPr>
        <w:pStyle w:val="Bibliography"/>
      </w:pPr>
      <w:r>
        <w:t xml:space="preserve">Cieciuch, J., Davidov, E., Schmidt, P., Algesheimer, R., &amp; Schwartz, S. H. (2014). Comparing results of an exact vs. An approximate (bayesian) measurement invariance test: A 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77">
        <w:r>
          <w:rPr>
            <w:rStyle w:val="Hyperlink"/>
          </w:rPr>
          <w:t xml:space="preserve">https://doi.org/10.3389/fpsyg.2014.00982</w:t>
        </w:r>
      </w:hyperlink>
    </w:p>
    <w:bookmarkEnd w:id="178"/>
    <w:bookmarkStart w:id="180"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79">
        <w:r>
          <w:rPr>
            <w:rStyle w:val="Hyperlink"/>
          </w:rPr>
          <w:t xml:space="preserve">https://doi.org/10.1111/j.1469-7610.2011.02511.x</w:t>
        </w:r>
      </w:hyperlink>
    </w:p>
    <w:bookmarkEnd w:id="180"/>
    <w:bookmarkStart w:id="182"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81">
        <w:r>
          <w:rPr>
            <w:rStyle w:val="Hyperlink"/>
          </w:rPr>
          <w:t xml:space="preserve">https://doi.org/10.1177/0146621612470210</w:t>
        </w:r>
      </w:hyperlink>
    </w:p>
    <w:bookmarkEnd w:id="182"/>
    <w:bookmarkStart w:id="184"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83">
        <w:r>
          <w:rPr>
            <w:rStyle w:val="Hyperlink"/>
          </w:rPr>
          <w:t xml:space="preserve">https://doi.org/10.1080/00273171.2014.889594</w:t>
        </w:r>
      </w:hyperlink>
    </w:p>
    <w:bookmarkEnd w:id="184"/>
    <w:bookmarkStart w:id="186"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85">
        <w:r>
          <w:rPr>
            <w:rStyle w:val="Hyperlink"/>
          </w:rPr>
          <w:t xml:space="preserve">https://doi.org/10.1037/abn0001084</w:t>
        </w:r>
      </w:hyperlink>
    </w:p>
    <w:bookmarkEnd w:id="186"/>
    <w:bookmarkStart w:id="188" w:name="ref-DeLosReyes2025"/>
    <w:p>
      <w:pPr>
        <w:pStyle w:val="Bibliography"/>
      </w:pPr>
      <w:r>
        <w:t xml:space="preserve">De Los Reyes, A., L., O. F., J., R. S., Armando, P., D., M. B., Mo, W., &amp; Charamut, N. R. and. (2025). Editorial: Fairness, validity, and transparency in what researchers assume when testing for measurement invariance.</w:t>
      </w:r>
      <w:r>
        <w:t xml:space="preserve"> </w:t>
      </w:r>
      <w:r>
        <w:rPr>
          <w:i/>
          <w:iCs/>
        </w:rPr>
        <w:t xml:space="preserve">Journal of Clinical Child &amp; Adolescent Psychology</w:t>
      </w:r>
      <w:r>
        <w:t xml:space="preserve">,</w:t>
      </w:r>
      <w:r>
        <w:t xml:space="preserve"> </w:t>
      </w:r>
      <w:r>
        <w:rPr>
          <w:i/>
          <w:iCs/>
        </w:rPr>
        <w:t xml:space="preserve">54</w:t>
      </w:r>
      <w:r>
        <w:t xml:space="preserve">(3), 299–317.</w:t>
      </w:r>
      <w:r>
        <w:t xml:space="preserve"> </w:t>
      </w:r>
      <w:hyperlink r:id="rId187">
        <w:r>
          <w:rPr>
            <w:rStyle w:val="Hyperlink"/>
          </w:rPr>
          <w:t xml:space="preserve">https://doi.org/10.1080/15374416.2025.2484813</w:t>
        </w:r>
      </w:hyperlink>
    </w:p>
    <w:bookmarkEnd w:id="188"/>
    <w:bookmarkStart w:id="190" w:name="ref-DeLosReyes2013"/>
    <w:p>
      <w:pPr>
        <w:pStyle w:val="Bibliography"/>
      </w:pPr>
      <w:r>
        <w:t xml:space="preserve">De Los Reyes, A., Thomas, S. A., Goodman, K. L., &amp; Kundey, S. M. A. (2013). Principles underlying the use of multiple informants’ reports.</w:t>
      </w:r>
      <w:r>
        <w:t xml:space="preserve"> </w:t>
      </w:r>
      <w:r>
        <w:rPr>
          <w:i/>
          <w:iCs/>
        </w:rPr>
        <w:t xml:space="preserve">Annual Review of Clinical Psychology</w:t>
      </w:r>
      <w:r>
        <w:t xml:space="preserve">,</w:t>
      </w:r>
      <w:r>
        <w:t xml:space="preserve"> </w:t>
      </w:r>
      <w:r>
        <w:rPr>
          <w:i/>
          <w:iCs/>
        </w:rPr>
        <w:t xml:space="preserve">9</w:t>
      </w:r>
      <w:r>
        <w:t xml:space="preserve">(1), 123–149.</w:t>
      </w:r>
      <w:r>
        <w:t xml:space="preserve"> </w:t>
      </w:r>
      <w:hyperlink r:id="rId189">
        <w:r>
          <w:rPr>
            <w:rStyle w:val="Hyperlink"/>
          </w:rPr>
          <w:t xml:space="preserve">https://doi.org/10.1146/annurev-clinpsy-050212-185617</w:t>
        </w:r>
      </w:hyperlink>
    </w:p>
    <w:bookmarkEnd w:id="190"/>
    <w:bookmarkStart w:id="192"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91">
        <w:r>
          <w:rPr>
            <w:rStyle w:val="Hyperlink"/>
          </w:rPr>
          <w:t xml:space="preserve">https://doi.org/10.1126/science.2270481</w:t>
        </w:r>
      </w:hyperlink>
    </w:p>
    <w:bookmarkEnd w:id="192"/>
    <w:bookmarkStart w:id="194" w:name="ref-Edwards2012"/>
    <w:p>
      <w:pPr>
        <w:pStyle w:val="Bibliography"/>
      </w:pPr>
      <w:r>
        <w:t xml:space="preserve">Edwards, M. C., &amp; Wirth, R. J. (2012). Valid measurement without factorial invariance: A 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193">
        <w:r>
          <w:rPr>
            <w:rStyle w:val="Hyperlink"/>
          </w:rPr>
          <w:t xml:space="preserve">https://doi.org/10.1108/978-1-61735-891-320251015</w:t>
        </w:r>
      </w:hyperlink>
    </w:p>
    <w:bookmarkEnd w:id="194"/>
    <w:bookmarkStart w:id="196"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195">
        <w:r>
          <w:rPr>
            <w:rStyle w:val="Hyperlink"/>
          </w:rPr>
          <w:t xml:space="preserve">https://doi.org/10.2307/2095245</w:t>
        </w:r>
      </w:hyperlink>
    </w:p>
    <w:bookmarkEnd w:id="196"/>
    <w:bookmarkStart w:id="197" w:name="ref-Enders2022"/>
    <w:p>
      <w:pPr>
        <w:pStyle w:val="Bibliography"/>
      </w:pPr>
      <w:r>
        <w:t xml:space="preserve">Enders, C. K. (2022).</w:t>
      </w:r>
      <w:r>
        <w:t xml:space="preserve"> </w:t>
      </w:r>
      <w:r>
        <w:rPr>
          <w:i/>
          <w:iCs/>
        </w:rPr>
        <w:t xml:space="preserve">Applied missing data analysis</w:t>
      </w:r>
      <w:r>
        <w:t xml:space="preserve">. Guilford Publications.</w:t>
      </w:r>
    </w:p>
    <w:bookmarkEnd w:id="197"/>
    <w:bookmarkStart w:id="199" w:name="ref-Enders2025"/>
    <w:p>
      <w:pPr>
        <w:pStyle w:val="Bibliography"/>
      </w:pPr>
      <w:r>
        <w:t xml:space="preserve">Enders, C. K. (2025). Missing data: An update on the state of the art.</w:t>
      </w:r>
      <w:r>
        <w:t xml:space="preserve"> </w:t>
      </w:r>
      <w:r>
        <w:rPr>
          <w:i/>
          <w:iCs/>
        </w:rPr>
        <w:t xml:space="preserve">Psychological Methods</w:t>
      </w:r>
      <w:r>
        <w:t xml:space="preserve">,</w:t>
      </w:r>
      <w:r>
        <w:t xml:space="preserve"> </w:t>
      </w:r>
      <w:r>
        <w:rPr>
          <w:i/>
          <w:iCs/>
        </w:rPr>
        <w:t xml:space="preserve">30</w:t>
      </w:r>
      <w:r>
        <w:t xml:space="preserve">(2), 322–339.</w:t>
      </w:r>
      <w:r>
        <w:t xml:space="preserve"> </w:t>
      </w:r>
      <w:hyperlink r:id="rId198">
        <w:r>
          <w:rPr>
            <w:rStyle w:val="Hyperlink"/>
          </w:rPr>
          <w:t xml:space="preserve">https://doi.org/10.1037/met0000563</w:t>
        </w:r>
      </w:hyperlink>
    </w:p>
    <w:bookmarkEnd w:id="199"/>
    <w:bookmarkStart w:id="201"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200">
        <w:r>
          <w:rPr>
            <w:rStyle w:val="Hyperlink"/>
          </w:rPr>
          <w:t xml:space="preserve">https://doi.org/10.1111/jcpp.12102</w:t>
        </w:r>
      </w:hyperlink>
    </w:p>
    <w:bookmarkEnd w:id="201"/>
    <w:bookmarkStart w:id="203" w:name="ref-Farrington2023"/>
    <w:p>
      <w:pPr>
        <w:pStyle w:val="Bibliography"/>
      </w:pPr>
      <w:r>
        <w:t xml:space="preserve">Farrington, D. P., Piquero, A. R., Jennings, W. G., &amp; Jolliffe, D. (2023).</w:t>
      </w:r>
      <w:r>
        <w:t xml:space="preserve"> </w:t>
      </w:r>
      <w:r>
        <w:rPr>
          <w:i/>
          <w:iCs/>
        </w:rPr>
        <w:t xml:space="preserve">Offending from childhood to late middle age: Recent 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202">
        <w:r>
          <w:rPr>
            <w:rStyle w:val="Hyperlink"/>
          </w:rPr>
          <w:t xml:space="preserve">https://doi.org/10.1007/978-1-0716-3335-9_5</w:t>
        </w:r>
      </w:hyperlink>
    </w:p>
    <w:bookmarkEnd w:id="203"/>
    <w:bookmarkStart w:id="205" w:name="ref-Ferrer2004"/>
    <w:p>
      <w:pPr>
        <w:pStyle w:val="Bibliography"/>
      </w:pPr>
      <w:r>
        <w:t xml:space="preserve">Ferrer, E., Salthouse, T. A., Stewart, W. F., &amp; Schwartz, B. S. (2004). Modeling age and retest processes in longitudinal studies of cognitive abilities.</w:t>
      </w:r>
      <w:r>
        <w:t xml:space="preserve"> </w:t>
      </w:r>
      <w:r>
        <w:rPr>
          <w:i/>
          <w:iCs/>
        </w:rPr>
        <w:t xml:space="preserve">Psychology and Aging</w:t>
      </w:r>
      <w:r>
        <w:t xml:space="preserve">,</w:t>
      </w:r>
      <w:r>
        <w:t xml:space="preserve"> </w:t>
      </w:r>
      <w:r>
        <w:rPr>
          <w:i/>
          <w:iCs/>
        </w:rPr>
        <w:t xml:space="preserve">19</w:t>
      </w:r>
      <w:r>
        <w:t xml:space="preserve">(2), 243–259.</w:t>
      </w:r>
      <w:r>
        <w:t xml:space="preserve"> </w:t>
      </w:r>
      <w:hyperlink r:id="rId204">
        <w:r>
          <w:rPr>
            <w:rStyle w:val="Hyperlink"/>
          </w:rPr>
          <w:t xml:space="preserve">https://doi.org/10.1037/0882-7974.19.2.243</w:t>
        </w:r>
      </w:hyperlink>
    </w:p>
    <w:bookmarkEnd w:id="205"/>
    <w:bookmarkStart w:id="207"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206">
        <w:r>
          <w:rPr>
            <w:rStyle w:val="Hyperlink"/>
          </w:rPr>
          <w:t xml:space="preserve">https://doi.org/10.1017/S0954579416000651</w:t>
        </w:r>
      </w:hyperlink>
    </w:p>
    <w:bookmarkEnd w:id="207"/>
    <w:bookmarkStart w:id="209" w:name="ref-Funder2024"/>
    <w:p>
      <w:pPr>
        <w:pStyle w:val="Bibliography"/>
      </w:pPr>
      <w:r>
        <w:t xml:space="preserve">Funder, D. C., &amp; Gardiner, G. (2024). MIsgivings about measurement invariance.</w:t>
      </w:r>
      <w:r>
        <w:t xml:space="preserve"> </w:t>
      </w:r>
      <w:r>
        <w:rPr>
          <w:i/>
          <w:iCs/>
        </w:rPr>
        <w:t xml:space="preserve">European Journal of Personality</w:t>
      </w:r>
      <w:r>
        <w:t xml:space="preserve">,</w:t>
      </w:r>
      <w:r>
        <w:t xml:space="preserve"> </w:t>
      </w:r>
      <w:r>
        <w:rPr>
          <w:i/>
          <w:iCs/>
        </w:rPr>
        <w:t xml:space="preserve">38</w:t>
      </w:r>
      <w:r>
        <w:t xml:space="preserve">(6), 889–895.</w:t>
      </w:r>
      <w:r>
        <w:t xml:space="preserve"> </w:t>
      </w:r>
      <w:hyperlink r:id="rId208">
        <w:r>
          <w:rPr>
            <w:rStyle w:val="Hyperlink"/>
          </w:rPr>
          <w:t xml:space="preserve">https://doi.org/10.1177/08902070241228338</w:t>
        </w:r>
      </w:hyperlink>
    </w:p>
    <w:bookmarkEnd w:id="209"/>
    <w:bookmarkStart w:id="210"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10"/>
    <w:bookmarkStart w:id="212"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11">
        <w:r>
          <w:rPr>
            <w:rStyle w:val="Hyperlink"/>
          </w:rPr>
          <w:t xml:space="preserve">https://doi.org/10.1007/s00234-020-02562-1</w:t>
        </w:r>
      </w:hyperlink>
    </w:p>
    <w:bookmarkEnd w:id="212"/>
    <w:bookmarkStart w:id="214"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13">
        <w:r>
          <w:rPr>
            <w:rStyle w:val="Hyperlink"/>
          </w:rPr>
          <w:t xml:space="preserve">https://doi.org/10.1017/S0954579421001772</w:t>
        </w:r>
      </w:hyperlink>
    </w:p>
    <w:bookmarkEnd w:id="214"/>
    <w:bookmarkStart w:id="216"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15">
        <w:r>
          <w:rPr>
            <w:rStyle w:val="Hyperlink"/>
          </w:rPr>
          <w:t xml:space="preserve">https://doi.org/10.1378/chest.116.5.1208</w:t>
        </w:r>
      </w:hyperlink>
    </w:p>
    <w:bookmarkEnd w:id="216"/>
    <w:bookmarkStart w:id="218"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17">
        <w:r>
          <w:rPr>
            <w:rStyle w:val="Hyperlink"/>
          </w:rPr>
          <w:t xml:space="preserve">https://doi.org/10.22237/jmasm/1209614640</w:t>
        </w:r>
      </w:hyperlink>
    </w:p>
    <w:bookmarkEnd w:id="218"/>
    <w:bookmarkStart w:id="220" w:name="ref-QuantitudeS3E18"/>
    <w:p>
      <w:pPr>
        <w:pStyle w:val="Bibliography"/>
      </w:pPr>
      <w:r>
        <w:t xml:space="preserve">Hancock, G. R., &amp; Curran, P. J. (Hosts). (2022, February 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In Quantitude; Quantitude.</w:t>
      </w:r>
      <w:r>
        <w:t xml:space="preserve"> </w:t>
      </w:r>
      <w:hyperlink r:id="rId219">
        <w:r>
          <w:rPr>
            <w:rStyle w:val="Hyperlink"/>
          </w:rPr>
          <w:t xml:space="preserve">https://quantitudepod.org/latent-means/ (archived at: https://perma.cc/5JL3-YUPA)</w:t>
        </w:r>
      </w:hyperlink>
    </w:p>
    <w:bookmarkEnd w:id="220"/>
    <w:bookmarkStart w:id="222"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21">
        <w:r>
          <w:rPr>
            <w:rStyle w:val="Hyperlink"/>
          </w:rPr>
          <w:t xml:space="preserve">https://doi.org/10.1017/S0954579424000713</w:t>
        </w:r>
      </w:hyperlink>
    </w:p>
    <w:bookmarkEnd w:id="222"/>
    <w:bookmarkStart w:id="224"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23">
        <w:r>
          <w:rPr>
            <w:rStyle w:val="Hyperlink"/>
          </w:rPr>
          <w:t xml:space="preserve">https://doi.org/10.1017/S0033291711001966</w:t>
        </w:r>
      </w:hyperlink>
    </w:p>
    <w:bookmarkEnd w:id="224"/>
    <w:bookmarkStart w:id="226"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25">
        <w:r>
          <w:rPr>
            <w:rStyle w:val="Hyperlink"/>
          </w:rPr>
          <w:t xml:space="preserve">https://doi.org/10.1017/S003329172000183X</w:t>
        </w:r>
      </w:hyperlink>
    </w:p>
    <w:bookmarkEnd w:id="226"/>
    <w:bookmarkStart w:id="228" w:name="ref-Hertzog2003"/>
    <w:p>
      <w:pPr>
        <w:pStyle w:val="Bibliography"/>
      </w:pPr>
      <w:r>
        <w:t xml:space="preserve">Hertzog, C., &amp; Nesselroade, J. R. (2003). Assessing psychological change in adulthood: An overview of methodological issues.</w:t>
      </w:r>
      <w:r>
        <w:t xml:space="preserve"> </w:t>
      </w:r>
      <w:r>
        <w:rPr>
          <w:i/>
          <w:iCs/>
        </w:rPr>
        <w:t xml:space="preserve">Psychology and Aging</w:t>
      </w:r>
      <w:r>
        <w:t xml:space="preserve">,</w:t>
      </w:r>
      <w:r>
        <w:t xml:space="preserve"> </w:t>
      </w:r>
      <w:r>
        <w:rPr>
          <w:i/>
          <w:iCs/>
        </w:rPr>
        <w:t xml:space="preserve">18</w:t>
      </w:r>
      <w:r>
        <w:t xml:space="preserve">(4), 639–657.</w:t>
      </w:r>
      <w:r>
        <w:t xml:space="preserve"> </w:t>
      </w:r>
      <w:hyperlink r:id="rId227">
        <w:r>
          <w:rPr>
            <w:rStyle w:val="Hyperlink"/>
          </w:rPr>
          <w:t xml:space="preserve">https://doi.org/10.1037/0882-7974.18.4.639</w:t>
        </w:r>
      </w:hyperlink>
    </w:p>
    <w:bookmarkEnd w:id="228"/>
    <w:bookmarkStart w:id="230"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29">
        <w:r>
          <w:rPr>
            <w:rStyle w:val="Hyperlink"/>
          </w:rPr>
          <w:t xml:space="preserve">https://doi.org/10.1176/appi.ajp.2008.08030366</w:t>
        </w:r>
      </w:hyperlink>
    </w:p>
    <w:bookmarkEnd w:id="230"/>
    <w:bookmarkStart w:id="232"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31">
        <w:r>
          <w:rPr>
            <w:rStyle w:val="Hyperlink"/>
          </w:rPr>
          <w:t xml:space="preserve">https://doi.org/10.1007/s10826-018-1272-4</w:t>
        </w:r>
      </w:hyperlink>
    </w:p>
    <w:bookmarkEnd w:id="232"/>
    <w:bookmarkStart w:id="233"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33"/>
    <w:bookmarkStart w:id="234" w:name="ref-Kagan1971"/>
    <w:p>
      <w:pPr>
        <w:pStyle w:val="Bibliography"/>
      </w:pPr>
      <w:r>
        <w:t xml:space="preserve">Kagan, J. (1971).</w:t>
      </w:r>
      <w:r>
        <w:t xml:space="preserve"> </w:t>
      </w:r>
      <w:r>
        <w:rPr>
          <w:i/>
          <w:iCs/>
        </w:rPr>
        <w:t xml:space="preserve">Change and continuity in infancy</w:t>
      </w:r>
      <w:r>
        <w:t xml:space="preserve">. Wiley.</w:t>
      </w:r>
    </w:p>
    <w:bookmarkEnd w:id="234"/>
    <w:bookmarkStart w:id="235"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35"/>
    <w:bookmarkStart w:id="237" w:name="ref-Kagan1962"/>
    <w:p>
      <w:pPr>
        <w:pStyle w:val="Bibliography"/>
      </w:pPr>
      <w:r>
        <w:t xml:space="preserve">Kagan, J., &amp; Moss, H. A. (1962).</w:t>
      </w:r>
      <w:r>
        <w:t xml:space="preserve"> </w:t>
      </w:r>
      <w:r>
        <w:rPr>
          <w:i/>
          <w:iCs/>
        </w:rPr>
        <w:t xml:space="preserve">Birth to maturity: A study in psychological development</w:t>
      </w:r>
      <w:r>
        <w:t xml:space="preserve">. Wiley.</w:t>
      </w:r>
      <w:r>
        <w:t xml:space="preserve"> </w:t>
      </w:r>
      <w:hyperlink r:id="rId236">
        <w:r>
          <w:rPr>
            <w:rStyle w:val="Hyperlink"/>
          </w:rPr>
          <w:t xml:space="preserve">https://doi.org/10.1037/13129-000</w:t>
        </w:r>
      </w:hyperlink>
    </w:p>
    <w:bookmarkEnd w:id="237"/>
    <w:bookmarkStart w:id="239" w:name="ref-Keijsers2012"/>
    <w:p>
      <w:pPr>
        <w:pStyle w:val="Bibliography"/>
      </w:pPr>
      <w:r>
        <w:t xml:space="preserve">Keijsers, L., Loeber, R., Branje, S., &amp; Meeus, W. (2012). Parent-child relationships of boys in different offending trajectories. A 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38">
        <w:r>
          <w:rPr>
            <w:rStyle w:val="Hyperlink"/>
          </w:rPr>
          <w:t xml:space="preserve">https://doi.org/10.1111/j.1469-7610.2012.02585.x</w:t>
        </w:r>
      </w:hyperlink>
    </w:p>
    <w:bookmarkEnd w:id="239"/>
    <w:bookmarkStart w:id="241" w:name="ref-Kim2009"/>
    <w:p>
      <w:pPr>
        <w:pStyle w:val="Bibliography"/>
      </w:pPr>
      <w:r>
        <w:t xml:space="preserve">Kim, H. K., Capaldi, D. M., Pears, K. C., Kerr, D. C. R., &amp; Owen, L. D. (2009). Intergenerational transmission of internalising and externalising behaviours across three generations: Gender-specific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40">
        <w:r>
          <w:rPr>
            <w:rStyle w:val="Hyperlink"/>
          </w:rPr>
          <w:t xml:space="preserve">https://doi.org/10.1002/cbm.708</w:t>
        </w:r>
      </w:hyperlink>
    </w:p>
    <w:bookmarkEnd w:id="241"/>
    <w:bookmarkStart w:id="243"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42">
        <w:r>
          <w:rPr>
            <w:rStyle w:val="Hyperlink"/>
          </w:rPr>
          <w:t xml:space="preserve">https://doi.org/10.1111/jora.12252</w:t>
        </w:r>
      </w:hyperlink>
    </w:p>
    <w:bookmarkEnd w:id="243"/>
    <w:bookmarkStart w:id="245"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44">
        <w:r>
          <w:rPr>
            <w:rStyle w:val="Hyperlink"/>
          </w:rPr>
          <w:t xml:space="preserve">https://doi.org/10.1007/s10802-017-0383-5</w:t>
        </w:r>
      </w:hyperlink>
    </w:p>
    <w:bookmarkEnd w:id="245"/>
    <w:bookmarkStart w:id="247"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46">
        <w:r>
          <w:rPr>
            <w:rStyle w:val="Hyperlink"/>
          </w:rPr>
          <w:t xml:space="preserve">https://doi.org/10.1007/s10802-021-00885-y</w:t>
        </w:r>
      </w:hyperlink>
    </w:p>
    <w:bookmarkEnd w:id="247"/>
    <w:bookmarkStart w:id="249"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48">
        <w:r>
          <w:rPr>
            <w:rStyle w:val="Hyperlink"/>
          </w:rPr>
          <w:t xml:space="preserve">https://doi.org/10.1111/j.1750-8606.2009.00112.x</w:t>
        </w:r>
      </w:hyperlink>
    </w:p>
    <w:bookmarkEnd w:id="249"/>
    <w:bookmarkStart w:id="251" w:name="ref-Kolen2014"/>
    <w:p>
      <w:pPr>
        <w:pStyle w:val="Bibliography"/>
      </w:pPr>
      <w:r>
        <w:t xml:space="preserve">Kolen, M. J., &amp; Brennan, R. L. (2014).</w:t>
      </w:r>
      <w:r>
        <w:t xml:space="preserve"> </w:t>
      </w:r>
      <w:r>
        <w:rPr>
          <w:i/>
          <w:iCs/>
        </w:rPr>
        <w:t xml:space="preserve">Test equating, scaling, and linking: Methods and practices</w:t>
      </w:r>
      <w:r>
        <w:t xml:space="preserve"> </w:t>
      </w:r>
      <w:r>
        <w:t xml:space="preserve">(3rd ed., p. 566). Springer.</w:t>
      </w:r>
      <w:r>
        <w:t xml:space="preserve"> </w:t>
      </w:r>
      <w:hyperlink r:id="rId250">
        <w:r>
          <w:rPr>
            <w:rStyle w:val="Hyperlink"/>
          </w:rPr>
          <w:t xml:space="preserve">https://doi.org/10.1007/978-1-4939-0317-7</w:t>
        </w:r>
      </w:hyperlink>
    </w:p>
    <w:bookmarkEnd w:id="251"/>
    <w:bookmarkStart w:id="252"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52"/>
    <w:bookmarkStart w:id="254"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53">
        <w:r>
          <w:rPr>
            <w:rStyle w:val="Hyperlink"/>
          </w:rPr>
          <w:t xml:space="preserve">https://doi.org/10.1037/abn0000258</w:t>
        </w:r>
      </w:hyperlink>
    </w:p>
    <w:bookmarkEnd w:id="254"/>
    <w:bookmarkStart w:id="256" w:name="ref-Kraemer2003"/>
    <w:p>
      <w:pPr>
        <w:pStyle w:val="Bibliography"/>
      </w:pPr>
      <w:r>
        <w:t xml:space="preserve">Kraemer, H. C., Measelle, J. R., Ablow, J. C., Essex, M. J., Boyce, W. T., &amp; Kupfer, D. J. (2003). A new approach to integrating data from multiple informants in psychiatric assessment and research: Mixing and matching contexts and perspectives.</w:t>
      </w:r>
      <w:r>
        <w:t xml:space="preserve"> </w:t>
      </w:r>
      <w:r>
        <w:rPr>
          <w:i/>
          <w:iCs/>
        </w:rPr>
        <w:t xml:space="preserve">American Journal of Psychiatry</w:t>
      </w:r>
      <w:r>
        <w:t xml:space="preserve">,</w:t>
      </w:r>
      <w:r>
        <w:t xml:space="preserve"> </w:t>
      </w:r>
      <w:r>
        <w:rPr>
          <w:i/>
          <w:iCs/>
        </w:rPr>
        <w:t xml:space="preserve">160</w:t>
      </w:r>
      <w:r>
        <w:t xml:space="preserve">(9), 1566–1577.</w:t>
      </w:r>
      <w:r>
        <w:t xml:space="preserve"> </w:t>
      </w:r>
      <w:hyperlink r:id="rId255">
        <w:r>
          <w:rPr>
            <w:rStyle w:val="Hyperlink"/>
          </w:rPr>
          <w:t xml:space="preserve">https://doi.org/10.1176/appi.ajp.160.9.1566</w:t>
        </w:r>
      </w:hyperlink>
    </w:p>
    <w:bookmarkEnd w:id="256"/>
    <w:bookmarkStart w:id="258"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57">
        <w:r>
          <w:rPr>
            <w:rStyle w:val="Hyperlink"/>
          </w:rPr>
          <w:t xml:space="preserve">https://doi.org/10.1111/psyp.12551</w:t>
        </w:r>
      </w:hyperlink>
    </w:p>
    <w:bookmarkEnd w:id="258"/>
    <w:bookmarkStart w:id="260"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59">
        <w:r>
          <w:rPr>
            <w:rStyle w:val="Hyperlink"/>
          </w:rPr>
          <w:t xml:space="preserve">https://doi.org/10.1002/wps.20844</w:t>
        </w:r>
      </w:hyperlink>
    </w:p>
    <w:bookmarkEnd w:id="260"/>
    <w:bookmarkStart w:id="262"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61">
        <w:r>
          <w:rPr>
            <w:rStyle w:val="Hyperlink"/>
          </w:rPr>
          <w:t xml:space="preserve">https://doi.org/10.1001/archgenpsychiatry.2010.188</w:t>
        </w:r>
      </w:hyperlink>
    </w:p>
    <w:bookmarkEnd w:id="262"/>
    <w:bookmarkStart w:id="264"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63">
        <w:r>
          <w:rPr>
            <w:rStyle w:val="Hyperlink"/>
          </w:rPr>
          <w:t xml:space="preserve">https://doi.org/10.1037/0021-843X.116.4.645</w:t>
        </w:r>
      </w:hyperlink>
    </w:p>
    <w:bookmarkEnd w:id="264"/>
    <w:bookmarkStart w:id="266"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65">
        <w:r>
          <w:rPr>
            <w:rStyle w:val="Hyperlink"/>
          </w:rPr>
          <w:t xml:space="preserve">https://doi.org/10.1037/0021-843x.114.4.537</w:t>
        </w:r>
      </w:hyperlink>
    </w:p>
    <w:bookmarkEnd w:id="266"/>
    <w:bookmarkStart w:id="268"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67">
        <w:r>
          <w:rPr>
            <w:rStyle w:val="Hyperlink"/>
          </w:rPr>
          <w:t xml:space="preserve">https://doi.org/10.1037/1040-3590.16.2.107</w:t>
        </w:r>
      </w:hyperlink>
    </w:p>
    <w:bookmarkEnd w:id="268"/>
    <w:bookmarkStart w:id="270"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69">
        <w:r>
          <w:rPr>
            <w:rStyle w:val="Hyperlink"/>
          </w:rPr>
          <w:t xml:space="preserve">https://doi.org/10.1016/S0005-7967(02)00016-5</w:t>
        </w:r>
      </w:hyperlink>
    </w:p>
    <w:bookmarkEnd w:id="270"/>
    <w:bookmarkStart w:id="272"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71">
        <w:r>
          <w:rPr>
            <w:rStyle w:val="Hyperlink"/>
          </w:rPr>
          <w:t xml:space="preserve">https://doi.org/10.1080/00273171.2021.1941730</w:t>
        </w:r>
      </w:hyperlink>
    </w:p>
    <w:bookmarkEnd w:id="272"/>
    <w:bookmarkStart w:id="274"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73">
        <w:r>
          <w:rPr>
            <w:rStyle w:val="Hyperlink"/>
          </w:rPr>
          <w:t xml:space="preserve">https://doi.org/10.1017/S0954579410000301</w:t>
        </w:r>
      </w:hyperlink>
    </w:p>
    <w:bookmarkEnd w:id="274"/>
    <w:bookmarkStart w:id="276"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75">
        <w:r>
          <w:rPr>
            <w:rStyle w:val="Hyperlink"/>
          </w:rPr>
          <w:t xml:space="preserve">https://doi.org/10.1007/978-3-030-68429-7</w:t>
        </w:r>
      </w:hyperlink>
    </w:p>
    <w:bookmarkEnd w:id="276"/>
    <w:bookmarkStart w:id="277" w:name="ref-Little2024"/>
    <w:p>
      <w:pPr>
        <w:pStyle w:val="Bibliography"/>
      </w:pPr>
      <w:r>
        <w:t xml:space="preserve">Little, T. D. (2024).</w:t>
      </w:r>
      <w:r>
        <w:t xml:space="preserve"> </w:t>
      </w:r>
      <w:r>
        <w:rPr>
          <w:i/>
          <w:iCs/>
        </w:rPr>
        <w:t xml:space="preserve">Longitudinal structural equation modeling</w:t>
      </w:r>
      <w:r>
        <w:t xml:space="preserve"> </w:t>
      </w:r>
      <w:r>
        <w:t xml:space="preserve">(2nd ed.). Guilford Publications.</w:t>
      </w:r>
    </w:p>
    <w:bookmarkEnd w:id="277"/>
    <w:bookmarkStart w:id="279" w:name="ref-Makol2025"/>
    <w:p>
      <w:pPr>
        <w:pStyle w:val="Bibliography"/>
      </w:pPr>
      <w:r>
        <w:t xml:space="preserve">Makol, B. A., Yang, J., Wang, M., &amp; De Los Reyes, A. (2025).</w:t>
      </w:r>
      <w:r>
        <w:t xml:space="preserve"> </w:t>
      </w:r>
      <w:r>
        <w:rPr>
          <w:i/>
          <w:iCs/>
        </w:rPr>
        <w:t xml:space="preserve">Youth development in context: Integrating multiple informants to assess behavior</w:t>
      </w:r>
      <w:r>
        <w:t xml:space="preserve">. Springer Nature Switzerland.</w:t>
      </w:r>
      <w:r>
        <w:t xml:space="preserve"> </w:t>
      </w:r>
      <w:hyperlink r:id="rId278">
        <w:r>
          <w:rPr>
            <w:rStyle w:val="Hyperlink"/>
          </w:rPr>
          <w:t xml:space="preserve">https://doi.org/10.1007/978-3-031-80549-3</w:t>
        </w:r>
      </w:hyperlink>
    </w:p>
    <w:bookmarkEnd w:id="279"/>
    <w:bookmarkStart w:id="281"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80">
        <w:r>
          <w:rPr>
            <w:rStyle w:val="Hyperlink"/>
          </w:rPr>
          <w:t xml:space="preserve">https://doi.org/10.1037/a0023678</w:t>
        </w:r>
      </w:hyperlink>
    </w:p>
    <w:bookmarkEnd w:id="281"/>
    <w:bookmarkStart w:id="283"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82">
        <w:r>
          <w:rPr>
            <w:rStyle w:val="Hyperlink"/>
          </w:rPr>
          <w:t xml:space="preserve">https://doi.org/10.1001/archpsyc.62.12.1352</w:t>
        </w:r>
      </w:hyperlink>
    </w:p>
    <w:bookmarkEnd w:id="283"/>
    <w:bookmarkStart w:id="285" w:name="ref-Masche2004"/>
    <w:p>
      <w:pPr>
        <w:pStyle w:val="Bibliography"/>
      </w:pPr>
      <w:r>
        <w:t xml:space="preserve">Masche, J. G., &amp; Dulmen, M. H. M. van. (2004). Advances in disentangling age, cohort, and time effects: No quadrature of the circle, but a help.</w:t>
      </w:r>
      <w:r>
        <w:t xml:space="preserve"> </w:t>
      </w:r>
      <w:r>
        <w:rPr>
          <w:i/>
          <w:iCs/>
        </w:rPr>
        <w:t xml:space="preserve">Developmental Review</w:t>
      </w:r>
      <w:r>
        <w:t xml:space="preserve">,</w:t>
      </w:r>
      <w:r>
        <w:t xml:space="preserve"> </w:t>
      </w:r>
      <w:r>
        <w:rPr>
          <w:i/>
          <w:iCs/>
        </w:rPr>
        <w:t xml:space="preserve">24</w:t>
      </w:r>
      <w:r>
        <w:t xml:space="preserve">(3), 322–342.</w:t>
      </w:r>
      <w:r>
        <w:t xml:space="preserve"> </w:t>
      </w:r>
      <w:hyperlink r:id="rId284">
        <w:r>
          <w:rPr>
            <w:rStyle w:val="Hyperlink"/>
          </w:rPr>
          <w:t xml:space="preserve">https://doi.org/10.1016/j.dr.2004.04.002</w:t>
        </w:r>
      </w:hyperlink>
    </w:p>
    <w:bookmarkEnd w:id="285"/>
    <w:bookmarkStart w:id="287"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86">
        <w:r>
          <w:rPr>
            <w:rStyle w:val="Hyperlink"/>
          </w:rPr>
          <w:t xml:space="preserve">https://doi.org/10.1111/j.1467-9507.2008.00480.x</w:t>
        </w:r>
      </w:hyperlink>
    </w:p>
    <w:bookmarkEnd w:id="287"/>
    <w:bookmarkStart w:id="288" w:name="ref-Millsap2011"/>
    <w:p>
      <w:pPr>
        <w:pStyle w:val="Bibliography"/>
      </w:pPr>
      <w:r>
        <w:t xml:space="preserve">Millsap, R. E. (2011).</w:t>
      </w:r>
      <w:r>
        <w:t xml:space="preserve"> </w:t>
      </w:r>
      <w:r>
        <w:rPr>
          <w:i/>
          <w:iCs/>
        </w:rPr>
        <w:t xml:space="preserve">Statistical approaches to measurement invariance</w:t>
      </w:r>
      <w:r>
        <w:t xml:space="preserve">. Taylor &amp; Francis.</w:t>
      </w:r>
    </w:p>
    <w:bookmarkEnd w:id="288"/>
    <w:bookmarkStart w:id="290"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89">
        <w:r>
          <w:rPr>
            <w:rStyle w:val="Hyperlink"/>
          </w:rPr>
          <w:t xml:space="preserve">https://news.harvard.edu/gazette/story/2017/04/over-nearly-80-years-harvard-study-has-been-showing-how-to-live-a-healthy-and-happy-life/</w:t>
        </w:r>
      </w:hyperlink>
    </w:p>
    <w:bookmarkEnd w:id="290"/>
    <w:bookmarkStart w:id="292"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91">
        <w:r>
          <w:rPr>
            <w:rStyle w:val="Hyperlink"/>
          </w:rPr>
          <w:t xml:space="preserve">https://doi.org/10.1037/0033-295X.100.4.674</w:t>
        </w:r>
      </w:hyperlink>
    </w:p>
    <w:bookmarkEnd w:id="292"/>
    <w:bookmarkStart w:id="294"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93">
        <w:r>
          <w:rPr>
            <w:rStyle w:val="Hyperlink"/>
          </w:rPr>
          <w:t xml:space="preserve">https://doi.org/10.1073/pnas.1010076108</w:t>
        </w:r>
      </w:hyperlink>
    </w:p>
    <w:bookmarkEnd w:id="294"/>
    <w:bookmarkStart w:id="296"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95">
        <w:r>
          <w:rPr>
            <w:rStyle w:val="Hyperlink"/>
          </w:rPr>
          <w:t xml:space="preserve">https://doi.org/10.1159/000270073</w:t>
        </w:r>
      </w:hyperlink>
    </w:p>
    <w:bookmarkEnd w:id="296"/>
    <w:bookmarkStart w:id="298"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297">
        <w:r>
          <w:rPr>
            <w:rStyle w:val="Hyperlink"/>
          </w:rPr>
          <w:t xml:space="preserve">https://doi.org/10.3389/fpsyg.2014.00978</w:t>
        </w:r>
      </w:hyperlink>
    </w:p>
    <w:bookmarkEnd w:id="298"/>
    <w:bookmarkStart w:id="300" w:name="ref-Nicholson2017"/>
    <w:p>
      <w:pPr>
        <w:pStyle w:val="Bibliography"/>
      </w:pPr>
      <w:r>
        <w:t xml:space="preserve">Nicholson, J. S., Deboeck, P. R., &amp; Howard, W. (2017). Attrition in developmental psychology: A review of modern missing data reporting and practices.</w:t>
      </w:r>
      <w:r>
        <w:t xml:space="preserve"> </w:t>
      </w:r>
      <w:r>
        <w:rPr>
          <w:i/>
          <w:iCs/>
        </w:rPr>
        <w:t xml:space="preserve">International Journal of Behavioral Development</w:t>
      </w:r>
      <w:r>
        <w:t xml:space="preserve">,</w:t>
      </w:r>
      <w:r>
        <w:t xml:space="preserve"> </w:t>
      </w:r>
      <w:r>
        <w:rPr>
          <w:i/>
          <w:iCs/>
        </w:rPr>
        <w:t xml:space="preserve">41</w:t>
      </w:r>
      <w:r>
        <w:t xml:space="preserve">(1), 143–153.</w:t>
      </w:r>
      <w:r>
        <w:t xml:space="preserve"> </w:t>
      </w:r>
      <w:hyperlink r:id="rId299">
        <w:r>
          <w:rPr>
            <w:rStyle w:val="Hyperlink"/>
          </w:rPr>
          <w:t xml:space="preserve">https://doi.org/10.1177/0165025415618275</w:t>
        </w:r>
      </w:hyperlink>
    </w:p>
    <w:bookmarkEnd w:id="300"/>
    <w:bookmarkStart w:id="302"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301">
        <w:r>
          <w:rPr>
            <w:rStyle w:val="Hyperlink"/>
          </w:rPr>
          <w:t xml:space="preserve">https://doi.org/10.1146/annurev-clinpsy-061324-073435</w:t>
        </w:r>
      </w:hyperlink>
    </w:p>
    <w:bookmarkEnd w:id="302"/>
    <w:bookmarkStart w:id="304"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303">
        <w:r>
          <w:rPr>
            <w:rStyle w:val="Hyperlink"/>
          </w:rPr>
          <w:t xml:space="preserve">https://doi.org/10.1017/S0954579408000333</w:t>
        </w:r>
      </w:hyperlink>
    </w:p>
    <w:bookmarkEnd w:id="304"/>
    <w:bookmarkStart w:id="306"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305">
        <w:r>
          <w:rPr>
            <w:rStyle w:val="Hyperlink"/>
          </w:rPr>
          <w:t xml:space="preserve">https://doi.org/10.1023/a:1026254005632</w:t>
        </w:r>
      </w:hyperlink>
    </w:p>
    <w:bookmarkEnd w:id="306"/>
    <w:bookmarkStart w:id="308"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307">
        <w:r>
          <w:rPr>
            <w:rStyle w:val="Hyperlink"/>
          </w:rPr>
          <w:t xml:space="preserve">https://doi.org/10.1371/journal.pone.0063109</w:t>
        </w:r>
      </w:hyperlink>
    </w:p>
    <w:bookmarkEnd w:id="308"/>
    <w:bookmarkStart w:id="310"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309">
        <w:r>
          <w:rPr>
            <w:rStyle w:val="Hyperlink"/>
          </w:rPr>
          <w:t xml:space="preserve">https://doi.org/10.1037/0022-006X.61.6.911</w:t>
        </w:r>
      </w:hyperlink>
    </w:p>
    <w:bookmarkEnd w:id="310"/>
    <w:bookmarkStart w:id="312"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311">
        <w:r>
          <w:rPr>
            <w:rStyle w:val="Hyperlink"/>
          </w:rPr>
          <w:t xml:space="preserve">https://doi.org/10.1111/desc.70216</w:t>
        </w:r>
      </w:hyperlink>
    </w:p>
    <w:bookmarkEnd w:id="312"/>
    <w:bookmarkStart w:id="314"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313">
        <w:r>
          <w:rPr>
            <w:rStyle w:val="Hyperlink"/>
          </w:rPr>
          <w:t xml:space="preserve">https://doi.org/10.1037/dev0001657</w:t>
        </w:r>
      </w:hyperlink>
    </w:p>
    <w:bookmarkEnd w:id="314"/>
    <w:bookmarkStart w:id="315"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16">
        <w:r>
          <w:rPr>
            <w:rStyle w:val="Hyperlink"/>
          </w:rPr>
          <w:t xml:space="preserve">https://doi.org/10.25820/work.007199</w:t>
        </w:r>
      </w:hyperlink>
    </w:p>
    <w:bookmarkEnd w:id="315"/>
    <w:bookmarkStart w:id="317"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316">
        <w:r>
          <w:rPr>
            <w:rStyle w:val="Hyperlink"/>
          </w:rPr>
          <w:t xml:space="preserve">https://doi.org/10.1017/S0954579414000789</w:t>
        </w:r>
      </w:hyperlink>
    </w:p>
    <w:bookmarkEnd w:id="317"/>
    <w:bookmarkStart w:id="319"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18">
        <w:r>
          <w:rPr>
            <w:rStyle w:val="Hyperlink"/>
          </w:rPr>
          <w:t xml:space="preserve">https://doi.org/10.1016/j.dr.2020.100935</w:t>
        </w:r>
      </w:hyperlink>
    </w:p>
    <w:bookmarkEnd w:id="319"/>
    <w:bookmarkStart w:id="320" w:name="ref-Petersen2026b"/>
    <w:p>
      <w:pPr>
        <w:pStyle w:val="Bibliography"/>
      </w:pPr>
      <w:r>
        <w:t xml:space="preserve">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p>
    <w:bookmarkEnd w:id="320"/>
    <w:bookmarkStart w:id="321"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5">
        <w:r>
          <w:rPr>
            <w:rStyle w:val="Hyperlink"/>
          </w:rPr>
          <w:t xml:space="preserve">https://doi.org/10.1016/j.jaacop.2025.10.008</w:t>
        </w:r>
      </w:hyperlink>
    </w:p>
    <w:bookmarkEnd w:id="321"/>
    <w:bookmarkStart w:id="322"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08">
        <w:r>
          <w:rPr>
            <w:rStyle w:val="Hyperlink"/>
          </w:rPr>
          <w:t xml:space="preserve">https://doi.org/10.1037/edu0000461</w:t>
        </w:r>
      </w:hyperlink>
    </w:p>
    <w:bookmarkEnd w:id="322"/>
    <w:bookmarkStart w:id="324" w:name="ref-Petersen2021a"/>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23">
        <w:r>
          <w:rPr>
            <w:rStyle w:val="Hyperlink"/>
          </w:rPr>
          <w:t xml:space="preserve">https://doi.org/10.1111/cdev.13433</w:t>
        </w:r>
      </w:hyperlink>
    </w:p>
    <w:bookmarkEnd w:id="324"/>
    <w:bookmarkStart w:id="326"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25">
        <w:r>
          <w:rPr>
            <w:rStyle w:val="Hyperlink"/>
          </w:rPr>
          <w:t xml:space="preserve">https://doi.org/10.1037/dev0000449</w:t>
        </w:r>
      </w:hyperlink>
    </w:p>
    <w:bookmarkEnd w:id="326"/>
    <w:bookmarkStart w:id="328" w:name="ref-Podsakoff2012"/>
    <w:p>
      <w:pPr>
        <w:pStyle w:val="Bibliography"/>
      </w:pPr>
      <w:r>
        <w:t xml:space="preserve">Podsakoff, P. M., MacKenzie, S. B., &amp; Podsakoff, N. P. (2012). Sources of method bias in social science research and recommendations on how to control it.</w:t>
      </w:r>
      <w:r>
        <w:t xml:space="preserve"> </w:t>
      </w:r>
      <w:r>
        <w:rPr>
          <w:i/>
          <w:iCs/>
        </w:rPr>
        <w:t xml:space="preserve">Annual Review of Psychology</w:t>
      </w:r>
      <w:r>
        <w:t xml:space="preserve">,</w:t>
      </w:r>
      <w:r>
        <w:t xml:space="preserve"> </w:t>
      </w:r>
      <w:r>
        <w:rPr>
          <w:i/>
          <w:iCs/>
        </w:rPr>
        <w:t xml:space="preserve">63</w:t>
      </w:r>
      <w:r>
        <w:t xml:space="preserve">(1), 539–569.</w:t>
      </w:r>
      <w:r>
        <w:t xml:space="preserve"> </w:t>
      </w:r>
      <w:hyperlink r:id="rId327">
        <w:r>
          <w:rPr>
            <w:rStyle w:val="Hyperlink"/>
          </w:rPr>
          <w:t xml:space="preserve">https://doi.org/10.1146/annurev-psych-120710-100452</w:t>
        </w:r>
      </w:hyperlink>
    </w:p>
    <w:bookmarkEnd w:id="328"/>
    <w:bookmarkStart w:id="330"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29">
        <w:r>
          <w:rPr>
            <w:rStyle w:val="Hyperlink"/>
          </w:rPr>
          <w:t xml:space="preserve">https://doi.org/10.1007/s00127-015-1048-8</w:t>
        </w:r>
      </w:hyperlink>
    </w:p>
    <w:bookmarkEnd w:id="330"/>
    <w:bookmarkStart w:id="332" w:name="ref-Revelle2019"/>
    <w:p>
      <w:pPr>
        <w:pStyle w:val="Bibliography"/>
      </w:pPr>
      <w:r>
        <w:t xml:space="preserve">Revelle, W., &amp; Condon, D. M. (2019). Reliability from</w:t>
      </w:r>
      <w:r>
        <w:t xml:space="preserve"> </w:t>
      </w:r>
      <m:oMath>
        <m:r>
          <m:t>α</m:t>
        </m:r>
      </m:oMath>
      <w:r>
        <w:t xml:space="preserve"> </w:t>
      </w:r>
      <w:r>
        <w:t xml:space="preserve">to</w:t>
      </w:r>
      <w:r>
        <w:t xml:space="preserve"> </w:t>
      </w:r>
      <m:oMath>
        <m:r>
          <m:t>ω</m:t>
        </m:r>
      </m:oMath>
      <w:r>
        <w:t xml:space="preserve">: A tutorial.</w:t>
      </w:r>
      <w:r>
        <w:t xml:space="preserve"> </w:t>
      </w:r>
      <w:r>
        <w:rPr>
          <w:i/>
          <w:iCs/>
        </w:rPr>
        <w:t xml:space="preserve">Psychological Assessment</w:t>
      </w:r>
      <w:r>
        <w:t xml:space="preserve">,</w:t>
      </w:r>
      <w:r>
        <w:t xml:space="preserve"> </w:t>
      </w:r>
      <w:r>
        <w:rPr>
          <w:i/>
          <w:iCs/>
        </w:rPr>
        <w:t xml:space="preserve">31</w:t>
      </w:r>
      <w:r>
        <w:t xml:space="preserve">(12), 1395–1411.</w:t>
      </w:r>
      <w:r>
        <w:t xml:space="preserve"> </w:t>
      </w:r>
      <w:hyperlink r:id="rId331">
        <w:r>
          <w:rPr>
            <w:rStyle w:val="Hyperlink"/>
          </w:rPr>
          <w:t xml:space="preserve">https://doi.org/10.1037/pas0000754</w:t>
        </w:r>
      </w:hyperlink>
    </w:p>
    <w:bookmarkEnd w:id="332"/>
    <w:bookmarkStart w:id="334"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33">
        <w:r>
          <w:rPr>
            <w:rStyle w:val="Hyperlink"/>
          </w:rPr>
          <w:t xml:space="preserve">https://doi.org/10.1080/10705511.2023.2191292</w:t>
        </w:r>
      </w:hyperlink>
    </w:p>
    <w:bookmarkEnd w:id="334"/>
    <w:bookmarkStart w:id="335"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35"/>
    <w:bookmarkStart w:id="337" w:name="ref-Rohrer2025"/>
    <w:p>
      <w:pPr>
        <w:pStyle w:val="Bibliography"/>
      </w:pPr>
      <w:r>
        <w:t xml:space="preserve">Rohrer, J. M. (2025). Thinking clearly about age, period, and cohort effects.</w:t>
      </w:r>
      <w:r>
        <w:t xml:space="preserve"> </w:t>
      </w:r>
      <w:r>
        <w:rPr>
          <w:i/>
          <w:iCs/>
        </w:rPr>
        <w:t xml:space="preserve">Advances in Methods and Practices in Psychological Science</w:t>
      </w:r>
      <w:r>
        <w:t xml:space="preserve">,</w:t>
      </w:r>
      <w:r>
        <w:t xml:space="preserve"> </w:t>
      </w:r>
      <w:r>
        <w:rPr>
          <w:i/>
          <w:iCs/>
        </w:rPr>
        <w:t xml:space="preserve">8</w:t>
      </w:r>
      <w:r>
        <w:t xml:space="preserve">(2), 25152459251342750.</w:t>
      </w:r>
      <w:r>
        <w:t xml:space="preserve"> </w:t>
      </w:r>
      <w:hyperlink r:id="rId336">
        <w:r>
          <w:rPr>
            <w:rStyle w:val="Hyperlink"/>
          </w:rPr>
          <w:t xml:space="preserve">https://doi.org/10.1177/25152459251342750</w:t>
        </w:r>
      </w:hyperlink>
    </w:p>
    <w:bookmarkEnd w:id="337"/>
    <w:bookmarkStart w:id="339"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38">
        <w:r>
          <w:rPr>
            <w:rStyle w:val="Hyperlink"/>
          </w:rPr>
          <w:t xml:space="preserve">https://doi.org/10.1111/j.1469-7610.2006.01614.x</w:t>
        </w:r>
      </w:hyperlink>
    </w:p>
    <w:bookmarkEnd w:id="339"/>
    <w:bookmarkStart w:id="341" w:name="ref-SacuInPress"/>
    <w:p>
      <w:pPr>
        <w:pStyle w:val="Bibliography"/>
      </w:pPr>
      <w:r>
        <w:t xml:space="preserve">Sacu, S., Streit, F., Witt, S. H., Banaschewski, T., Holz, N. E., &amp; Schultebraucks, K. (in press). Predicting psychopathology symptom trajectories using machine learning: A 33-year prospective study.</w:t>
      </w:r>
      <w:r>
        <w:t xml:space="preserve"> </w:t>
      </w:r>
      <w:r>
        <w:rPr>
          <w:i/>
          <w:iCs/>
        </w:rPr>
        <w:t xml:space="preserve">Journal of Child Psychology and Psychiatry</w:t>
      </w:r>
      <w:r>
        <w:t xml:space="preserve">,</w:t>
      </w:r>
      <w:r>
        <w:t xml:space="preserve"> </w:t>
      </w:r>
      <w:r>
        <w:rPr>
          <w:i/>
          <w:iCs/>
        </w:rPr>
        <w:t xml:space="preserve">n/a</w:t>
      </w:r>
      <w:r>
        <w:t xml:space="preserve">(n/a).</w:t>
      </w:r>
      <w:r>
        <w:t xml:space="preserve"> </w:t>
      </w:r>
      <w:hyperlink r:id="rId340">
        <w:r>
          <w:rPr>
            <w:rStyle w:val="Hyperlink"/>
          </w:rPr>
          <w:t xml:space="preserve">https://doi.org/10.1111/jcpp.70180</w:t>
        </w:r>
      </w:hyperlink>
    </w:p>
    <w:bookmarkEnd w:id="341"/>
    <w:bookmarkStart w:id="343"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42">
        <w:r>
          <w:rPr>
            <w:rStyle w:val="Hyperlink"/>
          </w:rPr>
          <w:t xml:space="preserve">https://doi.org/10.1037/abn0000232</w:t>
        </w:r>
      </w:hyperlink>
    </w:p>
    <w:bookmarkEnd w:id="343"/>
    <w:bookmarkStart w:id="345"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44">
        <w:r>
          <w:rPr>
            <w:rStyle w:val="Hyperlink"/>
          </w:rPr>
          <w:t xml:space="preserve">https://doi.org/10.1086/269270</w:t>
        </w:r>
      </w:hyperlink>
    </w:p>
    <w:bookmarkEnd w:id="345"/>
    <w:bookmarkStart w:id="346" w:name="ref-Schaie2005"/>
    <w:p>
      <w:pPr>
        <w:pStyle w:val="Bibliography"/>
      </w:pPr>
      <w:r>
        <w:t xml:space="preserve">Schaie, K. W. (2005).</w:t>
      </w:r>
      <w:r>
        <w:t xml:space="preserve"> </w:t>
      </w:r>
      <w:r>
        <w:rPr>
          <w:i/>
          <w:iCs/>
        </w:rPr>
        <w:t xml:space="preserve">Developmental influences on adult intelligence: The</w:t>
      </w:r>
      <w:r>
        <w:rPr>
          <w:i/>
          <w:iCs/>
        </w:rPr>
        <w:t xml:space="preserve"> </w:t>
      </w:r>
      <w:r>
        <w:rPr>
          <w:i/>
          <w:iCs/>
        </w:rPr>
        <w:t xml:space="preserve">Seattle Longitudinal Study</w:t>
      </w:r>
      <w:r>
        <w:t xml:space="preserve">. Oxford University Press.</w:t>
      </w:r>
    </w:p>
    <w:bookmarkEnd w:id="346"/>
    <w:bookmarkStart w:id="348"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47">
        <w:r>
          <w:rPr>
            <w:rStyle w:val="Hyperlink"/>
          </w:rPr>
          <w:t xml:space="preserve">https://doi.org/10.1037/0003-066X.54.2.93</w:t>
        </w:r>
      </w:hyperlink>
    </w:p>
    <w:bookmarkEnd w:id="348"/>
    <w:bookmarkStart w:id="350" w:name="ref-Seddig2018"/>
    <w:p>
      <w:pPr>
        <w:pStyle w:val="Bibliography"/>
      </w:pPr>
      <w:r>
        <w:t xml:space="preserve">Seddig, D., &amp; Leitgöb, H. (2018). Approximate measurement invariance and longitudinal confirmatory factor analysis: Concept 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49">
        <w:r>
          <w:rPr>
            <w:rStyle w:val="Hyperlink"/>
          </w:rPr>
          <w:t xml:space="preserve">https://doi.org/10.18148/srm/2018.v12i1.7210</w:t>
        </w:r>
      </w:hyperlink>
    </w:p>
    <w:bookmarkEnd w:id="350"/>
    <w:bookmarkStart w:id="352"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51">
        <w:r>
          <w:rPr>
            <w:rStyle w:val="Hyperlink"/>
          </w:rPr>
          <w:t xml:space="preserve">https://doi.org/10.1037/abn0000171</w:t>
        </w:r>
      </w:hyperlink>
    </w:p>
    <w:bookmarkEnd w:id="352"/>
    <w:bookmarkStart w:id="354" w:name="ref-Shi2020"/>
    <w:p>
      <w:pPr>
        <w:pStyle w:val="Bibliography"/>
      </w:pPr>
      <w:r>
        <w:t xml:space="preserve">Shi, Q., Ettekal, I., Deutz, M. H. F., &amp; Woltering, S. (2020). Trajectories of pure and co-occurring internalizing and externalizing problems from early childhood to adolescence: Associations 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53">
        <w:r>
          <w:rPr>
            <w:rStyle w:val="Hyperlink"/>
          </w:rPr>
          <w:t xml:space="preserve">https://doi.org/10.1037/dev0001095</w:t>
        </w:r>
      </w:hyperlink>
    </w:p>
    <w:bookmarkEnd w:id="354"/>
    <w:bookmarkStart w:id="356"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55">
        <w:r>
          <w:rPr>
            <w:rStyle w:val="Hyperlink"/>
          </w:rPr>
          <w:t xml:space="preserve">https://doi.org/10.1037/pas0000648</w:t>
        </w:r>
      </w:hyperlink>
    </w:p>
    <w:bookmarkEnd w:id="356"/>
    <w:bookmarkStart w:id="358"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357">
        <w:r>
          <w:rPr>
            <w:rStyle w:val="Hyperlink"/>
          </w:rPr>
          <w:t xml:space="preserve">https://doi.org/10.1016/j.jcrimjus.2024.102155</w:t>
        </w:r>
      </w:hyperlink>
    </w:p>
    <w:bookmarkEnd w:id="358"/>
    <w:bookmarkStart w:id="360" w:name="ref-Speyer2022"/>
    <w:p>
      <w:pPr>
        <w:pStyle w:val="Bibliography"/>
      </w:pPr>
      <w:r>
        <w:t xml:space="preserve">Speyer, L. G., Neaves, S., Hall, H. A., Hemani, G., Lombardo, M. V., Murray, A. L., Auyeung, B., &amp; Luciano, M. (2022). Polygenic risks for joint developmental trajectories of internalizing and externalizing problems: Findings from the ALSPAC 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59">
        <w:r>
          <w:rPr>
            <w:rStyle w:val="Hyperlink"/>
          </w:rPr>
          <w:t xml:space="preserve">https://doi.org/10.1111/jcpp.13549</w:t>
        </w:r>
      </w:hyperlink>
    </w:p>
    <w:bookmarkEnd w:id="360"/>
    <w:bookmarkStart w:id="361"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61"/>
    <w:bookmarkStart w:id="363"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62">
        <w:r>
          <w:rPr>
            <w:rStyle w:val="Hyperlink"/>
          </w:rPr>
          <w:t xml:space="preserve">https://doi.org/10.1017/S0954579407070174</w:t>
        </w:r>
      </w:hyperlink>
    </w:p>
    <w:bookmarkEnd w:id="363"/>
    <w:bookmarkStart w:id="365" w:name="ref-Sterner2026"/>
    <w:p>
      <w:pPr>
        <w:pStyle w:val="Bibliography"/>
      </w:pPr>
      <w:r>
        <w:t xml:space="preserve">Sterner, P., Pargent, F., &amp; Goretzko, D. (2026). Don’t let</w:t>
      </w:r>
      <w:r>
        <w:t xml:space="preserve"> </w:t>
      </w:r>
      <w:r>
        <w:t xml:space="preserve">MI</w:t>
      </w:r>
      <w:r>
        <w:t xml:space="preserve"> </w:t>
      </w:r>
      <w:r>
        <w:t xml:space="preserve">be misunderstood: A causal view on measurement invariance.</w:t>
      </w:r>
      <w:r>
        <w:t xml:space="preserve"> </w:t>
      </w:r>
      <w:r>
        <w:rPr>
          <w:i/>
          <w:iCs/>
        </w:rPr>
        <w:t xml:space="preserve">Current Research in Ecological and Social Psychology</w:t>
      </w:r>
      <w:r>
        <w:t xml:space="preserve">,</w:t>
      </w:r>
      <w:r>
        <w:t xml:space="preserve"> </w:t>
      </w:r>
      <w:r>
        <w:rPr>
          <w:i/>
          <w:iCs/>
        </w:rPr>
        <w:t xml:space="preserve">10</w:t>
      </w:r>
      <w:r>
        <w:t xml:space="preserve">, 100261.</w:t>
      </w:r>
      <w:r>
        <w:t xml:space="preserve"> </w:t>
      </w:r>
      <w:hyperlink r:id="rId364">
        <w:r>
          <w:rPr>
            <w:rStyle w:val="Hyperlink"/>
          </w:rPr>
          <w:t xml:space="preserve">https://doi.org/10.1016/j.cresp.2025.100261</w:t>
        </w:r>
      </w:hyperlink>
    </w:p>
    <w:bookmarkEnd w:id="365"/>
    <w:bookmarkStart w:id="367"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366">
        <w:r>
          <w:rPr>
            <w:rStyle w:val="Hyperlink"/>
          </w:rPr>
          <w:t xml:space="preserve">https://doi.org/10.1177/1362361320908972</w:t>
        </w:r>
      </w:hyperlink>
    </w:p>
    <w:bookmarkEnd w:id="367"/>
    <w:bookmarkStart w:id="369"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368">
        <w:r>
          <w:rPr>
            <w:rStyle w:val="Hyperlink"/>
          </w:rPr>
          <w:t xml:space="preserve">https://doi.org/10.1037/abn0000751</w:t>
        </w:r>
      </w:hyperlink>
    </w:p>
    <w:bookmarkEnd w:id="369"/>
    <w:bookmarkStart w:id="371"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370">
        <w:r>
          <w:rPr>
            <w:rStyle w:val="Hyperlink"/>
          </w:rPr>
          <w:t xml:space="preserve">https://doi.org/10.1038/s44220-023-00057-5</w:t>
        </w:r>
      </w:hyperlink>
    </w:p>
    <w:bookmarkEnd w:id="371"/>
    <w:bookmarkStart w:id="373" w:name="ref-Tyrell2019"/>
    <w:p>
      <w:pPr>
        <w:pStyle w:val="Bibliography"/>
      </w:pPr>
      <w:r>
        <w:t xml:space="preserve">Tyrell, F. A., Yates, T. M., Widaman, K. F., Reynolds, C. A., &amp; Fabricius, W. V. (2019). Data harmonization: Establishing 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372">
        <w:r>
          <w:rPr>
            <w:rStyle w:val="Hyperlink"/>
          </w:rPr>
          <w:t xml:space="preserve">https://doi.org/10.1080/15374416.2019.1622124</w:t>
        </w:r>
      </w:hyperlink>
    </w:p>
    <w:bookmarkEnd w:id="373"/>
    <w:bookmarkStart w:id="375"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r>
        <w:t xml:space="preserve"> </w:t>
      </w:r>
      <w:hyperlink r:id="rId374">
        <w:r>
          <w:rPr>
            <w:rStyle w:val="Hyperlink"/>
          </w:rPr>
          <w:t xml:space="preserve">https://doi.org/10.2307/j.ctt2jbxs1</w:t>
        </w:r>
      </w:hyperlink>
    </w:p>
    <w:bookmarkEnd w:id="375"/>
    <w:bookmarkStart w:id="377"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 A 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376">
        <w:r>
          <w:rPr>
            <w:rStyle w:val="Hyperlink"/>
          </w:rPr>
          <w:t xml:space="preserve">https://doi.org/10.3389/fpsyg.2013.00770</w:t>
        </w:r>
      </w:hyperlink>
    </w:p>
    <w:bookmarkEnd w:id="377"/>
    <w:bookmarkStart w:id="379"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378">
        <w:r>
          <w:rPr>
            <w:rStyle w:val="Hyperlink"/>
          </w:rPr>
          <w:t xml:space="preserve">https://doi.org/10.1016/j.jaac.2013.10.011</w:t>
        </w:r>
      </w:hyperlink>
    </w:p>
    <w:bookmarkEnd w:id="379"/>
    <w:bookmarkStart w:id="381"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380">
        <w:r>
          <w:rPr>
            <w:rStyle w:val="Hyperlink"/>
          </w:rPr>
          <w:t xml:space="preserve">https://doi.org/10.1080/15374416.2018.1561296</w:t>
        </w:r>
      </w:hyperlink>
    </w:p>
    <w:bookmarkEnd w:id="381"/>
    <w:bookmarkStart w:id="383" w:name="ref-Walters2011"/>
    <w:p>
      <w:pPr>
        <w:pStyle w:val="Bibliography"/>
      </w:pPr>
      <w:r>
        <w:t xml:space="preserve">Walters, G. D. (2011). The latent structure of life-course-persistent antisocial behavior: 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382">
        <w:r>
          <w:rPr>
            <w:rStyle w:val="Hyperlink"/>
          </w:rPr>
          <w:t xml:space="preserve">https://doi.org/10.1037/a0021519</w:t>
        </w:r>
      </w:hyperlink>
    </w:p>
    <w:bookmarkEnd w:id="383"/>
    <w:bookmarkStart w:id="385"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384">
        <w:r>
          <w:rPr>
            <w:rStyle w:val="Hyperlink"/>
          </w:rPr>
          <w:t xml:space="preserve">https://doi.org/10.1177/0093854812443645</w:t>
        </w:r>
      </w:hyperlink>
    </w:p>
    <w:bookmarkEnd w:id="385"/>
    <w:bookmarkStart w:id="387"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386">
        <w:r>
          <w:rPr>
            <w:rStyle w:val="Hyperlink"/>
          </w:rPr>
          <w:t xml:space="preserve">https://doi.org/10.1007/s12103-013-9235-1</w:t>
        </w:r>
      </w:hyperlink>
    </w:p>
    <w:bookmarkEnd w:id="387"/>
    <w:bookmarkStart w:id="389"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388">
        <w:r>
          <w:rPr>
            <w:rStyle w:val="Hyperlink"/>
          </w:rPr>
          <w:t xml:space="preserve">https://doi.org/10.1007/s12103-014-9272-4</w:t>
        </w:r>
      </w:hyperlink>
    </w:p>
    <w:bookmarkEnd w:id="389"/>
    <w:bookmarkStart w:id="391"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390">
        <w:r>
          <w:rPr>
            <w:rStyle w:val="Hyperlink"/>
          </w:rPr>
          <w:t xml:space="preserve">https://doi.org/10.1007/s10802-012-9700-1</w:t>
        </w:r>
      </w:hyperlink>
    </w:p>
    <w:bookmarkEnd w:id="391"/>
    <w:bookmarkStart w:id="393"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392">
        <w:r>
          <w:rPr>
            <w:rStyle w:val="Hyperlink"/>
          </w:rPr>
          <w:t xml:space="preserve">https://doi.org/10.1007/s10802-010-9478-y</w:t>
        </w:r>
      </w:hyperlink>
    </w:p>
    <w:bookmarkEnd w:id="393"/>
    <w:bookmarkStart w:id="395"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394">
        <w:r>
          <w:rPr>
            <w:rStyle w:val="Hyperlink"/>
          </w:rPr>
          <w:t xml:space="preserve">https://doi.org/10.1016/j.dr.2008.01.001</w:t>
        </w:r>
      </w:hyperlink>
    </w:p>
    <w:bookmarkEnd w:id="395"/>
    <w:bookmarkStart w:id="397"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396">
        <w:r>
          <w:rPr>
            <w:rStyle w:val="Hyperlink"/>
          </w:rPr>
          <w:t xml:space="preserve">https://doi.org/10.1017/S0954579403000221</w:t>
        </w:r>
      </w:hyperlink>
    </w:p>
    <w:bookmarkEnd w:id="397"/>
    <w:bookmarkStart w:id="399" w:name="ref-Welzel2023a"/>
    <w:p>
      <w:pPr>
        <w:pStyle w:val="Bibliography"/>
      </w:pPr>
      <w:r>
        <w:t xml:space="preserve">Welzel, C., Brunkert, L., Kruse, S., &amp; Inglehart, R. F. (2023). Non-invariance? An overstated problem with misconceived causes.</w:t>
      </w:r>
      <w:r>
        <w:t xml:space="preserve"> </w:t>
      </w:r>
      <w:r>
        <w:rPr>
          <w:i/>
          <w:iCs/>
        </w:rPr>
        <w:t xml:space="preserve">Sociological Methods &amp; Research</w:t>
      </w:r>
      <w:r>
        <w:t xml:space="preserve">,</w:t>
      </w:r>
      <w:r>
        <w:t xml:space="preserve"> </w:t>
      </w:r>
      <w:r>
        <w:rPr>
          <w:i/>
          <w:iCs/>
        </w:rPr>
        <w:t xml:space="preserve">52</w:t>
      </w:r>
      <w:r>
        <w:t xml:space="preserve">(3), 1368–1400.</w:t>
      </w:r>
      <w:r>
        <w:t xml:space="preserve"> </w:t>
      </w:r>
      <w:hyperlink r:id="rId398">
        <w:r>
          <w:rPr>
            <w:rStyle w:val="Hyperlink"/>
          </w:rPr>
          <w:t xml:space="preserve">https://doi.org/10.1177/0049124121995521</w:t>
        </w:r>
      </w:hyperlink>
    </w:p>
    <w:bookmarkEnd w:id="399"/>
    <w:bookmarkStart w:id="401" w:name="ref-Welzel2023b"/>
    <w:p>
      <w:pPr>
        <w:pStyle w:val="Bibliography"/>
      </w:pPr>
      <w:r>
        <w:t xml:space="preserve">Welzel, C., Kruse, S., &amp; Brunkert, L. (2023). Against the mainstream: On the limitations of non-invariance diagnostics: Response to fischer et al. And meuleman et al.</w:t>
      </w:r>
      <w:r>
        <w:t xml:space="preserve"> </w:t>
      </w:r>
      <w:r>
        <w:rPr>
          <w:i/>
          <w:iCs/>
        </w:rPr>
        <w:t xml:space="preserve">Sociological Methods &amp; Research</w:t>
      </w:r>
      <w:r>
        <w:t xml:space="preserve">,</w:t>
      </w:r>
      <w:r>
        <w:t xml:space="preserve"> </w:t>
      </w:r>
      <w:r>
        <w:rPr>
          <w:i/>
          <w:iCs/>
        </w:rPr>
        <w:t xml:space="preserve">52</w:t>
      </w:r>
      <w:r>
        <w:t xml:space="preserve">(3), 1438–1455.</w:t>
      </w:r>
      <w:r>
        <w:t xml:space="preserve"> </w:t>
      </w:r>
      <w:hyperlink r:id="rId400">
        <w:r>
          <w:rPr>
            <w:rStyle w:val="Hyperlink"/>
          </w:rPr>
          <w:t xml:space="preserve">https://doi.org/10.1177/00491241221091754</w:t>
        </w:r>
      </w:hyperlink>
    </w:p>
    <w:bookmarkEnd w:id="401"/>
    <w:bookmarkStart w:id="402" w:name="ref-Whitbourne2019"/>
    <w:p>
      <w:pPr>
        <w:pStyle w:val="Bibliography"/>
      </w:pPr>
      <w:r>
        <w:t xml:space="preserve">Whitbourne, S. K. (2019).</w:t>
      </w:r>
      <w:r>
        <w:t xml:space="preserve"> </w:t>
      </w:r>
      <w:r>
        <w:rPr>
          <w:i/>
          <w:iCs/>
        </w:rPr>
        <w:t xml:space="preserve">Longitudinal, cross-sectional, and sequential designs in lifespan developmental psychology</w:t>
      </w:r>
      <w:r>
        <w:t xml:space="preserve">. Oxford University Press.</w:t>
      </w:r>
    </w:p>
    <w:bookmarkEnd w:id="402"/>
    <w:bookmarkStart w:id="404" w:name="ref-Widaman2010"/>
    <w:p>
      <w:pPr>
        <w:pStyle w:val="Bibliography"/>
      </w:pPr>
      <w:r>
        <w:t xml:space="preserve">Widaman, K. F., Ferrer, E., &amp; Conger, R. D. (2010). Factorial invariance within longitudinal structural equation models: Measuring 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403">
        <w:r>
          <w:rPr>
            <w:rStyle w:val="Hyperlink"/>
          </w:rPr>
          <w:t xml:space="preserve">https://doi.org/10.1111/j.1750-8606.2009.00110.x</w:t>
        </w:r>
      </w:hyperlink>
    </w:p>
    <w:bookmarkEnd w:id="404"/>
    <w:bookmarkStart w:id="406"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405">
        <w:r>
          <w:rPr>
            <w:rStyle w:val="Hyperlink"/>
          </w:rPr>
          <w:t xml:space="preserve">https://doi.org/10.1177/0165025419880610</w:t>
        </w:r>
      </w:hyperlink>
    </w:p>
    <w:bookmarkEnd w:id="406"/>
    <w:bookmarkStart w:id="408"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407">
        <w:r>
          <w:rPr>
            <w:rStyle w:val="Hyperlink"/>
          </w:rPr>
          <w:t xml:space="preserve">https://icd.who.int</w:t>
        </w:r>
      </w:hyperlink>
    </w:p>
    <w:bookmarkEnd w:id="408"/>
    <w:bookmarkStart w:id="410"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409">
        <w:r>
          <w:rPr>
            <w:rStyle w:val="Hyperlink"/>
          </w:rPr>
          <w:t xml:space="preserve">https://doi.org/10.1037/a0030133</w:t>
        </w:r>
      </w:hyperlink>
    </w:p>
    <w:bookmarkEnd w:id="410"/>
    <w:bookmarkStart w:id="411" w:name="ref-Yang2013"/>
    <w:p>
      <w:pPr>
        <w:pStyle w:val="Bibliography"/>
      </w:pPr>
      <w:r>
        <w:t xml:space="preserve">Yang, Y., &amp; Land, K. C. (2013).</w:t>
      </w:r>
      <w:r>
        <w:t xml:space="preserve"> </w:t>
      </w:r>
      <w:r>
        <w:rPr>
          <w:i/>
          <w:iCs/>
        </w:rPr>
        <w:t xml:space="preserve">Age-period-cohort analysis: New models, methods, and empirical applications</w:t>
      </w:r>
      <w:r>
        <w:t xml:space="preserve">. Taylor &amp; Francis.</w:t>
      </w:r>
    </w:p>
    <w:bookmarkEnd w:id="411"/>
    <w:bookmarkStart w:id="413" w:name="ref-Zhai2026"/>
    <w:p>
      <w:pPr>
        <w:pStyle w:val="Bibliography"/>
      </w:pPr>
      <w:r>
        <w:t xml:space="preserve">Zhai, R., Zhang, L., &amp; Cheng, G. (2026). Developmental trajectories of emotional and behavioral dysregulation from ages 3 to 17: Early 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412">
        <w:r>
          <w:rPr>
            <w:rStyle w:val="Hyperlink"/>
          </w:rPr>
          <w:t xml:space="preserve">https://doi.org/10.1016/j.jad.2026.121556</w:t>
        </w:r>
      </w:hyperlink>
    </w:p>
    <w:bookmarkEnd w:id="413"/>
    <w:bookmarkEnd w:id="414"/>
    <w:p>
      <w:r>
        <w:br w:type="page"/>
      </w:r>
    </w:p>
    <w:bookmarkEnd w:id="415"/>
    <w:p>
      <w:pPr>
        <w:pStyle w:val="Heading1"/>
      </w:pPr>
      <w:r>
        <w:t xml:space="preserve">Appendix A</w:t>
      </w:r>
    </w:p>
    <w:bookmarkStart w:id="416" w:name="apx-a"/>
    <w:p>
      <w:pPr>
        <w:pStyle w:val="Heading1"/>
      </w:pPr>
      <w:r>
        <w:t xml:space="preserve">This Section Is an Appendix</w:t>
      </w:r>
    </w:p>
    <w:p>
      <w:r>
        <w:br w:type="page"/>
      </w:r>
    </w:p>
    <w:bookmarkEnd w:id="416"/>
    <w:p>
      <w:pPr>
        <w:pStyle w:val="Heading1"/>
      </w:pPr>
      <w:r>
        <w:t xml:space="preserve">Appendix B</w:t>
      </w:r>
    </w:p>
    <w:bookmarkStart w:id="417" w:name="apx-b"/>
    <w:p>
      <w:pPr>
        <w:pStyle w:val="Heading1"/>
      </w:pPr>
      <w:r>
        <w:t xml:space="preserve">Another Appendix</w:t>
      </w:r>
    </w:p>
    <w:bookmarkEnd w:id="417"/>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3">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76">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77">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80">
    <w:p>
      <w:pPr>
        <w:pStyle w:val="FootnoteText"/>
      </w:pPr>
      <w:r>
        <w:rPr>
          <w:rStyle w:val="FootnoteReference"/>
        </w:rPr>
        <w:footnoteRef/>
      </w:r>
      <w:r>
        <w:t xml:space="preserve"> </w:t>
      </w:r>
      <w:r>
        <w:t xml:space="preserve">For simplicity and brevity, we refer to birth age as a proxy for developmental time.</w:t>
      </w:r>
    </w:p>
  </w:footnote>
  <w:footnote w:id="103">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22">
    <w:p>
      <w:pPr>
        <w:pStyle w:val="FootnoteText"/>
      </w:pPr>
      <w:r>
        <w:rPr>
          <w:rStyle w:val="FootnoteReference"/>
        </w:rPr>
        <w:footnoteRef/>
      </w:r>
      <w:r>
        <w:t xml:space="preserve"> </w:t>
      </w:r>
      <w:r>
        <w:t xml:space="preserve">Factorial invariance is also called</w:t>
      </w:r>
      <w:r>
        <w:t xml:space="preserve"> </w:t>
      </w:r>
      <w:r>
        <w:t xml:space="preserve">“measurement invariance”</w:t>
      </w:r>
      <w:r>
        <w:t xml:space="preserv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104" Target="media/rId104.png" /><Relationship Type="http://schemas.openxmlformats.org/officeDocument/2006/relationships/image" Id="rId71" Target="media/rId71.png" /><Relationship Type="http://schemas.openxmlformats.org/officeDocument/2006/relationships/image" Id="rId88" Target="media/rId88.png" /><Relationship Type="http://schemas.openxmlformats.org/officeDocument/2006/relationships/image" Id="rId81" Target="media/rId81.jpg" /><Relationship Type="http://schemas.openxmlformats.org/officeDocument/2006/relationships/image" Id="rId98" Target="media/rId98.png" /><Relationship Type="http://schemas.openxmlformats.org/officeDocument/2006/relationships/image" Id="rId112" Target="media/rId112.png" /><Relationship Type="http://schemas.openxmlformats.org/officeDocument/2006/relationships/image" Id="rId23" Target="media/rId23.svg" /><Relationship Type="http://schemas.openxmlformats.org/officeDocument/2006/relationships/image" Id="rId47" Target="media/rId47.png" /><Relationship Type="http://schemas.openxmlformats.org/officeDocument/2006/relationships/image" Id="rId42" Target="media/rId42.png" /><Relationship Type="http://schemas.openxmlformats.org/officeDocument/2006/relationships/image" Id="rId64" Target="media/rId64.png" /><Relationship Type="http://schemas.openxmlformats.org/officeDocument/2006/relationships/image" Id="rId53" Target="media/rId53.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51" Target="https://DevPsyLab.github.io/studying-psychopathology-development-lifespan/notebooks/analyses-preview.html#cell-fig-externalizingbyage" TargetMode="External" /><Relationship Type="http://schemas.openxmlformats.org/officeDocument/2006/relationships/hyperlink" Id="rId46" Target="https://DevPsyLab.github.io/studying-psychopathology-development-lifespan/notebooks/analyses-preview.html#cell-fig-lifespancognitivetrajectories" TargetMode="External" /><Relationship Type="http://schemas.openxmlformats.org/officeDocument/2006/relationships/hyperlink" Id="rId68" Target="https://DevPsyLab.github.io/studying-psychopathology-development-lifespan/notebooks/analyses-preview.html#cell-fig-longitudinalexternalizingstudies" TargetMode="External" /><Relationship Type="http://schemas.openxmlformats.org/officeDocument/2006/relationships/hyperlink" Id="rId57" Target="https://DevPsyLab.github.io/studying-psychopathology-development-lifespan/notebooks/analyses-preview.html#cell-fig-longitudinalstudies" TargetMode="External" /><Relationship Type="http://schemas.openxmlformats.org/officeDocument/2006/relationships/hyperlink" Id="rId93" Target="https://DevPsyLab.github.io/studying-psychopathology-development-lifespan/notebooks/analyses-preview.html#cell-tbl-externalizingfacets" TargetMode="External" /><Relationship Type="http://schemas.openxmlformats.org/officeDocument/2006/relationships/hyperlink" Id="rId261" Target="https://doi.org/10.1001/archgenpsychiatry.2010.188" TargetMode="External" /><Relationship Type="http://schemas.openxmlformats.org/officeDocument/2006/relationships/hyperlink" Id="rId282" Target="https://doi.org/10.1001/archpsyc.62.12.1352" TargetMode="External" /><Relationship Type="http://schemas.openxmlformats.org/officeDocument/2006/relationships/hyperlink" Id="rId161" Target="https://doi.org/10.1001/jamanetworkopen.2020.3221" TargetMode="External" /><Relationship Type="http://schemas.openxmlformats.org/officeDocument/2006/relationships/hyperlink" Id="rId165" Target="https://doi.org/10.1002/9780470147658.chpsy0306" TargetMode="External" /><Relationship Type="http://schemas.openxmlformats.org/officeDocument/2006/relationships/hyperlink" Id="rId151" Target="https://doi.org/10.1002/9781119125556.devpsy101" TargetMode="External" /><Relationship Type="http://schemas.openxmlformats.org/officeDocument/2006/relationships/hyperlink" Id="rId240" Target="https://doi.org/10.1002/cbm.708" TargetMode="External" /><Relationship Type="http://schemas.openxmlformats.org/officeDocument/2006/relationships/hyperlink" Id="rId133" Target="https://doi.org/10.1002/jcv2.70043" TargetMode="External" /><Relationship Type="http://schemas.openxmlformats.org/officeDocument/2006/relationships/hyperlink" Id="rId259" Target="https://doi.org/10.1002/wps.20844" TargetMode="External" /><Relationship Type="http://schemas.openxmlformats.org/officeDocument/2006/relationships/hyperlink" Id="rId202" Target="https://doi.org/10.1007/978-1-0716-3335-9_5" TargetMode="External" /><Relationship Type="http://schemas.openxmlformats.org/officeDocument/2006/relationships/hyperlink" Id="rId250" Target="https://doi.org/10.1007/978-1-4939-0317-7" TargetMode="External" /><Relationship Type="http://schemas.openxmlformats.org/officeDocument/2006/relationships/hyperlink" Id="rId275" Target="https://doi.org/10.1007/978-3-030-68429-7" TargetMode="External" /><Relationship Type="http://schemas.openxmlformats.org/officeDocument/2006/relationships/hyperlink" Id="rId278" Target="https://doi.org/10.1007/978-3-031-80549-3" TargetMode="External" /><Relationship Type="http://schemas.openxmlformats.org/officeDocument/2006/relationships/hyperlink" Id="rId329" Target="https://doi.org/10.1007/s00127-015-1048-8" TargetMode="External" /><Relationship Type="http://schemas.openxmlformats.org/officeDocument/2006/relationships/hyperlink" Id="rId211" Target="https://doi.org/10.1007/s00234-020-02562-1" TargetMode="External" /><Relationship Type="http://schemas.openxmlformats.org/officeDocument/2006/relationships/hyperlink" Id="rId392" Target="https://doi.org/10.1007/s10802-010-9478-y" TargetMode="External" /><Relationship Type="http://schemas.openxmlformats.org/officeDocument/2006/relationships/hyperlink" Id="rId153" Target="https://doi.org/10.1007/s10802-012-9669-9" TargetMode="External" /><Relationship Type="http://schemas.openxmlformats.org/officeDocument/2006/relationships/hyperlink" Id="rId390" Target="https://doi.org/10.1007/s10802-012-9700-1" TargetMode="External" /><Relationship Type="http://schemas.openxmlformats.org/officeDocument/2006/relationships/hyperlink" Id="rId244" Target="https://doi.org/10.1007/s10802-017-0383-5" TargetMode="External" /><Relationship Type="http://schemas.openxmlformats.org/officeDocument/2006/relationships/hyperlink" Id="rId246" Target="https://doi.org/10.1007/s10802-021-00885-y" TargetMode="External" /><Relationship Type="http://schemas.openxmlformats.org/officeDocument/2006/relationships/hyperlink" Id="rId130" Target="https://doi.org/10.1007/s10802-023-01119-z" TargetMode="External" /><Relationship Type="http://schemas.openxmlformats.org/officeDocument/2006/relationships/hyperlink" Id="rId231" Target="https://doi.org/10.1007/s10826-018-1272-4" TargetMode="External" /><Relationship Type="http://schemas.openxmlformats.org/officeDocument/2006/relationships/hyperlink" Id="rId386" Target="https://doi.org/10.1007/s12103-013-9235-1" TargetMode="External" /><Relationship Type="http://schemas.openxmlformats.org/officeDocument/2006/relationships/hyperlink" Id="rId388" Target="https://doi.org/10.1007/s12103-014-9272-4" TargetMode="External" /><Relationship Type="http://schemas.openxmlformats.org/officeDocument/2006/relationships/hyperlink" Id="rId167" Target="https://doi.org/10.1007/s40865-015-0012-3" TargetMode="External" /><Relationship Type="http://schemas.openxmlformats.org/officeDocument/2006/relationships/hyperlink" Id="rId269" Target="https://doi.org/10.1016/S0005-7967(02)00016-5" TargetMode="External" /><Relationship Type="http://schemas.openxmlformats.org/officeDocument/2006/relationships/hyperlink" Id="rId159" Target="https://doi.org/10.1016/j.cpr.2012.02.006" TargetMode="External" /><Relationship Type="http://schemas.openxmlformats.org/officeDocument/2006/relationships/hyperlink" Id="rId364" Target="https://doi.org/10.1016/j.cresp.2025.100261" TargetMode="External" /><Relationship Type="http://schemas.openxmlformats.org/officeDocument/2006/relationships/hyperlink" Id="rId284" Target="https://doi.org/10.1016/j.dr.2004.04.002" TargetMode="External" /><Relationship Type="http://schemas.openxmlformats.org/officeDocument/2006/relationships/hyperlink" Id="rId394" Target="https://doi.org/10.1016/j.dr.2008.01.001" TargetMode="External" /><Relationship Type="http://schemas.openxmlformats.org/officeDocument/2006/relationships/hyperlink" Id="rId318" Target="https://doi.org/10.1016/j.dr.2020.100935" TargetMode="External" /><Relationship Type="http://schemas.openxmlformats.org/officeDocument/2006/relationships/hyperlink" Id="rId378" Target="https://doi.org/10.1016/j.jaac.2013.10.011" TargetMode="External" /><Relationship Type="http://schemas.openxmlformats.org/officeDocument/2006/relationships/hyperlink" Id="rId147" Target="https://doi.org/10.1016/j.jaac.2017.05.019" TargetMode="External" /><Relationship Type="http://schemas.openxmlformats.org/officeDocument/2006/relationships/hyperlink" Id="rId85" Target="https://doi.org/10.1016/j.jaacop.2025.10.008" TargetMode="External" /><Relationship Type="http://schemas.openxmlformats.org/officeDocument/2006/relationships/hyperlink" Id="rId412" Target="https://doi.org/10.1016/j.jad.2026.121556" TargetMode="External" /><Relationship Type="http://schemas.openxmlformats.org/officeDocument/2006/relationships/hyperlink" Id="rId357" Target="https://doi.org/10.1016/j.jcrimjus.2024.102155" TargetMode="External" /><Relationship Type="http://schemas.openxmlformats.org/officeDocument/2006/relationships/hyperlink" Id="rId137" Target="https://doi.org/10.1016/j.jpsychires.2013.08.016" TargetMode="External" /><Relationship Type="http://schemas.openxmlformats.org/officeDocument/2006/relationships/hyperlink" Id="rId223" Target="https://doi.org/10.1017/S0033291711001966" TargetMode="External" /><Relationship Type="http://schemas.openxmlformats.org/officeDocument/2006/relationships/hyperlink" Id="rId225" Target="https://doi.org/10.1017/S003329172000183X" TargetMode="External" /><Relationship Type="http://schemas.openxmlformats.org/officeDocument/2006/relationships/hyperlink" Id="rId396" Target="https://doi.org/10.1017/S0954579403000221" TargetMode="External" /><Relationship Type="http://schemas.openxmlformats.org/officeDocument/2006/relationships/hyperlink" Id="rId362" Target="https://doi.org/10.1017/S0954579407070174" TargetMode="External" /><Relationship Type="http://schemas.openxmlformats.org/officeDocument/2006/relationships/hyperlink" Id="rId303" Target="https://doi.org/10.1017/S0954579408000333" TargetMode="External" /><Relationship Type="http://schemas.openxmlformats.org/officeDocument/2006/relationships/hyperlink" Id="rId273" Target="https://doi.org/10.1017/S0954579410000301" TargetMode="External" /><Relationship Type="http://schemas.openxmlformats.org/officeDocument/2006/relationships/hyperlink" Id="rId316" Target="https://doi.org/10.1017/S0954579414000789" TargetMode="External" /><Relationship Type="http://schemas.openxmlformats.org/officeDocument/2006/relationships/hyperlink" Id="rId206" Target="https://doi.org/10.1017/S0954579416000651" TargetMode="External" /><Relationship Type="http://schemas.openxmlformats.org/officeDocument/2006/relationships/hyperlink" Id="rId213" Target="https://doi.org/10.1017/S0954579421001772" TargetMode="External" /><Relationship Type="http://schemas.openxmlformats.org/officeDocument/2006/relationships/hyperlink" Id="rId145" Target="https://doi.org/10.1017/S0954579423001505" TargetMode="External" /><Relationship Type="http://schemas.openxmlformats.org/officeDocument/2006/relationships/hyperlink" Id="rId221" Target="https://doi.org/10.1017/S0954579424000713" TargetMode="External" /><Relationship Type="http://schemas.openxmlformats.org/officeDocument/2006/relationships/hyperlink" Id="rId305" Target="https://doi.org/10.1023/a:1026254005632" TargetMode="External" /><Relationship Type="http://schemas.openxmlformats.org/officeDocument/2006/relationships/hyperlink" Id="rId157" Target="https://doi.org/10.1027/1015-5759.17.1.25" TargetMode="External" /><Relationship Type="http://schemas.openxmlformats.org/officeDocument/2006/relationships/hyperlink" Id="rId347" Target="https://doi.org/10.1037/0003-066X.54.2.93" TargetMode="External" /><Relationship Type="http://schemas.openxmlformats.org/officeDocument/2006/relationships/hyperlink" Id="rId155" Target="https://doi.org/10.1037/0012-1649.39.2.222" TargetMode="External" /><Relationship Type="http://schemas.openxmlformats.org/officeDocument/2006/relationships/hyperlink" Id="rId263" Target="https://doi.org/10.1037/0021-843X.116.4.645" TargetMode="External" /><Relationship Type="http://schemas.openxmlformats.org/officeDocument/2006/relationships/hyperlink" Id="rId265" Target="https://doi.org/10.1037/0021-843x.114.4.537" TargetMode="External" /><Relationship Type="http://schemas.openxmlformats.org/officeDocument/2006/relationships/hyperlink" Id="rId309" Target="https://doi.org/10.1037/0022-006X.61.6.911" TargetMode="External" /><Relationship Type="http://schemas.openxmlformats.org/officeDocument/2006/relationships/hyperlink" Id="rId175" Target="https://doi.org/10.1037/0022-006X.70.1.6" TargetMode="External" /><Relationship Type="http://schemas.openxmlformats.org/officeDocument/2006/relationships/hyperlink" Id="rId291" Target="https://doi.org/10.1037/0033-295X.100.4.674" TargetMode="External" /><Relationship Type="http://schemas.openxmlformats.org/officeDocument/2006/relationships/hyperlink" Id="rId227" Target="https://doi.org/10.1037/0882-7974.18.4.639" TargetMode="External" /><Relationship Type="http://schemas.openxmlformats.org/officeDocument/2006/relationships/hyperlink" Id="rId204" Target="https://doi.org/10.1037/0882-7974.19.2.243" TargetMode="External" /><Relationship Type="http://schemas.openxmlformats.org/officeDocument/2006/relationships/hyperlink" Id="rId267" Target="https://doi.org/10.1037/1040-3590.16.2.107" TargetMode="External" /><Relationship Type="http://schemas.openxmlformats.org/officeDocument/2006/relationships/hyperlink" Id="rId236" Target="https://doi.org/10.1037/13129-000" TargetMode="External" /><Relationship Type="http://schemas.openxmlformats.org/officeDocument/2006/relationships/hyperlink" Id="rId128" Target="https://doi.org/10.1037/14048-008" TargetMode="External" /><Relationship Type="http://schemas.openxmlformats.org/officeDocument/2006/relationships/hyperlink" Id="rId382" Target="https://doi.org/10.1037/a0021519" TargetMode="External" /><Relationship Type="http://schemas.openxmlformats.org/officeDocument/2006/relationships/hyperlink" Id="rId280" Target="https://doi.org/10.1037/a0023678" TargetMode="External" /><Relationship Type="http://schemas.openxmlformats.org/officeDocument/2006/relationships/hyperlink" Id="rId409" Target="https://doi.org/10.1037/a0030133" TargetMode="External" /><Relationship Type="http://schemas.openxmlformats.org/officeDocument/2006/relationships/hyperlink" Id="rId141" Target="https://doi.org/10.1037/a0032475" TargetMode="External" /><Relationship Type="http://schemas.openxmlformats.org/officeDocument/2006/relationships/hyperlink" Id="rId351" Target="https://doi.org/10.1037/abn0000171" TargetMode="External" /><Relationship Type="http://schemas.openxmlformats.org/officeDocument/2006/relationships/hyperlink" Id="rId342" Target="https://doi.org/10.1037/abn0000232" TargetMode="External" /><Relationship Type="http://schemas.openxmlformats.org/officeDocument/2006/relationships/hyperlink" Id="rId253" Target="https://doi.org/10.1037/abn0000258" TargetMode="External" /><Relationship Type="http://schemas.openxmlformats.org/officeDocument/2006/relationships/hyperlink" Id="rId368" Target="https://doi.org/10.1037/abn0000751" TargetMode="External" /><Relationship Type="http://schemas.openxmlformats.org/officeDocument/2006/relationships/hyperlink" Id="rId185" Target="https://doi.org/10.1037/abn0001084" TargetMode="External" /><Relationship Type="http://schemas.openxmlformats.org/officeDocument/2006/relationships/hyperlink" Id="rId325" Target="https://doi.org/10.1037/dev0000449" TargetMode="External" /><Relationship Type="http://schemas.openxmlformats.org/officeDocument/2006/relationships/hyperlink" Id="rId353" Target="https://doi.org/10.1037/dev0001095" TargetMode="External" /><Relationship Type="http://schemas.openxmlformats.org/officeDocument/2006/relationships/hyperlink" Id="rId313" Target="https://doi.org/10.1037/dev0001657" TargetMode="External" /><Relationship Type="http://schemas.openxmlformats.org/officeDocument/2006/relationships/hyperlink" Id="rId108" Target="https://doi.org/10.1037/edu0000461" TargetMode="External" /><Relationship Type="http://schemas.openxmlformats.org/officeDocument/2006/relationships/hyperlink" Id="rId139" Target="https://doi.org/10.1037/met0000077" TargetMode="External" /><Relationship Type="http://schemas.openxmlformats.org/officeDocument/2006/relationships/hyperlink" Id="rId198" Target="https://doi.org/10.1037/met0000563" TargetMode="External" /><Relationship Type="http://schemas.openxmlformats.org/officeDocument/2006/relationships/hyperlink" Id="rId171" Target="https://doi.org/10.1037/met0000685" TargetMode="External" /><Relationship Type="http://schemas.openxmlformats.org/officeDocument/2006/relationships/hyperlink" Id="rId355" Target="https://doi.org/10.1037/pas0000648" TargetMode="External" /><Relationship Type="http://schemas.openxmlformats.org/officeDocument/2006/relationships/hyperlink" Id="rId331" Target="https://doi.org/10.1037/pas0000754" TargetMode="External" /><Relationship Type="http://schemas.openxmlformats.org/officeDocument/2006/relationships/hyperlink" Id="rId75" Target="https://doi.org/10.1037/pas0001441" TargetMode="External" /><Relationship Type="http://schemas.openxmlformats.org/officeDocument/2006/relationships/hyperlink" Id="rId370" Target="https://doi.org/10.1038/s44220-023-00057-5" TargetMode="External" /><Relationship Type="http://schemas.openxmlformats.org/officeDocument/2006/relationships/hyperlink" Id="rId293" Target="https://doi.org/10.1073/pnas.1010076108" TargetMode="External" /><Relationship Type="http://schemas.openxmlformats.org/officeDocument/2006/relationships/hyperlink" Id="rId183" Target="https://doi.org/10.1080/00273171.2014.889594" TargetMode="External" /><Relationship Type="http://schemas.openxmlformats.org/officeDocument/2006/relationships/hyperlink" Id="rId271" Target="https://doi.org/10.1080/00273171.2021.1941730" TargetMode="External" /><Relationship Type="http://schemas.openxmlformats.org/officeDocument/2006/relationships/hyperlink" Id="rId169" Target="https://doi.org/10.1080/00273171.2026.2640576" TargetMode="External" /><Relationship Type="http://schemas.openxmlformats.org/officeDocument/2006/relationships/hyperlink" Id="rId333" Target="https://doi.org/10.1080/10705511.2023.2191292" TargetMode="External" /><Relationship Type="http://schemas.openxmlformats.org/officeDocument/2006/relationships/hyperlink" Id="rId380" Target="https://doi.org/10.1080/15374416.2018.1561296" TargetMode="External" /><Relationship Type="http://schemas.openxmlformats.org/officeDocument/2006/relationships/hyperlink" Id="rId372" Target="https://doi.org/10.1080/15374416.2019.1622124" TargetMode="External" /><Relationship Type="http://schemas.openxmlformats.org/officeDocument/2006/relationships/hyperlink" Id="rId187" Target="https://doi.org/10.1080/15374416.2025.2484813" TargetMode="External" /><Relationship Type="http://schemas.openxmlformats.org/officeDocument/2006/relationships/hyperlink" Id="rId344" Target="https://doi.org/10.1086/269270" TargetMode="External" /><Relationship Type="http://schemas.openxmlformats.org/officeDocument/2006/relationships/hyperlink" Id="rId193" Target="https://doi.org/10.1108/978-1-61735-891-320251015" TargetMode="External" /><Relationship Type="http://schemas.openxmlformats.org/officeDocument/2006/relationships/hyperlink" Id="rId323" Target="https://doi.org/10.1111/cdev.13433" TargetMode="External" /><Relationship Type="http://schemas.openxmlformats.org/officeDocument/2006/relationships/hyperlink" Id="rId311" Target="https://doi.org/10.1111/desc.70216" TargetMode="External" /><Relationship Type="http://schemas.openxmlformats.org/officeDocument/2006/relationships/hyperlink" Id="rId149" Target="https://doi.org/10.1111/j.1467-8624.2004.00755.x" TargetMode="External" /><Relationship Type="http://schemas.openxmlformats.org/officeDocument/2006/relationships/hyperlink" Id="rId286" Target="https://doi.org/10.1111/j.1467-9507.2008.00480.x" TargetMode="External" /><Relationship Type="http://schemas.openxmlformats.org/officeDocument/2006/relationships/hyperlink" Id="rId338" Target="https://doi.org/10.1111/j.1469-7610.2006.01614.x" TargetMode="External" /><Relationship Type="http://schemas.openxmlformats.org/officeDocument/2006/relationships/hyperlink" Id="rId179" Target="https://doi.org/10.1111/j.1469-7610.2011.02511.x" TargetMode="External" /><Relationship Type="http://schemas.openxmlformats.org/officeDocument/2006/relationships/hyperlink" Id="rId238" Target="https://doi.org/10.1111/j.1469-7610.2012.02585.x" TargetMode="External" /><Relationship Type="http://schemas.openxmlformats.org/officeDocument/2006/relationships/hyperlink" Id="rId403" Target="https://doi.org/10.1111/j.1750-8606.2009.00110.x" TargetMode="External" /><Relationship Type="http://schemas.openxmlformats.org/officeDocument/2006/relationships/hyperlink" Id="rId248" Target="https://doi.org/10.1111/j.1750-8606.2009.00112.x" TargetMode="External" /><Relationship Type="http://schemas.openxmlformats.org/officeDocument/2006/relationships/hyperlink" Id="rId200" Target="https://doi.org/10.1111/jcpp.12102" TargetMode="External" /><Relationship Type="http://schemas.openxmlformats.org/officeDocument/2006/relationships/hyperlink" Id="rId359" Target="https://doi.org/10.1111/jcpp.13549" TargetMode="External" /><Relationship Type="http://schemas.openxmlformats.org/officeDocument/2006/relationships/hyperlink" Id="rId143" Target="https://doi.org/10.1111/jcpp.70057" TargetMode="External" /><Relationship Type="http://schemas.openxmlformats.org/officeDocument/2006/relationships/hyperlink" Id="rId340" Target="https://doi.org/10.1111/jcpp.70180" TargetMode="External" /><Relationship Type="http://schemas.openxmlformats.org/officeDocument/2006/relationships/hyperlink" Id="rId242" Target="https://doi.org/10.1111/jora.12252" TargetMode="External" /><Relationship Type="http://schemas.openxmlformats.org/officeDocument/2006/relationships/hyperlink" Id="rId257" Target="https://doi.org/10.1111/psyp.12551" TargetMode="External" /><Relationship Type="http://schemas.openxmlformats.org/officeDocument/2006/relationships/hyperlink" Id="rId191" Target="https://doi.org/10.1126/science.2270481" TargetMode="External" /><Relationship Type="http://schemas.openxmlformats.org/officeDocument/2006/relationships/hyperlink" Id="rId189" Target="https://doi.org/10.1146/annurev-clinpsy-050212-185617" TargetMode="External" /><Relationship Type="http://schemas.openxmlformats.org/officeDocument/2006/relationships/hyperlink" Id="rId301" Target="https://doi.org/10.1146/annurev-clinpsy-061324-073435" TargetMode="External" /><Relationship Type="http://schemas.openxmlformats.org/officeDocument/2006/relationships/hyperlink" Id="rId327" Target="https://doi.org/10.1146/annurev-psych-120710-100452" TargetMode="External" /><Relationship Type="http://schemas.openxmlformats.org/officeDocument/2006/relationships/hyperlink" Id="rId295" Target="https://doi.org/10.1159/000270073" TargetMode="External" /><Relationship Type="http://schemas.openxmlformats.org/officeDocument/2006/relationships/hyperlink" Id="rId255" Target="https://doi.org/10.1176/appi.ajp.160.9.1566" TargetMode="External" /><Relationship Type="http://schemas.openxmlformats.org/officeDocument/2006/relationships/hyperlink" Id="rId229" Target="https://doi.org/10.1176/appi.ajp.2008.08030366" TargetMode="External" /><Relationship Type="http://schemas.openxmlformats.org/officeDocument/2006/relationships/hyperlink" Id="rId398" Target="https://doi.org/10.1177/0049124121995521" TargetMode="External" /><Relationship Type="http://schemas.openxmlformats.org/officeDocument/2006/relationships/hyperlink" Id="rId400" Target="https://doi.org/10.1177/00491241221091754" TargetMode="External" /><Relationship Type="http://schemas.openxmlformats.org/officeDocument/2006/relationships/hyperlink" Id="rId384" Target="https://doi.org/10.1177/0093854812443645" TargetMode="External" /><Relationship Type="http://schemas.openxmlformats.org/officeDocument/2006/relationships/hyperlink" Id="rId181" Target="https://doi.org/10.1177/0146621612470210" TargetMode="External" /><Relationship Type="http://schemas.openxmlformats.org/officeDocument/2006/relationships/hyperlink" Id="rId299" Target="https://doi.org/10.1177/0165025415618275" TargetMode="External" /><Relationship Type="http://schemas.openxmlformats.org/officeDocument/2006/relationships/hyperlink" Id="rId405" Target="https://doi.org/10.1177/0165025419880610" TargetMode="External" /><Relationship Type="http://schemas.openxmlformats.org/officeDocument/2006/relationships/hyperlink" Id="rId135" Target="https://doi.org/10.1177/0269758014537147" TargetMode="External" /><Relationship Type="http://schemas.openxmlformats.org/officeDocument/2006/relationships/hyperlink" Id="rId208" Target="https://doi.org/10.1177/08902070241228338" TargetMode="External" /><Relationship Type="http://schemas.openxmlformats.org/officeDocument/2006/relationships/hyperlink" Id="rId366" Target="https://doi.org/10.1177/1362361320908972" TargetMode="External" /><Relationship Type="http://schemas.openxmlformats.org/officeDocument/2006/relationships/hyperlink" Id="rId163" Target="https://doi.org/10.1177/2167702613497473" TargetMode="External" /><Relationship Type="http://schemas.openxmlformats.org/officeDocument/2006/relationships/hyperlink" Id="rId336" Target="https://doi.org/10.1177/25152459251342750" TargetMode="External" /><Relationship Type="http://schemas.openxmlformats.org/officeDocument/2006/relationships/hyperlink" Id="rId307" Target="https://doi.org/10.1371/journal.pone.0063109" TargetMode="External" /><Relationship Type="http://schemas.openxmlformats.org/officeDocument/2006/relationships/hyperlink" Id="rId215" Target="https://doi.org/10.1378/chest.116.5.1208" TargetMode="External" /><Relationship Type="http://schemas.openxmlformats.org/officeDocument/2006/relationships/hyperlink" Id="rId173" Target="https://doi.org/10.14283/jfa.2012.9" TargetMode="External" /><Relationship Type="http://schemas.openxmlformats.org/officeDocument/2006/relationships/hyperlink" Id="rId349" Target="https://doi.org/10.18148/srm/2018.v12i1.7210" TargetMode="External" /><Relationship Type="http://schemas.openxmlformats.org/officeDocument/2006/relationships/hyperlink" Id="rId217" Target="https://doi.org/10.22237/jmasm/1209614640" TargetMode="External" /><Relationship Type="http://schemas.openxmlformats.org/officeDocument/2006/relationships/hyperlink" Id="rId195" Target="https://doi.org/10.2307/2095245" TargetMode="External" /><Relationship Type="http://schemas.openxmlformats.org/officeDocument/2006/relationships/hyperlink" Id="rId374" Target="https://doi.org/10.2307/j.ctt2jbxs1" TargetMode="External" /><Relationship Type="http://schemas.openxmlformats.org/officeDocument/2006/relationships/hyperlink" Id="rId116" Target="https://doi.org/10.25820/work.007199" TargetMode="External" /><Relationship Type="http://schemas.openxmlformats.org/officeDocument/2006/relationships/hyperlink" Id="rId376" Target="https://doi.org/10.3389/fpsyg.2013.00770" TargetMode="External" /><Relationship Type="http://schemas.openxmlformats.org/officeDocument/2006/relationships/hyperlink" Id="rId297" Target="https://doi.org/10.3389/fpsyg.2014.00978" TargetMode="External" /><Relationship Type="http://schemas.openxmlformats.org/officeDocument/2006/relationships/hyperlink" Id="rId177" Target="https://doi.org/10.3389/fpsyg.2014.00982" TargetMode="External" /><Relationship Type="http://schemas.openxmlformats.org/officeDocument/2006/relationships/hyperlink" Id="rId407" Target="https://icd.who.int" TargetMode="External" /><Relationship Type="http://schemas.openxmlformats.org/officeDocument/2006/relationships/hyperlink" Id="rId289"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19" Target="https://quantitudepod.org/latent-means/ (archived at: https://perma.cc/5JL3-YUPA)" TargetMode="External" /></Relationships>
</file>

<file path=word/_rels/footnotes.xml.rels><?xml version="1.0" encoding="UTF-8"?><Relationships xmlns="http://schemas.openxmlformats.org/package/2006/relationships"><Relationship Type="http://schemas.openxmlformats.org/officeDocument/2006/relationships/hyperlink" Id="rId51" Target="https://DevPsyLab.github.io/studying-psychopathology-development-lifespan/notebooks/analyses-preview.html#cell-fig-externalizingbyage" TargetMode="External" /><Relationship Type="http://schemas.openxmlformats.org/officeDocument/2006/relationships/hyperlink" Id="rId46" Target="https://DevPsyLab.github.io/studying-psychopathology-development-lifespan/notebooks/analyses-preview.html#cell-fig-lifespancognitivetrajectories" TargetMode="External" /><Relationship Type="http://schemas.openxmlformats.org/officeDocument/2006/relationships/hyperlink" Id="rId68" Target="https://DevPsyLab.github.io/studying-psychopathology-development-lifespan/notebooks/analyses-preview.html#cell-fig-longitudinalexternalizingstudies" TargetMode="External" /><Relationship Type="http://schemas.openxmlformats.org/officeDocument/2006/relationships/hyperlink" Id="rId57" Target="https://DevPsyLab.github.io/studying-psychopathology-development-lifespan/notebooks/analyses-preview.html#cell-fig-longitudinalstudies" TargetMode="External" /><Relationship Type="http://schemas.openxmlformats.org/officeDocument/2006/relationships/hyperlink" Id="rId93" Target="https://DevPsyLab.github.io/studying-psychopathology-development-lifespan/notebooks/analyses-preview.html#cell-tbl-externalizingfacets" TargetMode="External" /><Relationship Type="http://schemas.openxmlformats.org/officeDocument/2006/relationships/hyperlink" Id="rId261" Target="https://doi.org/10.1001/archgenpsychiatry.2010.188" TargetMode="External" /><Relationship Type="http://schemas.openxmlformats.org/officeDocument/2006/relationships/hyperlink" Id="rId282" Target="https://doi.org/10.1001/archpsyc.62.12.1352" TargetMode="External" /><Relationship Type="http://schemas.openxmlformats.org/officeDocument/2006/relationships/hyperlink" Id="rId161" Target="https://doi.org/10.1001/jamanetworkopen.2020.3221" TargetMode="External" /><Relationship Type="http://schemas.openxmlformats.org/officeDocument/2006/relationships/hyperlink" Id="rId165" Target="https://doi.org/10.1002/9780470147658.chpsy0306" TargetMode="External" /><Relationship Type="http://schemas.openxmlformats.org/officeDocument/2006/relationships/hyperlink" Id="rId151" Target="https://doi.org/10.1002/9781119125556.devpsy101" TargetMode="External" /><Relationship Type="http://schemas.openxmlformats.org/officeDocument/2006/relationships/hyperlink" Id="rId240" Target="https://doi.org/10.1002/cbm.708" TargetMode="External" /><Relationship Type="http://schemas.openxmlformats.org/officeDocument/2006/relationships/hyperlink" Id="rId133" Target="https://doi.org/10.1002/jcv2.70043" TargetMode="External" /><Relationship Type="http://schemas.openxmlformats.org/officeDocument/2006/relationships/hyperlink" Id="rId259" Target="https://doi.org/10.1002/wps.20844" TargetMode="External" /><Relationship Type="http://schemas.openxmlformats.org/officeDocument/2006/relationships/hyperlink" Id="rId202" Target="https://doi.org/10.1007/978-1-0716-3335-9_5" TargetMode="External" /><Relationship Type="http://schemas.openxmlformats.org/officeDocument/2006/relationships/hyperlink" Id="rId250" Target="https://doi.org/10.1007/978-1-4939-0317-7" TargetMode="External" /><Relationship Type="http://schemas.openxmlformats.org/officeDocument/2006/relationships/hyperlink" Id="rId275" Target="https://doi.org/10.1007/978-3-030-68429-7" TargetMode="External" /><Relationship Type="http://schemas.openxmlformats.org/officeDocument/2006/relationships/hyperlink" Id="rId278" Target="https://doi.org/10.1007/978-3-031-80549-3" TargetMode="External" /><Relationship Type="http://schemas.openxmlformats.org/officeDocument/2006/relationships/hyperlink" Id="rId329" Target="https://doi.org/10.1007/s00127-015-1048-8" TargetMode="External" /><Relationship Type="http://schemas.openxmlformats.org/officeDocument/2006/relationships/hyperlink" Id="rId211" Target="https://doi.org/10.1007/s00234-020-02562-1" TargetMode="External" /><Relationship Type="http://schemas.openxmlformats.org/officeDocument/2006/relationships/hyperlink" Id="rId392" Target="https://doi.org/10.1007/s10802-010-9478-y" TargetMode="External" /><Relationship Type="http://schemas.openxmlformats.org/officeDocument/2006/relationships/hyperlink" Id="rId153" Target="https://doi.org/10.1007/s10802-012-9669-9" TargetMode="External" /><Relationship Type="http://schemas.openxmlformats.org/officeDocument/2006/relationships/hyperlink" Id="rId390" Target="https://doi.org/10.1007/s10802-012-9700-1" TargetMode="External" /><Relationship Type="http://schemas.openxmlformats.org/officeDocument/2006/relationships/hyperlink" Id="rId244" Target="https://doi.org/10.1007/s10802-017-0383-5" TargetMode="External" /><Relationship Type="http://schemas.openxmlformats.org/officeDocument/2006/relationships/hyperlink" Id="rId246" Target="https://doi.org/10.1007/s10802-021-00885-y" TargetMode="External" /><Relationship Type="http://schemas.openxmlformats.org/officeDocument/2006/relationships/hyperlink" Id="rId130" Target="https://doi.org/10.1007/s10802-023-01119-z" TargetMode="External" /><Relationship Type="http://schemas.openxmlformats.org/officeDocument/2006/relationships/hyperlink" Id="rId231" Target="https://doi.org/10.1007/s10826-018-1272-4" TargetMode="External" /><Relationship Type="http://schemas.openxmlformats.org/officeDocument/2006/relationships/hyperlink" Id="rId386" Target="https://doi.org/10.1007/s12103-013-9235-1" TargetMode="External" /><Relationship Type="http://schemas.openxmlformats.org/officeDocument/2006/relationships/hyperlink" Id="rId388" Target="https://doi.org/10.1007/s12103-014-9272-4" TargetMode="External" /><Relationship Type="http://schemas.openxmlformats.org/officeDocument/2006/relationships/hyperlink" Id="rId167" Target="https://doi.org/10.1007/s40865-015-0012-3" TargetMode="External" /><Relationship Type="http://schemas.openxmlformats.org/officeDocument/2006/relationships/hyperlink" Id="rId269" Target="https://doi.org/10.1016/S0005-7967(02)00016-5" TargetMode="External" /><Relationship Type="http://schemas.openxmlformats.org/officeDocument/2006/relationships/hyperlink" Id="rId159" Target="https://doi.org/10.1016/j.cpr.2012.02.006" TargetMode="External" /><Relationship Type="http://schemas.openxmlformats.org/officeDocument/2006/relationships/hyperlink" Id="rId364" Target="https://doi.org/10.1016/j.cresp.2025.100261" TargetMode="External" /><Relationship Type="http://schemas.openxmlformats.org/officeDocument/2006/relationships/hyperlink" Id="rId284" Target="https://doi.org/10.1016/j.dr.2004.04.002" TargetMode="External" /><Relationship Type="http://schemas.openxmlformats.org/officeDocument/2006/relationships/hyperlink" Id="rId394" Target="https://doi.org/10.1016/j.dr.2008.01.001" TargetMode="External" /><Relationship Type="http://schemas.openxmlformats.org/officeDocument/2006/relationships/hyperlink" Id="rId318" Target="https://doi.org/10.1016/j.dr.2020.100935" TargetMode="External" /><Relationship Type="http://schemas.openxmlformats.org/officeDocument/2006/relationships/hyperlink" Id="rId378" Target="https://doi.org/10.1016/j.jaac.2013.10.011" TargetMode="External" /><Relationship Type="http://schemas.openxmlformats.org/officeDocument/2006/relationships/hyperlink" Id="rId147" Target="https://doi.org/10.1016/j.jaac.2017.05.019" TargetMode="External" /><Relationship Type="http://schemas.openxmlformats.org/officeDocument/2006/relationships/hyperlink" Id="rId85" Target="https://doi.org/10.1016/j.jaacop.2025.10.008" TargetMode="External" /><Relationship Type="http://schemas.openxmlformats.org/officeDocument/2006/relationships/hyperlink" Id="rId412" Target="https://doi.org/10.1016/j.jad.2026.121556" TargetMode="External" /><Relationship Type="http://schemas.openxmlformats.org/officeDocument/2006/relationships/hyperlink" Id="rId357" Target="https://doi.org/10.1016/j.jcrimjus.2024.102155" TargetMode="External" /><Relationship Type="http://schemas.openxmlformats.org/officeDocument/2006/relationships/hyperlink" Id="rId137" Target="https://doi.org/10.1016/j.jpsychires.2013.08.016" TargetMode="External" /><Relationship Type="http://schemas.openxmlformats.org/officeDocument/2006/relationships/hyperlink" Id="rId223" Target="https://doi.org/10.1017/S0033291711001966" TargetMode="External" /><Relationship Type="http://schemas.openxmlformats.org/officeDocument/2006/relationships/hyperlink" Id="rId225" Target="https://doi.org/10.1017/S003329172000183X" TargetMode="External" /><Relationship Type="http://schemas.openxmlformats.org/officeDocument/2006/relationships/hyperlink" Id="rId396" Target="https://doi.org/10.1017/S0954579403000221" TargetMode="External" /><Relationship Type="http://schemas.openxmlformats.org/officeDocument/2006/relationships/hyperlink" Id="rId362" Target="https://doi.org/10.1017/S0954579407070174" TargetMode="External" /><Relationship Type="http://schemas.openxmlformats.org/officeDocument/2006/relationships/hyperlink" Id="rId303" Target="https://doi.org/10.1017/S0954579408000333" TargetMode="External" /><Relationship Type="http://schemas.openxmlformats.org/officeDocument/2006/relationships/hyperlink" Id="rId273" Target="https://doi.org/10.1017/S0954579410000301" TargetMode="External" /><Relationship Type="http://schemas.openxmlformats.org/officeDocument/2006/relationships/hyperlink" Id="rId316" Target="https://doi.org/10.1017/S0954579414000789" TargetMode="External" /><Relationship Type="http://schemas.openxmlformats.org/officeDocument/2006/relationships/hyperlink" Id="rId206" Target="https://doi.org/10.1017/S0954579416000651" TargetMode="External" /><Relationship Type="http://schemas.openxmlformats.org/officeDocument/2006/relationships/hyperlink" Id="rId213" Target="https://doi.org/10.1017/S0954579421001772" TargetMode="External" /><Relationship Type="http://schemas.openxmlformats.org/officeDocument/2006/relationships/hyperlink" Id="rId145" Target="https://doi.org/10.1017/S0954579423001505" TargetMode="External" /><Relationship Type="http://schemas.openxmlformats.org/officeDocument/2006/relationships/hyperlink" Id="rId221" Target="https://doi.org/10.1017/S0954579424000713" TargetMode="External" /><Relationship Type="http://schemas.openxmlformats.org/officeDocument/2006/relationships/hyperlink" Id="rId305" Target="https://doi.org/10.1023/a:1026254005632" TargetMode="External" /><Relationship Type="http://schemas.openxmlformats.org/officeDocument/2006/relationships/hyperlink" Id="rId157" Target="https://doi.org/10.1027/1015-5759.17.1.25" TargetMode="External" /><Relationship Type="http://schemas.openxmlformats.org/officeDocument/2006/relationships/hyperlink" Id="rId347" Target="https://doi.org/10.1037/0003-066X.54.2.93" TargetMode="External" /><Relationship Type="http://schemas.openxmlformats.org/officeDocument/2006/relationships/hyperlink" Id="rId155" Target="https://doi.org/10.1037/0012-1649.39.2.222" TargetMode="External" /><Relationship Type="http://schemas.openxmlformats.org/officeDocument/2006/relationships/hyperlink" Id="rId263" Target="https://doi.org/10.1037/0021-843X.116.4.645" TargetMode="External" /><Relationship Type="http://schemas.openxmlformats.org/officeDocument/2006/relationships/hyperlink" Id="rId265" Target="https://doi.org/10.1037/0021-843x.114.4.537" TargetMode="External" /><Relationship Type="http://schemas.openxmlformats.org/officeDocument/2006/relationships/hyperlink" Id="rId309" Target="https://doi.org/10.1037/0022-006X.61.6.911" TargetMode="External" /><Relationship Type="http://schemas.openxmlformats.org/officeDocument/2006/relationships/hyperlink" Id="rId175" Target="https://doi.org/10.1037/0022-006X.70.1.6" TargetMode="External" /><Relationship Type="http://schemas.openxmlformats.org/officeDocument/2006/relationships/hyperlink" Id="rId291" Target="https://doi.org/10.1037/0033-295X.100.4.674" TargetMode="External" /><Relationship Type="http://schemas.openxmlformats.org/officeDocument/2006/relationships/hyperlink" Id="rId227" Target="https://doi.org/10.1037/0882-7974.18.4.639" TargetMode="External" /><Relationship Type="http://schemas.openxmlformats.org/officeDocument/2006/relationships/hyperlink" Id="rId204" Target="https://doi.org/10.1037/0882-7974.19.2.243" TargetMode="External" /><Relationship Type="http://schemas.openxmlformats.org/officeDocument/2006/relationships/hyperlink" Id="rId267" Target="https://doi.org/10.1037/1040-3590.16.2.107" TargetMode="External" /><Relationship Type="http://schemas.openxmlformats.org/officeDocument/2006/relationships/hyperlink" Id="rId236" Target="https://doi.org/10.1037/13129-000" TargetMode="External" /><Relationship Type="http://schemas.openxmlformats.org/officeDocument/2006/relationships/hyperlink" Id="rId128" Target="https://doi.org/10.1037/14048-008" TargetMode="External" /><Relationship Type="http://schemas.openxmlformats.org/officeDocument/2006/relationships/hyperlink" Id="rId382" Target="https://doi.org/10.1037/a0021519" TargetMode="External" /><Relationship Type="http://schemas.openxmlformats.org/officeDocument/2006/relationships/hyperlink" Id="rId280" Target="https://doi.org/10.1037/a0023678" TargetMode="External" /><Relationship Type="http://schemas.openxmlformats.org/officeDocument/2006/relationships/hyperlink" Id="rId409" Target="https://doi.org/10.1037/a0030133" TargetMode="External" /><Relationship Type="http://schemas.openxmlformats.org/officeDocument/2006/relationships/hyperlink" Id="rId141" Target="https://doi.org/10.1037/a0032475" TargetMode="External" /><Relationship Type="http://schemas.openxmlformats.org/officeDocument/2006/relationships/hyperlink" Id="rId351" Target="https://doi.org/10.1037/abn0000171" TargetMode="External" /><Relationship Type="http://schemas.openxmlformats.org/officeDocument/2006/relationships/hyperlink" Id="rId342" Target="https://doi.org/10.1037/abn0000232" TargetMode="External" /><Relationship Type="http://schemas.openxmlformats.org/officeDocument/2006/relationships/hyperlink" Id="rId253" Target="https://doi.org/10.1037/abn0000258" TargetMode="External" /><Relationship Type="http://schemas.openxmlformats.org/officeDocument/2006/relationships/hyperlink" Id="rId368" Target="https://doi.org/10.1037/abn0000751" TargetMode="External" /><Relationship Type="http://schemas.openxmlformats.org/officeDocument/2006/relationships/hyperlink" Id="rId185" Target="https://doi.org/10.1037/abn0001084" TargetMode="External" /><Relationship Type="http://schemas.openxmlformats.org/officeDocument/2006/relationships/hyperlink" Id="rId325" Target="https://doi.org/10.1037/dev0000449" TargetMode="External" /><Relationship Type="http://schemas.openxmlformats.org/officeDocument/2006/relationships/hyperlink" Id="rId353" Target="https://doi.org/10.1037/dev0001095" TargetMode="External" /><Relationship Type="http://schemas.openxmlformats.org/officeDocument/2006/relationships/hyperlink" Id="rId313" Target="https://doi.org/10.1037/dev0001657" TargetMode="External" /><Relationship Type="http://schemas.openxmlformats.org/officeDocument/2006/relationships/hyperlink" Id="rId108" Target="https://doi.org/10.1037/edu0000461" TargetMode="External" /><Relationship Type="http://schemas.openxmlformats.org/officeDocument/2006/relationships/hyperlink" Id="rId139" Target="https://doi.org/10.1037/met0000077" TargetMode="External" /><Relationship Type="http://schemas.openxmlformats.org/officeDocument/2006/relationships/hyperlink" Id="rId198" Target="https://doi.org/10.1037/met0000563" TargetMode="External" /><Relationship Type="http://schemas.openxmlformats.org/officeDocument/2006/relationships/hyperlink" Id="rId171" Target="https://doi.org/10.1037/met0000685" TargetMode="External" /><Relationship Type="http://schemas.openxmlformats.org/officeDocument/2006/relationships/hyperlink" Id="rId355" Target="https://doi.org/10.1037/pas0000648" TargetMode="External" /><Relationship Type="http://schemas.openxmlformats.org/officeDocument/2006/relationships/hyperlink" Id="rId331" Target="https://doi.org/10.1037/pas0000754" TargetMode="External" /><Relationship Type="http://schemas.openxmlformats.org/officeDocument/2006/relationships/hyperlink" Id="rId75" Target="https://doi.org/10.1037/pas0001441" TargetMode="External" /><Relationship Type="http://schemas.openxmlformats.org/officeDocument/2006/relationships/hyperlink" Id="rId370" Target="https://doi.org/10.1038/s44220-023-00057-5" TargetMode="External" /><Relationship Type="http://schemas.openxmlformats.org/officeDocument/2006/relationships/hyperlink" Id="rId293" Target="https://doi.org/10.1073/pnas.1010076108" TargetMode="External" /><Relationship Type="http://schemas.openxmlformats.org/officeDocument/2006/relationships/hyperlink" Id="rId183" Target="https://doi.org/10.1080/00273171.2014.889594" TargetMode="External" /><Relationship Type="http://schemas.openxmlformats.org/officeDocument/2006/relationships/hyperlink" Id="rId271" Target="https://doi.org/10.1080/00273171.2021.1941730" TargetMode="External" /><Relationship Type="http://schemas.openxmlformats.org/officeDocument/2006/relationships/hyperlink" Id="rId169" Target="https://doi.org/10.1080/00273171.2026.2640576" TargetMode="External" /><Relationship Type="http://schemas.openxmlformats.org/officeDocument/2006/relationships/hyperlink" Id="rId333" Target="https://doi.org/10.1080/10705511.2023.2191292" TargetMode="External" /><Relationship Type="http://schemas.openxmlformats.org/officeDocument/2006/relationships/hyperlink" Id="rId380" Target="https://doi.org/10.1080/15374416.2018.1561296" TargetMode="External" /><Relationship Type="http://schemas.openxmlformats.org/officeDocument/2006/relationships/hyperlink" Id="rId372" Target="https://doi.org/10.1080/15374416.2019.1622124" TargetMode="External" /><Relationship Type="http://schemas.openxmlformats.org/officeDocument/2006/relationships/hyperlink" Id="rId187" Target="https://doi.org/10.1080/15374416.2025.2484813" TargetMode="External" /><Relationship Type="http://schemas.openxmlformats.org/officeDocument/2006/relationships/hyperlink" Id="rId344" Target="https://doi.org/10.1086/269270" TargetMode="External" /><Relationship Type="http://schemas.openxmlformats.org/officeDocument/2006/relationships/hyperlink" Id="rId193" Target="https://doi.org/10.1108/978-1-61735-891-320251015" TargetMode="External" /><Relationship Type="http://schemas.openxmlformats.org/officeDocument/2006/relationships/hyperlink" Id="rId323" Target="https://doi.org/10.1111/cdev.13433" TargetMode="External" /><Relationship Type="http://schemas.openxmlformats.org/officeDocument/2006/relationships/hyperlink" Id="rId311" Target="https://doi.org/10.1111/desc.70216" TargetMode="External" /><Relationship Type="http://schemas.openxmlformats.org/officeDocument/2006/relationships/hyperlink" Id="rId149" Target="https://doi.org/10.1111/j.1467-8624.2004.00755.x" TargetMode="External" /><Relationship Type="http://schemas.openxmlformats.org/officeDocument/2006/relationships/hyperlink" Id="rId286" Target="https://doi.org/10.1111/j.1467-9507.2008.00480.x" TargetMode="External" /><Relationship Type="http://schemas.openxmlformats.org/officeDocument/2006/relationships/hyperlink" Id="rId338" Target="https://doi.org/10.1111/j.1469-7610.2006.01614.x" TargetMode="External" /><Relationship Type="http://schemas.openxmlformats.org/officeDocument/2006/relationships/hyperlink" Id="rId179" Target="https://doi.org/10.1111/j.1469-7610.2011.02511.x" TargetMode="External" /><Relationship Type="http://schemas.openxmlformats.org/officeDocument/2006/relationships/hyperlink" Id="rId238" Target="https://doi.org/10.1111/j.1469-7610.2012.02585.x" TargetMode="External" /><Relationship Type="http://schemas.openxmlformats.org/officeDocument/2006/relationships/hyperlink" Id="rId403" Target="https://doi.org/10.1111/j.1750-8606.2009.00110.x" TargetMode="External" /><Relationship Type="http://schemas.openxmlformats.org/officeDocument/2006/relationships/hyperlink" Id="rId248" Target="https://doi.org/10.1111/j.1750-8606.2009.00112.x" TargetMode="External" /><Relationship Type="http://schemas.openxmlformats.org/officeDocument/2006/relationships/hyperlink" Id="rId200" Target="https://doi.org/10.1111/jcpp.12102" TargetMode="External" /><Relationship Type="http://schemas.openxmlformats.org/officeDocument/2006/relationships/hyperlink" Id="rId359" Target="https://doi.org/10.1111/jcpp.13549" TargetMode="External" /><Relationship Type="http://schemas.openxmlformats.org/officeDocument/2006/relationships/hyperlink" Id="rId143" Target="https://doi.org/10.1111/jcpp.70057" TargetMode="External" /><Relationship Type="http://schemas.openxmlformats.org/officeDocument/2006/relationships/hyperlink" Id="rId340" Target="https://doi.org/10.1111/jcpp.70180" TargetMode="External" /><Relationship Type="http://schemas.openxmlformats.org/officeDocument/2006/relationships/hyperlink" Id="rId242" Target="https://doi.org/10.1111/jora.12252" TargetMode="External" /><Relationship Type="http://schemas.openxmlformats.org/officeDocument/2006/relationships/hyperlink" Id="rId257" Target="https://doi.org/10.1111/psyp.12551" TargetMode="External" /><Relationship Type="http://schemas.openxmlformats.org/officeDocument/2006/relationships/hyperlink" Id="rId191" Target="https://doi.org/10.1126/science.2270481" TargetMode="External" /><Relationship Type="http://schemas.openxmlformats.org/officeDocument/2006/relationships/hyperlink" Id="rId189" Target="https://doi.org/10.1146/annurev-clinpsy-050212-185617" TargetMode="External" /><Relationship Type="http://schemas.openxmlformats.org/officeDocument/2006/relationships/hyperlink" Id="rId301" Target="https://doi.org/10.1146/annurev-clinpsy-061324-073435" TargetMode="External" /><Relationship Type="http://schemas.openxmlformats.org/officeDocument/2006/relationships/hyperlink" Id="rId327" Target="https://doi.org/10.1146/annurev-psych-120710-100452" TargetMode="External" /><Relationship Type="http://schemas.openxmlformats.org/officeDocument/2006/relationships/hyperlink" Id="rId295" Target="https://doi.org/10.1159/000270073" TargetMode="External" /><Relationship Type="http://schemas.openxmlformats.org/officeDocument/2006/relationships/hyperlink" Id="rId255" Target="https://doi.org/10.1176/appi.ajp.160.9.1566" TargetMode="External" /><Relationship Type="http://schemas.openxmlformats.org/officeDocument/2006/relationships/hyperlink" Id="rId229" Target="https://doi.org/10.1176/appi.ajp.2008.08030366" TargetMode="External" /><Relationship Type="http://schemas.openxmlformats.org/officeDocument/2006/relationships/hyperlink" Id="rId398" Target="https://doi.org/10.1177/0049124121995521" TargetMode="External" /><Relationship Type="http://schemas.openxmlformats.org/officeDocument/2006/relationships/hyperlink" Id="rId400" Target="https://doi.org/10.1177/00491241221091754" TargetMode="External" /><Relationship Type="http://schemas.openxmlformats.org/officeDocument/2006/relationships/hyperlink" Id="rId384" Target="https://doi.org/10.1177/0093854812443645" TargetMode="External" /><Relationship Type="http://schemas.openxmlformats.org/officeDocument/2006/relationships/hyperlink" Id="rId181" Target="https://doi.org/10.1177/0146621612470210" TargetMode="External" /><Relationship Type="http://schemas.openxmlformats.org/officeDocument/2006/relationships/hyperlink" Id="rId299" Target="https://doi.org/10.1177/0165025415618275" TargetMode="External" /><Relationship Type="http://schemas.openxmlformats.org/officeDocument/2006/relationships/hyperlink" Id="rId405" Target="https://doi.org/10.1177/0165025419880610" TargetMode="External" /><Relationship Type="http://schemas.openxmlformats.org/officeDocument/2006/relationships/hyperlink" Id="rId135" Target="https://doi.org/10.1177/0269758014537147" TargetMode="External" /><Relationship Type="http://schemas.openxmlformats.org/officeDocument/2006/relationships/hyperlink" Id="rId208" Target="https://doi.org/10.1177/08902070241228338" TargetMode="External" /><Relationship Type="http://schemas.openxmlformats.org/officeDocument/2006/relationships/hyperlink" Id="rId366" Target="https://doi.org/10.1177/1362361320908972" TargetMode="External" /><Relationship Type="http://schemas.openxmlformats.org/officeDocument/2006/relationships/hyperlink" Id="rId163" Target="https://doi.org/10.1177/2167702613497473" TargetMode="External" /><Relationship Type="http://schemas.openxmlformats.org/officeDocument/2006/relationships/hyperlink" Id="rId336" Target="https://doi.org/10.1177/25152459251342750" TargetMode="External" /><Relationship Type="http://schemas.openxmlformats.org/officeDocument/2006/relationships/hyperlink" Id="rId307" Target="https://doi.org/10.1371/journal.pone.0063109" TargetMode="External" /><Relationship Type="http://schemas.openxmlformats.org/officeDocument/2006/relationships/hyperlink" Id="rId215" Target="https://doi.org/10.1378/chest.116.5.1208" TargetMode="External" /><Relationship Type="http://schemas.openxmlformats.org/officeDocument/2006/relationships/hyperlink" Id="rId173" Target="https://doi.org/10.14283/jfa.2012.9" TargetMode="External" /><Relationship Type="http://schemas.openxmlformats.org/officeDocument/2006/relationships/hyperlink" Id="rId349" Target="https://doi.org/10.18148/srm/2018.v12i1.7210" TargetMode="External" /><Relationship Type="http://schemas.openxmlformats.org/officeDocument/2006/relationships/hyperlink" Id="rId217" Target="https://doi.org/10.22237/jmasm/1209614640" TargetMode="External" /><Relationship Type="http://schemas.openxmlformats.org/officeDocument/2006/relationships/hyperlink" Id="rId195" Target="https://doi.org/10.2307/2095245" TargetMode="External" /><Relationship Type="http://schemas.openxmlformats.org/officeDocument/2006/relationships/hyperlink" Id="rId374" Target="https://doi.org/10.2307/j.ctt2jbxs1" TargetMode="External" /><Relationship Type="http://schemas.openxmlformats.org/officeDocument/2006/relationships/hyperlink" Id="rId116" Target="https://doi.org/10.25820/work.007199" TargetMode="External" /><Relationship Type="http://schemas.openxmlformats.org/officeDocument/2006/relationships/hyperlink" Id="rId376" Target="https://doi.org/10.3389/fpsyg.2013.00770" TargetMode="External" /><Relationship Type="http://schemas.openxmlformats.org/officeDocument/2006/relationships/hyperlink" Id="rId297" Target="https://doi.org/10.3389/fpsyg.2014.00978" TargetMode="External" /><Relationship Type="http://schemas.openxmlformats.org/officeDocument/2006/relationships/hyperlink" Id="rId177" Target="https://doi.org/10.3389/fpsyg.2014.00982" TargetMode="External" /><Relationship Type="http://schemas.openxmlformats.org/officeDocument/2006/relationships/hyperlink" Id="rId407" Target="https://icd.who.int" TargetMode="External" /><Relationship Type="http://schemas.openxmlformats.org/officeDocument/2006/relationships/hyperlink" Id="rId289"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19" Target="https://quantitudepod.org/latent-means/ (archived at: https://perma.cc/5JL3-YUP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2026-07-22T17:14:23Z</dcterms:created>
  <dcterms:modified xsi:type="dcterms:W3CDTF">2026-07-22T17:14:23Z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2026-07-22</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11357</vt:lpwstr>
  </property>
  <property fmtid="{D5CDD505-2E9C-101B-9397-08002B2CF9AE}" pid="83" name="zerocitations">
    <vt:lpwstr>False</vt:lpwstr>
  </property>
</Properties>
</file>