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3.jpg" ContentType="image/jpeg"/>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47"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A theoretical depiction of the heterogeneity of cognitive decline is depicted in</w:t>
      </w:r>
      <w:r>
        <w:t xml:space="preserve"> </w:t>
      </w:r>
      <w:hyperlink w:anchor="fig-agingTrajectoriesHeteogeneity">
        <w:r>
          <w:rPr>
            <w:rStyle w:val="Hyperlink"/>
          </w:rPr>
          <w:t xml:space="preserve">Figure 1</w:t>
        </w:r>
      </w:hyperlink>
      <w:r>
        <w:t xml:space="preserve">.</w:t>
      </w:r>
    </w:p>
    <w:p>
      <w:pPr>
        <w:pStyle w:val="BodyText"/>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bookmarkStart w:id="46" w:name="fig-agingTrajectoriesHeteogeneity"/>
    <w:p>
      <w:pPr>
        <w:pStyle w:val="FigureTitle"/>
      </w:pPr>
      <w:r>
        <w:t xml:space="preserve">Figure 1</w:t>
      </w:r>
    </w:p>
    <w:p>
      <w:pPr>
        <w:pStyle w:val="Caption"/>
      </w:pPr>
      <w:r>
        <w:t xml:space="preserve">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Established and emerging mechanisms that determine whether a given individual experiences more stable (in green) vs. declining (in purple) trajectories are the focus of this review.</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 119, 103102.</w:t>
      </w:r>
      <w:r>
        <w:t xml:space="preserve"> </w:t>
      </w:r>
      <w:hyperlink r:id="rId42">
        <w:r>
          <w:rPr>
            <w:rStyle w:val="Hyperlink"/>
          </w:rPr>
          <w:t xml:space="preserve">https://doi.org/10.1016/j.arr.2026.103102</w:t>
        </w:r>
      </w:hyperlink>
      <w:r>
        <w:t xml:space="preserve">)</w:t>
      </w:r>
    </w:p>
    <w:p>
      <w:pPr>
        <w:pStyle w:val="FigureWithoutNote"/>
      </w:pPr>
      <w:r>
        <w:drawing>
          <wp:inline>
            <wp:extent cx="3044952" cy="2272311"/>
            <wp:effectExtent b="0" l="0" r="0" t="0"/>
            <wp:docPr descr="" title="" id="44" name="Picture"/>
            <a:graphic>
              <a:graphicData uri="http://schemas.openxmlformats.org/drawingml/2006/picture">
                <pic:pic>
                  <pic:nvPicPr>
                    <pic:cNvPr descr="Figures/Abrous2026_figure1.jpg" id="45" name="Picture"/>
                    <pic:cNvPicPr>
                      <a:picLocks noChangeArrowheads="1" noChangeAspect="1"/>
                    </pic:cNvPicPr>
                  </pic:nvPicPr>
                  <pic:blipFill>
                    <a:blip r:embed="rId43"/>
                    <a:stretch>
                      <a:fillRect/>
                    </a:stretch>
                  </pic:blipFill>
                  <pic:spPr bwMode="auto">
                    <a:xfrm>
                      <a:off x="0" y="0"/>
                      <a:ext cx="3044952" cy="2272311"/>
                    </a:xfrm>
                    <a:prstGeom prst="rect">
                      <a:avLst/>
                    </a:prstGeom>
                    <a:noFill/>
                    <a:ln w="9525">
                      <a:noFill/>
                      <a:headEnd/>
                      <a:tailEnd/>
                    </a:ln>
                  </pic:spPr>
                </pic:pic>
              </a:graphicData>
            </a:graphic>
          </wp:inline>
        </w:drawing>
      </w:r>
    </w:p>
    <w:bookmarkEnd w:id="46"/>
    <w:p>
      <w:pPr>
        <w:pStyle w:val="AfterWithoutNote"/>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47"/>
    <w:bookmarkStart w:id="48" w:name="the-problemobstacle"/>
    <w:p>
      <w:pPr>
        <w:pStyle w:val="Heading1"/>
      </w:pPr>
      <w:r>
        <w:t xml:space="preserve">The Problem/Obstacle</w:t>
      </w:r>
    </w:p>
    <w:p>
      <w:pPr>
        <w:pStyle w:val="FirstParagraph"/>
      </w:pPr>
      <w:r>
        <w:t xml:space="preserve">The focal problem examined in this paper is that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bookmarkEnd w:id="48"/>
    <w:bookmarkStart w:id="59"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52"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taxonimc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constructs often have earlier origins than their full clinical presentation.</w:t>
      </w:r>
      <w:r>
        <w:t xml:space="preserve"> </w:t>
      </w:r>
      <w:r>
        <w:t xml:space="preserve"> </w:t>
      </w:r>
      <w:r>
        <w:t xml:space="preserve">Second, forms of psychopathology frequently show changes in behavioral manifestation across development—a phenomenon called heterotypic continuity.</w:t>
      </w:r>
      <w:r>
        <w:t xml:space="preserve"> </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problems as a chimera.</w:t>
      </w:r>
      <w:r>
        <w:t xml:space="preserve"> </w:t>
      </w:r>
      <w:r>
        <w:t xml:space="preserve">A chimera is a mythical creature with the body of a goat that, with development, grows the head a lion and then a tail of a snake.</w:t>
      </w:r>
      <w:r>
        <w:t xml:space="preserve"> </w:t>
      </w:r>
      <w:r>
        <w:t xml:space="preserve">Patterson</w:t>
      </w:r>
      <w:r>
        <w:t xml:space="preserve"> </w:t>
      </w:r>
      <w:r>
        <w:t xml:space="preserve">(</w:t>
      </w:r>
      <w:hyperlink w:anchor="ref-Patterson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tantrams,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These age-differing behaviors show strong stability of individual differences, indicating a consistent underlying construct</w:t>
      </w:r>
      <w:r>
        <w:t xml:space="preserve"> </w:t>
      </w:r>
      <w:r>
        <w:t xml:space="preserve">(</w:t>
      </w:r>
      <w:hyperlink w:anchor="ref-Patterson1993">
        <w:r>
          <w:rPr>
            <w:rStyle w:val="Hyperlink"/>
          </w:rPr>
          <w:t xml:space="preserve">Patterson, 1993</w:t>
        </w:r>
      </w:hyperlink>
      <w:r>
        <w:t xml:space="preserve">)</w:t>
      </w:r>
      <w:r>
        <w:t xml:space="preserve">.</w:t>
      </w:r>
      <w:r>
        <w:t xml:space="preserve"> </w:t>
      </w:r>
      <w:r>
        <w:t xml:space="preserve">Others have noted that externalizing problems are often expressed as overt acts in early childhood, such as physical aggression and temper tantrums; whereas externalizing problems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behavioral expression of externalizing problems likely reflects a combination of time-varying genetic and environmental factors, such as school entry transition, in combination with varying developmental tasks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fighting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51"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49"/>
      </w:r>
      <w:r>
        <w:t xml:space="preserve">—the diagnostic criteria do not differ across development, even though diagnostic manuals acknowledge that developmental factors impact symptom presentation</w:t>
      </w:r>
      <w:r>
        <w:rPr>
          <w:rStyle w:val="FootnoteReference"/>
        </w:rPr>
        <w:footnoteReference w:id="50"/>
      </w:r>
      <w:r>
        <w:t xml:space="preserve">.</w:t>
      </w:r>
    </w:p>
    <w:bookmarkEnd w:id="51"/>
    <w:bookmarkEnd w:id="52"/>
    <w:bookmarkStart w:id="57"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metween theory and method.</w:t>
      </w:r>
      <w:r>
        <w:t xml:space="preserve"> </w:t>
      </w:r>
      <w:r>
        <w:t xml:space="preserve">In particular, there is a mismatch between theory of constructs—including how a construct manifest behaviorally—and our methods to assess the construct and to evaluate people’s level and change in that construct.</w:t>
      </w:r>
    </w:p>
    <w:bookmarkStart w:id="53" w:name="X4c94655489fd3e3efea19c584555f75e74709d7"/>
    <w:p>
      <w:pPr>
        <w:pStyle w:val="Heading3"/>
      </w:pPr>
      <w:r>
        <w:t xml:space="preserve">Do Not Adequately Capture Constructs’ Change in Behavioral Manifestation Across Development</w:t>
      </w:r>
    </w:p>
    <w:bookmarkEnd w:id="53"/>
    <w:bookmarkStart w:id="54" w:name="Xdc13d281466e499f4855c3876fd0a0cd5a1ffa2"/>
    <w:p>
      <w:pPr>
        <w:pStyle w:val="Heading3"/>
      </w:pPr>
      <w:r>
        <w:t xml:space="preserve">Do Not Allow Charting Individuals’ Change Over Time When the Construct Changes in Behavioral Manifestation</w:t>
      </w:r>
    </w:p>
    <w:bookmarkEnd w:id="54"/>
    <w:bookmarkStart w:id="55" w:name="X5b5ec984eec4bed4d234d034c192bb08d883361"/>
    <w:p>
      <w:pPr>
        <w:pStyle w:val="Heading3"/>
      </w:pPr>
      <w:r>
        <w:t xml:space="preserve">Not Well-Suited For Capturing the Full Range of Individual Differences</w:t>
      </w:r>
    </w:p>
    <w:bookmarkEnd w:id="55"/>
    <w:bookmarkStart w:id="56" w:name="X7a68df1e46d6eb3875992be7e28db94db9dbc3e"/>
    <w:p>
      <w:pPr>
        <w:pStyle w:val="Heading3"/>
      </w:pPr>
      <w:r>
        <w:t xml:space="preserve">Not Well-Suited for Capturing Individuals’ Change Over Time</w:t>
      </w:r>
    </w:p>
    <w:bookmarkEnd w:id="56"/>
    <w:bookmarkEnd w:id="57"/>
    <w:bookmarkStart w:id="58" w:name="example-externalizing-psychopathology"/>
    <w:p>
      <w:pPr>
        <w:pStyle w:val="Heading2"/>
      </w:pPr>
      <w:r>
        <w:t xml:space="preserve">Example: Externalizing Psychopathology</w:t>
      </w:r>
    </w:p>
    <w:bookmarkEnd w:id="58"/>
    <w:bookmarkEnd w:id="59"/>
    <w:bookmarkStart w:id="60" w:name="X90173f212147643646723f86a6ce6f8ad77bf31"/>
    <w:p>
      <w:pPr>
        <w:pStyle w:val="Heading1"/>
      </w:pPr>
      <w:r>
        <w:t xml:space="preserve">Solution: A Developmental Scaling Framework</w:t>
      </w:r>
    </w:p>
    <w:bookmarkEnd w:id="60"/>
    <w:bookmarkStart w:id="68" w:name="other-key-challenges-to-address"/>
    <w:p>
      <w:pPr>
        <w:pStyle w:val="Heading1"/>
      </w:pPr>
      <w:r>
        <w:t xml:space="preserve">Other Key Challenges to Address</w:t>
      </w:r>
    </w:p>
    <w:bookmarkStart w:id="65" w:name="sec-potential-confounds-of-change"/>
    <w:p>
      <w:pPr>
        <w:pStyle w:val="Heading2"/>
      </w:pPr>
      <w:r>
        <w:t xml:space="preserve">Potential Confounds of Change</w:t>
      </w:r>
    </w:p>
    <w:bookmarkStart w:id="61" w:name="practiceretest-effects"/>
    <w:p>
      <w:pPr>
        <w:pStyle w:val="Heading3"/>
      </w:pPr>
      <w:r>
        <w:t xml:space="preserve">Practice/Retest Effects</w:t>
      </w:r>
    </w:p>
    <w:bookmarkEnd w:id="61"/>
    <w:bookmarkStart w:id="62" w:name="period-and-cohort-effects"/>
    <w:p>
      <w:pPr>
        <w:pStyle w:val="Heading3"/>
      </w:pPr>
      <w:r>
        <w:t xml:space="preserve">Period and Cohort Effects</w:t>
      </w:r>
    </w:p>
    <w:bookmarkEnd w:id="62"/>
    <w:bookmarkStart w:id="63" w:name="measurement-error"/>
    <w:p>
      <w:pPr>
        <w:pStyle w:val="Heading3"/>
      </w:pPr>
      <w:r>
        <w:t xml:space="preserve">Measurement Error</w:t>
      </w:r>
    </w:p>
    <w:bookmarkEnd w:id="63"/>
    <w:bookmarkStart w:id="64" w:name="change-in-meaning-of-the-scores"/>
    <w:p>
      <w:pPr>
        <w:pStyle w:val="Heading3"/>
      </w:pPr>
      <w:r>
        <w:t xml:space="preserve">Change in Meaning of the Scores</w:t>
      </w:r>
    </w:p>
    <w:bookmarkEnd w:id="64"/>
    <w:bookmarkEnd w:id="65"/>
    <w:bookmarkStart w:id="66" w:name="factorial-invariance-across-time"/>
    <w:p>
      <w:pPr>
        <w:pStyle w:val="Heading2"/>
      </w:pPr>
      <w:r>
        <w:t xml:space="preserve">Factorial Invariance Across Time</w:t>
      </w:r>
    </w:p>
    <w:bookmarkEnd w:id="66"/>
    <w:bookmarkStart w:id="67" w:name="obsolescence-of-items-and-measures"/>
    <w:p>
      <w:pPr>
        <w:pStyle w:val="Heading2"/>
      </w:pPr>
      <w:r>
        <w:t xml:space="preserve">Obsolescence of Items and Measures</w:t>
      </w:r>
    </w:p>
    <w:bookmarkEnd w:id="67"/>
    <w:bookmarkEnd w:id="68"/>
    <w:bookmarkStart w:id="69"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69"/>
    <w:bookmarkStart w:id="103" w:name="references"/>
    <w:p>
      <w:pPr>
        <w:pStyle w:val="Heading1"/>
      </w:pPr>
      <w:r>
        <w:t xml:space="preserve">References</w:t>
      </w:r>
    </w:p>
    <w:bookmarkStart w:id="102" w:name="refs"/>
    <w:bookmarkStart w:id="70"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42">
        <w:r>
          <w:rPr>
            <w:rStyle w:val="Hyperlink"/>
          </w:rPr>
          <w:t xml:space="preserve">https://doi.org/10.1016/j.arr.2026.103102</w:t>
        </w:r>
      </w:hyperlink>
    </w:p>
    <w:bookmarkEnd w:id="70"/>
    <w:bookmarkStart w:id="71"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71"/>
    <w:bookmarkStart w:id="72"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72"/>
    <w:bookmarkStart w:id="74"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73">
        <w:r>
          <w:rPr>
            <w:rStyle w:val="Hyperlink"/>
          </w:rPr>
          <w:t xml:space="preserve">https://doi.org/10.1002/jcv2.70043</w:t>
        </w:r>
      </w:hyperlink>
    </w:p>
    <w:bookmarkEnd w:id="74"/>
    <w:bookmarkStart w:id="76"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75">
        <w:r>
          <w:rPr>
            <w:rStyle w:val="Hyperlink"/>
          </w:rPr>
          <w:t xml:space="preserve">https://doi.org/10.1007/s00234-020-02562-1</w:t>
        </w:r>
      </w:hyperlink>
    </w:p>
    <w:bookmarkEnd w:id="76"/>
    <w:bookmarkStart w:id="78"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77">
        <w:r>
          <w:rPr>
            <w:rStyle w:val="Hyperlink"/>
          </w:rPr>
          <w:t xml:space="preserve">https://doi.org/10.1176/appi.ajp.2008.08030366</w:t>
        </w:r>
      </w:hyperlink>
    </w:p>
    <w:bookmarkEnd w:id="78"/>
    <w:bookmarkStart w:id="80"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79">
        <w:r>
          <w:rPr>
            <w:rStyle w:val="Hyperlink"/>
          </w:rPr>
          <w:t xml:space="preserve">https://doi.org/10.1111/j.1467-9507.2008.00480.x</w:t>
        </w:r>
      </w:hyperlink>
    </w:p>
    <w:bookmarkEnd w:id="80"/>
    <w:bookmarkStart w:id="82"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81">
        <w:r>
          <w:rPr>
            <w:rStyle w:val="Hyperlink"/>
          </w:rPr>
          <w:t xml:space="preserve">https://doi.org/10.1037/0022-006X.61.6.911</w:t>
        </w:r>
      </w:hyperlink>
    </w:p>
    <w:bookmarkEnd w:id="82"/>
    <w:bookmarkStart w:id="84"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83">
        <w:r>
          <w:rPr>
            <w:rStyle w:val="Hyperlink"/>
          </w:rPr>
          <w:t xml:space="preserve">https://doi.org/10.1037/dev0001657</w:t>
        </w:r>
      </w:hyperlink>
    </w:p>
    <w:bookmarkEnd w:id="84"/>
    <w:bookmarkStart w:id="86"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85">
        <w:r>
          <w:rPr>
            <w:rStyle w:val="Hyperlink"/>
          </w:rPr>
          <w:t xml:space="preserve">https://doi.org/10.1016/j.dr.2020.100935</w:t>
        </w:r>
      </w:hyperlink>
    </w:p>
    <w:bookmarkEnd w:id="86"/>
    <w:bookmarkStart w:id="88"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7">
        <w:r>
          <w:rPr>
            <w:rStyle w:val="Hyperlink"/>
          </w:rPr>
          <w:t xml:space="preserve">https://doi.org/10.1016/j.jaacop.2025.10.008</w:t>
        </w:r>
      </w:hyperlink>
    </w:p>
    <w:bookmarkEnd w:id="88"/>
    <w:bookmarkStart w:id="90"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89">
        <w:r>
          <w:rPr>
            <w:rStyle w:val="Hyperlink"/>
          </w:rPr>
          <w:t xml:space="preserve">https://doi.org/10.1037/dev0000449</w:t>
        </w:r>
      </w:hyperlink>
    </w:p>
    <w:bookmarkEnd w:id="90"/>
    <w:bookmarkStart w:id="92"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91">
        <w:r>
          <w:rPr>
            <w:rStyle w:val="Hyperlink"/>
          </w:rPr>
          <w:t xml:space="preserve">https://doi.org/10.1111/j.1469-7610.2006.01614.x</w:t>
        </w:r>
      </w:hyperlink>
    </w:p>
    <w:bookmarkEnd w:id="92"/>
    <w:bookmarkStart w:id="93"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93"/>
    <w:bookmarkStart w:id="95"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94">
        <w:r>
          <w:rPr>
            <w:rStyle w:val="Hyperlink"/>
          </w:rPr>
          <w:t xml:space="preserve">https://doi.org/10.1080/15374416.2018.1561296</w:t>
        </w:r>
      </w:hyperlink>
    </w:p>
    <w:bookmarkEnd w:id="95"/>
    <w:bookmarkStart w:id="97"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96">
        <w:r>
          <w:rPr>
            <w:rStyle w:val="Hyperlink"/>
          </w:rPr>
          <w:t xml:space="preserve">https://doi.org/10.1016/j.dr.2008.01.001</w:t>
        </w:r>
      </w:hyperlink>
    </w:p>
    <w:bookmarkEnd w:id="97"/>
    <w:bookmarkStart w:id="99"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98">
        <w:r>
          <w:rPr>
            <w:rStyle w:val="Hyperlink"/>
          </w:rPr>
          <w:t xml:space="preserve">https://doi.org/10.1017/S0954579403000221</w:t>
        </w:r>
      </w:hyperlink>
    </w:p>
    <w:bookmarkEnd w:id="99"/>
    <w:bookmarkStart w:id="101"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100">
        <w:r>
          <w:rPr>
            <w:rStyle w:val="Hyperlink"/>
          </w:rPr>
          <w:t xml:space="preserve">https://icd.who.int</w:t>
        </w:r>
      </w:hyperlink>
    </w:p>
    <w:bookmarkEnd w:id="101"/>
    <w:bookmarkEnd w:id="102"/>
    <w:p>
      <w:r>
        <w:br w:type="page"/>
      </w:r>
    </w:p>
    <w:bookmarkEnd w:id="103"/>
    <w:p>
      <w:pPr>
        <w:pStyle w:val="Heading1"/>
      </w:pPr>
      <w:r>
        <w:t xml:space="preserve">Appendix A</w:t>
      </w:r>
    </w:p>
    <w:bookmarkStart w:id="104" w:name="apx-a"/>
    <w:p>
      <w:pPr>
        <w:pStyle w:val="Heading1"/>
      </w:pPr>
      <w:r>
        <w:t xml:space="preserve">This Section Is an Appendix</w:t>
      </w:r>
    </w:p>
    <w:p>
      <w:r>
        <w:br w:type="page"/>
      </w:r>
    </w:p>
    <w:bookmarkEnd w:id="104"/>
    <w:p>
      <w:pPr>
        <w:pStyle w:val="Heading1"/>
      </w:pPr>
      <w:r>
        <w:t xml:space="preserve">Appendix B</w:t>
      </w:r>
    </w:p>
    <w:bookmarkStart w:id="105" w:name="apx-b"/>
    <w:p>
      <w:pPr>
        <w:pStyle w:val="Heading1"/>
      </w:pPr>
      <w:r>
        <w:t xml:space="preserve">Another Appendix</w:t>
      </w:r>
    </w:p>
    <w:bookmarkEnd w:id="105"/>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9">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50">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symptomers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3" Target="media/rId43.jpg"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3" Target="https://doi.org/10.1002/jcv2.70043" TargetMode="External" /><Relationship Type="http://schemas.openxmlformats.org/officeDocument/2006/relationships/hyperlink" Id="rId75" Target="https://doi.org/10.1007/s00234-020-02562-1" TargetMode="External" /><Relationship Type="http://schemas.openxmlformats.org/officeDocument/2006/relationships/hyperlink" Id="rId42" Target="https://doi.org/10.1016/j.arr.2026.103102" TargetMode="External" /><Relationship Type="http://schemas.openxmlformats.org/officeDocument/2006/relationships/hyperlink" Id="rId96" Target="https://doi.org/10.1016/j.dr.2008.01.001" TargetMode="External" /><Relationship Type="http://schemas.openxmlformats.org/officeDocument/2006/relationships/hyperlink" Id="rId85" Target="https://doi.org/10.1016/j.dr.2020.100935" TargetMode="External" /><Relationship Type="http://schemas.openxmlformats.org/officeDocument/2006/relationships/hyperlink" Id="rId87" Target="https://doi.org/10.1016/j.jaacop.2025.10.008" TargetMode="External" /><Relationship Type="http://schemas.openxmlformats.org/officeDocument/2006/relationships/hyperlink" Id="rId98" Target="https://doi.org/10.1017/S0954579403000221" TargetMode="External" /><Relationship Type="http://schemas.openxmlformats.org/officeDocument/2006/relationships/hyperlink" Id="rId81" Target="https://doi.org/10.1037/0022-006X.61.6.911" TargetMode="External" /><Relationship Type="http://schemas.openxmlformats.org/officeDocument/2006/relationships/hyperlink" Id="rId89" Target="https://doi.org/10.1037/dev0000449" TargetMode="External" /><Relationship Type="http://schemas.openxmlformats.org/officeDocument/2006/relationships/hyperlink" Id="rId83" Target="https://doi.org/10.1037/dev0001657" TargetMode="External" /><Relationship Type="http://schemas.openxmlformats.org/officeDocument/2006/relationships/hyperlink" Id="rId94" Target="https://doi.org/10.1080/15374416.2018.1561296" TargetMode="External" /><Relationship Type="http://schemas.openxmlformats.org/officeDocument/2006/relationships/hyperlink" Id="rId79" Target="https://doi.org/10.1111/j.1467-9507.2008.00480.x" TargetMode="External" /><Relationship Type="http://schemas.openxmlformats.org/officeDocument/2006/relationships/hyperlink" Id="rId91" Target="https://doi.org/10.1111/j.1469-7610.2006.01614.x" TargetMode="External" /><Relationship Type="http://schemas.openxmlformats.org/officeDocument/2006/relationships/hyperlink" Id="rId77" Target="https://doi.org/10.1176/appi.ajp.2008.08030366" TargetMode="External" /><Relationship Type="http://schemas.openxmlformats.org/officeDocument/2006/relationships/hyperlink" Id="rId100"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3" Target="https://doi.org/10.1002/jcv2.70043" TargetMode="External" /><Relationship Type="http://schemas.openxmlformats.org/officeDocument/2006/relationships/hyperlink" Id="rId75" Target="https://doi.org/10.1007/s00234-020-02562-1" TargetMode="External" /><Relationship Type="http://schemas.openxmlformats.org/officeDocument/2006/relationships/hyperlink" Id="rId42" Target="https://doi.org/10.1016/j.arr.2026.103102" TargetMode="External" /><Relationship Type="http://schemas.openxmlformats.org/officeDocument/2006/relationships/hyperlink" Id="rId96" Target="https://doi.org/10.1016/j.dr.2008.01.001" TargetMode="External" /><Relationship Type="http://schemas.openxmlformats.org/officeDocument/2006/relationships/hyperlink" Id="rId85" Target="https://doi.org/10.1016/j.dr.2020.100935" TargetMode="External" /><Relationship Type="http://schemas.openxmlformats.org/officeDocument/2006/relationships/hyperlink" Id="rId87" Target="https://doi.org/10.1016/j.jaacop.2025.10.008" TargetMode="External" /><Relationship Type="http://schemas.openxmlformats.org/officeDocument/2006/relationships/hyperlink" Id="rId98" Target="https://doi.org/10.1017/S0954579403000221" TargetMode="External" /><Relationship Type="http://schemas.openxmlformats.org/officeDocument/2006/relationships/hyperlink" Id="rId81" Target="https://doi.org/10.1037/0022-006X.61.6.911" TargetMode="External" /><Relationship Type="http://schemas.openxmlformats.org/officeDocument/2006/relationships/hyperlink" Id="rId89" Target="https://doi.org/10.1037/dev0000449" TargetMode="External" /><Relationship Type="http://schemas.openxmlformats.org/officeDocument/2006/relationships/hyperlink" Id="rId83" Target="https://doi.org/10.1037/dev0001657" TargetMode="External" /><Relationship Type="http://schemas.openxmlformats.org/officeDocument/2006/relationships/hyperlink" Id="rId94" Target="https://doi.org/10.1080/15374416.2018.1561296" TargetMode="External" /><Relationship Type="http://schemas.openxmlformats.org/officeDocument/2006/relationships/hyperlink" Id="rId79" Target="https://doi.org/10.1111/j.1467-9507.2008.00480.x" TargetMode="External" /><Relationship Type="http://schemas.openxmlformats.org/officeDocument/2006/relationships/hyperlink" Id="rId91" Target="https://doi.org/10.1111/j.1469-7610.2006.01614.x" TargetMode="External" /><Relationship Type="http://schemas.openxmlformats.org/officeDocument/2006/relationships/hyperlink" Id="rId77" Target="https://doi.org/10.1176/appi.ajp.2008.08030366" TargetMode="External" /><Relationship Type="http://schemas.openxmlformats.org/officeDocument/2006/relationships/hyperlink" Id="rId100"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2026-05-28T21:51:45Z</dcterms:created>
  <dcterms:modified xsi:type="dcterms:W3CDTF">2026-05-28T21:51:45Z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2026-05-28</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True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2401</vt:lpwstr>
  </property>
  <property fmtid="{D5CDD505-2E9C-101B-9397-08002B2CF9AE}" pid="83" name="zerocitations">
    <vt:lpwstr>False</vt:lpwstr>
  </property>
</Properties>
</file>