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11.png" ContentType="image/png"/>
  <Override PartName="/word/media/rId75.png" ContentType="image/png"/>
  <Override PartName="/word/media/rId92.png" ContentType="image/png"/>
  <Override PartName="/word/media/rId85.jpg" ContentType="image/jpeg"/>
  <Override PartName="/word/media/rId102.png" ContentType="image/png"/>
  <Override PartName="/word/media/rId120.png" ContentType="image/png"/>
  <Override PartName="/word/media/rId22.svg" ContentType="image/svg+xml"/>
  <Override PartName="/word/media/rId49.png" ContentType="image/png"/>
  <Override PartName="/word/media/rId42.png" ContentType="image/png"/>
  <Override PartName="/word/media/rId68.png" ContentType="image/png"/>
  <Override PartName="/word/media/rId57.png" ContentType="image/png"/>
  <Override PartName="/word/media/rId25.png" ContentType="image/png"/>
  <Override PartName="/word/media/rId3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90001" w:name="title"/>
    <w:p>
      <w:pPr>
        <w:pStyle w:val="ApaUnlistedHeading1"/>
      </w:pPr>
      <w:r>
        <w:t xml:space="preserve">Studying</w:t>
      </w:r>
      <w:r>
        <w:t xml:space="preserve"> </w:t>
      </w:r>
      <w:r>
        <w:t xml:space="preserve">Development</w:t>
      </w:r>
      <w:r>
        <w:t xml:space="preserve"> </w:t>
      </w:r>
      <w:r>
        <w:t xml:space="preserve">of</w:t>
      </w:r>
      <w:r>
        <w:t xml:space="preserve"> </w:t>
      </w:r>
      <w:r>
        <w:t xml:space="preserve">Psychopathology</w:t>
      </w:r>
      <w:r>
        <w:t xml:space="preserve"> </w:t>
      </w:r>
      <w:r>
        <w:t xml:space="preserve">Across</w:t>
      </w:r>
      <w:r>
        <w:t xml:space="preserve"> </w:t>
      </w:r>
      <w:r>
        <w:t xml:space="preserve">the</w:t>
      </w:r>
      <w:r>
        <w:t xml:space="preserve"> </w:t>
      </w:r>
      <w:r>
        <w:t xml:space="preserve">Lifespan</w:t>
      </w:r>
    </w:p>
    <w:bookmarkEnd w:id="90001"/>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Start w:id="90002" w:name="author-note"/>
    <w:p>
      <w:pPr>
        <w:pStyle w:val="ApaUnlistedHeading1"/>
      </w:pPr>
      <w:r>
        <w:t xml:space="preserve">Author</w:t>
      </w:r>
      <w:r>
        <w:t xml:space="preserve"> </w:t>
      </w:r>
      <w:r>
        <w:t xml:space="preserve">Note</w:t>
      </w:r>
    </w:p>
    <w:bookmarkEnd w:id="90002"/>
    <w:p>
      <w:pPr>
        <w:pStyle w:val="BodyText"/>
      </w:pPr>
      <w:r>
        <w:t xml:space="preserve">Isaac T. Petersen</w:t>
      </w:r>
      <w:r>
        <w:t xml:space="preserve"> </w:t>
      </w:r>
      <w:bookmarkStart w:id="26" w:name="orcid"/>
      <w:r>
        <w:drawing>
          <wp:inline>
            <wp:extent cx="152279" cy="152279"/>
            <wp:effectExtent b="0" l="0" r="0" t="0"/>
            <wp:docPr descr="Orcid ID Logo: A green circle with white letters ID" title="" id="23" name="Picture"/>
            <a:graphic>
              <a:graphicData uri="http://schemas.openxmlformats.org/drawingml/2006/picture">
                <pic:pic>
                  <pic:nvPicPr>
                    <pic:cNvPr descr="_extensions/wjschne/apaquarto/ORCID-iD_icon-vector.svg" id="24" name="Picture"/>
                    <pic:cNvPicPr>
                      <a:picLocks noChangeArrowheads="1" noChangeAspect="1"/>
                    </pic:cNvPicPr>
                  </pic:nvPicPr>
                  <pic:blipFill>
                    <a:blip r:embed="rId2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6"/>
      <w:r>
        <w:t xml:space="preserve"> </w:t>
      </w:r>
      <w:hyperlink r:id="rId27">
        <w:r>
          <w:rPr>
            <w:rStyle w:val="Hyperlink"/>
          </w:rPr>
          <w:t xml:space="preserve">https://orcid.org/0000-0003-3072-6673</w:t>
        </w:r>
      </w:hyperlink>
    </w:p>
    <w:p>
      <w:pPr>
        <w:pStyle w:val="BodyText"/>
      </w:pPr>
      <w:r>
        <w:t xml:space="preserve">Zachary Demko</w:t>
      </w:r>
      <w:r>
        <w:t xml:space="preserve"> </w:t>
      </w:r>
      <w:bookmarkStart w:id="31" w:name="orcid"/>
      <w:r>
        <w:drawing>
          <wp:inline>
            <wp:extent cx="152279" cy="152279"/>
            <wp:effectExtent b="0" l="0" r="0" t="0"/>
            <wp:docPr descr="Orcid ID Logo: A green circle with white letters ID" title="" id="28" name="Picture"/>
            <a:graphic>
              <a:graphicData uri="http://schemas.openxmlformats.org/drawingml/2006/picture">
                <pic:pic>
                  <pic:nvPicPr>
                    <pic:cNvPr descr="_extensions/wjschne/apaquarto/ORCID-iD_icon-vector.svg" id="29" name="Picture"/>
                    <pic:cNvPicPr>
                      <a:picLocks noChangeArrowheads="1" noChangeAspect="1"/>
                    </pic:cNvPicPr>
                  </pic:nvPicPr>
                  <pic:blipFill>
                    <a:blip r:embed="rId30">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1"/>
      <w:r>
        <w:t xml:space="preserve"> </w:t>
      </w:r>
      <w:hyperlink r:id="rId32">
        <w:r>
          <w:rPr>
            <w:rStyle w:val="Hyperlink"/>
          </w:rPr>
          <w:t xml:space="preserve">https://orcid.org/0000-0002-5717-6205</w:t>
        </w:r>
      </w:hyperlink>
    </w:p>
    <w:p>
      <w:pPr>
        <w:pStyle w:val="BodyText"/>
      </w:pPr>
      <w:r>
        <w:t xml:space="preserve">Megan Schumer</w:t>
      </w:r>
      <w:r>
        <w:t xml:space="preserve"> </w:t>
      </w:r>
      <w:bookmarkStart w:id="36" w:name="orcid"/>
      <w:r>
        <w:drawing>
          <wp:inline>
            <wp:extent cx="152279" cy="152279"/>
            <wp:effectExtent b="0" l="0" r="0" t="0"/>
            <wp:docPr descr="Orcid ID Logo: A green circle with white letters ID" title="" id="33" name="Picture"/>
            <a:graphic>
              <a:graphicData uri="http://schemas.openxmlformats.org/drawingml/2006/picture">
                <pic:pic>
                  <pic:nvPicPr>
                    <pic:cNvPr descr="_extensions/wjschne/apaquarto/ORCID-iD_icon-vector.svg" id="34" name="Picture"/>
                    <pic:cNvPicPr>
                      <a:picLocks noChangeArrowheads="1" noChangeAspect="1"/>
                    </pic:cNvPicPr>
                  </pic:nvPicPr>
                  <pic:blipFill>
                    <a:blip r:embed="rId35">
                      <a:extLst>
                        <a:ext uri="{28A0092B-C50C-407E-A947-70E740481C1C}">
                          <a14:useLocalDpi xmlns:a14="http://schemas.microsoft.com/office/drawing/2010/main" val="0"/>
                        </a:ext>
                        <a:ext uri="{96DAC541-7B7A-43D3-8B79-37D633B846F1}">
                          <asvg:svgBlip xmlns:asvg="http://schemas.microsoft.com/office/drawing/2016/SVG/main" r:embed="rId22"/>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6"/>
      <w:r>
        <w:t xml:space="preserve"> </w:t>
      </w:r>
      <w:hyperlink r:id="rId37">
        <w:r>
          <w:rPr>
            <w:rStyle w:val="Hyperlink"/>
          </w:rPr>
          <w:t xml:space="preserve">https://orcid.org/0009-0009-5488-6541</w:t>
        </w:r>
      </w:hyperlink>
    </w:p>
    <w:p>
      <w:pPr>
        <w:pStyle w:val="BodyText"/>
      </w:pPr>
      <w:r>
        <w:t xml:space="preserve">The data and code for the present study are published online:</w:t>
      </w:r>
      <w:r>
        <w:t xml:space="preserve"> </w:t>
      </w:r>
      <w:hyperlink r:id="rId38">
        <w:r>
          <w:rPr>
            <w:rStyle w:val="Hyperlink"/>
          </w:rPr>
          <w:t xml:space="preserve">https://github.com/DevPsyLab/studying-psychopathology-development-lifespan</w:t>
        </w:r>
      </w:hyperlink>
      <w:r>
        <w:t xml:space="preserve"> </w:t>
      </w:r>
      <w:r>
        <w:t xml:space="preserve">(</w:t>
      </w:r>
      <w:hyperlink r:id="rId39">
        <w:r>
          <w:rPr>
            <w:rStyle w:val="Hyperlink"/>
          </w:rPr>
          <w:t xml:space="preserve">https://osf.io/t3zf9</w:t>
        </w:r>
      </w:hyperlink>
      <w:r>
        <w:t xml:space="preserve">). We have no conflicts of interest to disclose.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w:t>
      </w:r>
      <w:r>
        <w:t xml:space="preserve"> </w:t>
      </w:r>
      <w:hyperlink r:id="rId40">
        <w:r>
          <w:rPr>
            <w:rStyle w:val="Hyperlink"/>
          </w:rPr>
          <w:t xml:space="preserve">isaac-t-petersen@uiowa.edu</w:t>
        </w:r>
      </w:hyperlink>
    </w:p>
    <w:p>
      <w:r>
        <w:br w:type="page"/>
      </w:r>
    </w:p>
    <w:bookmarkStart w:id="90003" w:name="abstract"/>
    <w:p>
      <w:pPr>
        <w:pStyle w:val="ApaUnlistedHeading1"/>
      </w:pPr>
      <w:r>
        <w:t xml:space="preserve">Abstract</w:t>
      </w:r>
    </w:p>
    <w:bookmarkEnd w:id="90003"/>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lockText"/>
      </w:pPr>
      <w:r>
        <w:t xml:space="preserve">“You can be born shy.</w:t>
      </w:r>
      <w:r>
        <w:t xml:space="preserve"> </w:t>
      </w:r>
      <w:r>
        <w:t xml:space="preserve">You can be born as an extrovert.</w:t>
      </w:r>
      <w:r>
        <w:t xml:space="preserve"> </w:t>
      </w:r>
      <w:r>
        <w:t xml:space="preserve">You can be someone who likes to make people laugh.</w:t>
      </w:r>
      <w:r>
        <w:t xml:space="preserve"> </w:t>
      </w:r>
      <w:r>
        <w:t xml:space="preserve">You can be someone who’s much quieter and deeper.</w:t>
      </w:r>
      <w:r>
        <w:t xml:space="preserve"> </w:t>
      </w:r>
      <w:r>
        <w:t xml:space="preserve">And I think that’s in you, but then life happens.”</w:t>
      </w:r>
    </w:p>
    <w:p>
      <w:pPr>
        <w:pStyle w:val="QuoteAttribution"/>
      </w:pPr>
      <w:r>
        <w:t xml:space="preserve">— Sue Davis on</w:t>
      </w:r>
      <w:r>
        <w:t xml:space="preserve"> </w:t>
      </w:r>
      <w:r>
        <w:t xml:space="preserve">“70 Up”</w:t>
      </w:r>
    </w:p>
    <w:p>
      <w:pPr>
        <w:pStyle w:val="FirstParagraph"/>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the field has taken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which in turn limits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more than 270 externalizing measures, as well as lessons from the study of other constructs such as academic and cognitive skills across lengthy developmental periods.</w:t>
      </w:r>
    </w:p>
    <w:bookmarkEnd w:id="41"/>
    <w:bookmarkStart w:id="56"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relatively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Thus, the trajectory of individual differences remains elusive, and observed age-related differences may reflect processes apart from developmental change, such as cohort effects.</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aging,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7" w:name="fig-lifespancognitivetrajectories"/>
    <w:p>
      <w:pPr>
        <w:pStyle w:val="FigureTitle"/>
      </w:pPr>
      <w:r>
        <w:t xml:space="preserve">Figure 1</w:t>
      </w:r>
    </w:p>
    <w:p>
      <w:pPr>
        <w:pStyle w:val="Caption"/>
      </w:pPr>
      <w:r>
        <w:t xml:space="preserve">Different Cognitive Trajectories of Aging</w:t>
      </w:r>
    </w:p>
    <w:p>
      <w:pPr>
        <w:pStyle w:val="FigureWith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Hypothetical models for different cognitive trajectories of aging. MCI = mild cognitive impairment. (Figure in Panel A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r>
        <w:t xml:space="preserve">).</w:t>
      </w:r>
    </w:p>
    <w:p>
      <w:pPr>
        <w:pStyle w:val="FigureWithNote"/>
      </w:pPr>
      <w:r>
        <w:rPr>
          <w:b/>
          <w:bCs/>
        </w:rPr>
        <w:t xml:space="preserve">Panel B</w:t>
      </w:r>
      <w:r>
        <w:t xml:space="preserve">: Theoretical illustration of inter-individual variability in cognitive aging trajectories. Each gray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r>
        <w:t xml:space="preserve">).</w:t>
      </w:r>
    </w:p>
    <w:bookmarkEnd w:id="47"/>
    <w:p>
      <w:pPr>
        <w:pStyle w:val="FigureWithNote"/>
      </w:pPr>
      <w:r>
        <w:rPr>
          <w:vertAlign w:val="subscript"/>
        </w:rPr>
        <w:t xml:space="preserve">Source:</w:t>
      </w:r>
      <w:r>
        <w:rPr>
          <w:vertAlign w:val="subscript"/>
        </w:rPr>
        <w:t xml:space="preserve"> </w:t>
      </w:r>
      <w:hyperlink r:id="rId48">
        <w:r>
          <w:rPr>
            <w:rStyle w:val="Hyperlink"/>
            <w:vertAlign w:val="subscript"/>
          </w:rPr>
          <w:t xml:space="preserve">Analyses</w:t>
        </w:r>
      </w:hyperlink>
    </w:p>
    <w:p>
      <w:pPr>
        <w:pStyle w:val="BodyText"/>
      </w:pPr>
      <w:r>
        <w:br/>
      </w:r>
    </w:p>
    <w:p>
      <w:pPr>
        <w:pStyle w:val="BodyText"/>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p>
    <w:p>
      <w:pPr>
        <w:pStyle w:val="BodyText"/>
      </w:pP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especially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(criminalized)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 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immense differences in people’s developmental courses.</w:t>
      </w:r>
      <w:r>
        <w:t xml:space="preserve"> </w:t>
      </w:r>
      <w:r>
        <w:t xml:space="preserve">And these individual differences are crucial to identify the risk and protective mechanisms that explain these differing developmental courses.</w:t>
      </w:r>
    </w:p>
    <w:bookmarkStart w:id="54" w:name="fig-externalizing-by-age"/>
    <w:p>
      <w:pPr>
        <w:pStyle w:val="FigureTitle"/>
      </w:pPr>
      <w:r>
        <w:t xml:space="preserve">Figure 2</w:t>
      </w:r>
    </w:p>
    <w:p>
      <w:pPr>
        <w:pStyle w:val="Caption"/>
      </w:pPr>
      <w:r>
        <w:t xml:space="preserve">Externalizing Behavior Across Development</w:t>
      </w:r>
    </w:p>
    <w:p>
      <w:pPr>
        <w:pStyle w:val="FigureWithNote"/>
      </w:pPr>
      <w:r>
        <w:drawing>
          <wp:inline>
            <wp:extent cx="5943600" cy="3962400"/>
            <wp:effectExtent b="0" l="0" r="0" t="0"/>
            <wp:docPr descr="" title="" id="50" name="Picture"/>
            <a:graphic>
              <a:graphicData uri="http://schemas.openxmlformats.org/drawingml/2006/picture">
                <pic:pic>
                  <pic:nvPicPr>
                    <pic:cNvPr descr="index_files/figure-docx/notebooks-analyses-fig-externalizing-by-age-output-1.png" id="51" name="Picture"/>
                    <pic:cNvPicPr>
                      <a:picLocks noChangeArrowheads="1" noChangeAspect="1"/>
                    </pic:cNvPicPr>
                  </pic:nvPicPr>
                  <pic:blipFill>
                    <a:blip r:embed="rId49"/>
                    <a:stretch>
                      <a:fillRect/>
                    </a:stretch>
                  </pic:blipFill>
                  <pic:spPr bwMode="auto">
                    <a:xfrm>
                      <a:off x="0" y="0"/>
                      <a:ext cx="5943600" cy="396240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crime records. 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 (Figure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r>
        <w:t xml:space="preserve">).</w:t>
      </w:r>
    </w:p>
    <w:p>
      <w:pPr>
        <w:pStyle w:val="FigureWithNote"/>
      </w:pP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Note"/>
      </w:pP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 Average trajectory in red. (Figure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r>
        <w:t xml:space="preserve">).</w:t>
      </w:r>
    </w:p>
    <w:bookmarkEnd w:id="54"/>
    <w:p>
      <w:pPr>
        <w:pStyle w:val="FigureWithNote"/>
      </w:pPr>
      <w:r>
        <w:rPr>
          <w:vertAlign w:val="subscript"/>
        </w:rPr>
        <w:t xml:space="preserve">Source:</w:t>
      </w:r>
      <w:r>
        <w:rPr>
          <w:vertAlign w:val="subscript"/>
        </w:rPr>
        <w:t xml:space="preserve"> </w:t>
      </w:r>
      <w:hyperlink r:id="rId55">
        <w:r>
          <w:rPr>
            <w:rStyle w:val="Hyperlink"/>
            <w:vertAlign w:val="subscript"/>
          </w:rPr>
          <w:t xml:space="preserve">Analyses</w:t>
        </w:r>
      </w:hyperlink>
    </w:p>
    <w:p>
      <w:pPr>
        <w:pStyle w:val="BodyText"/>
      </w:pPr>
      <w:r>
        <w:br/>
      </w:r>
    </w:p>
    <w:p>
      <w:pPr>
        <w:pStyle w:val="BodyText"/>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 such as going to school during the Coronavirus pandemic.</w:t>
      </w:r>
      <w:r>
        <w:t xml:space="preserve"> </w:t>
      </w:r>
      <w:r>
        <w:t xml:space="preserve">Fourth, findings from cross-sectional studies can differ from findings that are based on examining the same people over time—a violation of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6"/>
    <w:bookmarkStart w:id="74"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over lengthy developmental periods.</w:t>
      </w:r>
      <w:r>
        <w:t xml:space="preserve"> </w:t>
      </w:r>
      <w:r>
        <w:t xml:space="preserve">We overview some of the seminal longitudinal studies that cover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60" w:name="fig-longitudinalstudies"/>
    <w:p>
      <w:pPr>
        <w:pStyle w:val="FigureTitle"/>
      </w:pPr>
      <w:r>
        <w:t xml:space="preserve">Figure 3</w:t>
      </w:r>
    </w:p>
    <w:p>
      <w:pPr>
        <w:pStyle w:val="Caption"/>
      </w:pPr>
      <w:r>
        <w:t xml:space="preserve">(Approximate) Ages Spanned by Various Lengthy Longitudinal Studies</w:t>
      </w:r>
    </w:p>
    <w:p>
      <w:pPr>
        <w:pStyle w:val="FigureWithNote"/>
      </w:pPr>
      <w:r>
        <w:drawing>
          <wp:inline>
            <wp:extent cx="5943600" cy="6792685"/>
            <wp:effectExtent b="0" l="0" r="0" t="0"/>
            <wp:docPr descr="" title="" id="58" name="Picture"/>
            <a:graphic>
              <a:graphicData uri="http://schemas.openxmlformats.org/drawingml/2006/picture">
                <pic:pic>
                  <pic:nvPicPr>
                    <pic:cNvPr descr="index_files/figure-docx/notebooks-analyses-fig-longitudinalstudies-output-1.png" id="59" name="Picture"/>
                    <pic:cNvPicPr>
                      <a:picLocks noChangeArrowheads="1" noChangeAspect="1"/>
                    </pic:cNvPicPr>
                  </pic:nvPicPr>
                  <pic:blipFill>
                    <a:blip r:embed="rId57"/>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as of this writing and is not exhaustive. Studies that are no longer active are shown in gray.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bookmarkEnd w:id="60"/>
    <w:p>
      <w:pPr>
        <w:pStyle w:val="FigureWithNote"/>
      </w:pPr>
      <w:r>
        <w:rPr>
          <w:vertAlign w:val="subscript"/>
        </w:rPr>
        <w:t xml:space="preserve">Source:</w:t>
      </w:r>
      <w:r>
        <w:rPr>
          <w:vertAlign w:val="subscript"/>
        </w:rPr>
        <w:t xml:space="preserve"> </w:t>
      </w:r>
      <w:hyperlink r:id="rId61">
        <w:r>
          <w:rPr>
            <w:rStyle w:val="Hyperlink"/>
            <w:vertAlign w:val="subscript"/>
          </w:rPr>
          <w:t xml:space="preserve">Analyses</w:t>
        </w:r>
      </w:hyperlink>
    </w:p>
    <w:p>
      <w:pPr>
        <w:pStyle w:val="BodyText"/>
      </w:pPr>
      <w:r>
        <w:br/>
      </w:r>
    </w:p>
    <w:bookmarkStart w:id="66" w:name="seminal-longitudinal-studies"/>
    <w:p>
      <w:pPr>
        <w:pStyle w:val="Heading2"/>
      </w:pPr>
      <w:r>
        <w:t xml:space="preserve">Seminal Longitudinal Studies</w:t>
      </w:r>
    </w:p>
    <w:bookmarkStart w:id="62"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into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 Kagan and Moss</w:t>
      </w:r>
      <w:r>
        <w:t xml:space="preserve"> </w:t>
      </w:r>
      <w:r>
        <w:t xml:space="preserve">(</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62"/>
    <w:bookmarkStart w:id="63"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63"/>
    <w:bookmarkStart w:id="64" w:name="harvard-study-of-adult-development"/>
    <w:p>
      <w:pPr>
        <w:pStyle w:val="Heading3"/>
      </w:pPr>
      <w:r>
        <w:t xml:space="preserve">Harvard Study of Adult Development</w:t>
      </w:r>
    </w:p>
    <w:p>
      <w:pPr>
        <w:pStyle w:val="FirstParagraph"/>
      </w:pPr>
      <w:r>
        <w:t xml:space="preserve">The Harvard Study of Adult Development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of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4"/>
    <w:bookmarkStart w:id="65"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5"/>
    <w:bookmarkEnd w:id="66"/>
    <w:bookmarkStart w:id="73"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level) in a given psychopathology construct over a lengthy period.</w:t>
      </w:r>
      <w:r>
        <w:t xml:space="preserve"> </w:t>
      </w:r>
      <w:r>
        <w:t xml:space="preserve">Here, we focus on studies that have examined trajectories of externalizing behavior.</w:t>
      </w:r>
      <w:r>
        <w:rPr>
          <w:rStyle w:val="FootnoteReference"/>
        </w:rPr>
        <w:footnoteReference w:id="67"/>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11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 with 10 measurement occasions</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different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p>
    <w:p>
      <w:pPr>
        <w:pStyle w:val="BodyText"/>
      </w:pP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 Chen and Bauer examined trajectories of delinquency from ages 12–26 with 3 measurement occasions in the National Longitudinal Study of Adolescent to Adult Health</w:t>
      </w:r>
      <w:r>
        <w:t xml:space="preserve"> </w:t>
      </w:r>
      <w:r>
        <w:t xml:space="preserve">(Add Health;</w:t>
      </w:r>
      <w:r>
        <w:t xml:space="preserve"> </w:t>
      </w:r>
      <w:hyperlink w:anchor="ref-ChenPM">
        <w:r>
          <w:rPr>
            <w:rStyle w:val="Hyperlink"/>
          </w:rPr>
          <w:t xml:space="preserve">in press b</w:t>
        </w:r>
      </w:hyperlink>
      <w:r>
        <w:t xml:space="preserve">)</w:t>
      </w:r>
      <w:r>
        <w:t xml:space="preserve">, and examined trajectories of externalizing behavior from ages 5–12 with 3 measurement occasions in the National Longitudinal Survey of Youth 1979 Child and Young Adult</w:t>
      </w:r>
      <w:r>
        <w:t xml:space="preserve"> </w:t>
      </w:r>
      <w:r>
        <w:t xml:space="preserve">(NLSCYA;</w:t>
      </w:r>
      <w:r>
        <w:t xml:space="preserve"> </w:t>
      </w:r>
      <w:hyperlink w:anchor="ref-ChenMBR">
        <w:r>
          <w:rPr>
            <w:rStyle w:val="Hyperlink"/>
          </w:rPr>
          <w:t xml:space="preserve">in press a</w:t>
        </w:r>
      </w:hyperlink>
      <w:r>
        <w:t xml:space="preserve">)</w:t>
      </w:r>
      <w:r>
        <w:t xml:space="preserve">.</w:t>
      </w:r>
      <w:r>
        <w:t xml:space="preserve"> </w:t>
      </w:r>
      <w:r>
        <w:t xml:space="preserve">In addition, studies have examined trajectories of emotional and behavioral dysregulation (encompassing externalizing problems and emotional symptoms)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71"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Note"/>
      </w:pPr>
      <w:r>
        <w:drawing>
          <wp:inline>
            <wp:extent cx="5943600" cy="6792685"/>
            <wp:effectExtent b="0" l="0" r="0" t="0"/>
            <wp:docPr descr="" title="" id="69" name="Picture"/>
            <a:graphic>
              <a:graphicData uri="http://schemas.openxmlformats.org/drawingml/2006/picture">
                <pic:pic>
                  <pic:nvPicPr>
                    <pic:cNvPr descr="index_files/figure-docx/notebooks-analyses-fig-longitudinal-externalizing-studies-output-1.png" id="70" name="Picture"/>
                    <pic:cNvPicPr>
                      <a:picLocks noChangeArrowheads="1" noChangeAspect="1"/>
                    </pic:cNvPicPr>
                  </pic:nvPicPr>
                  <pic:blipFill>
                    <a:blip r:embed="rId68"/>
                    <a:stretch>
                      <a:fillRect/>
                    </a:stretch>
                  </pic:blipFill>
                  <pic:spPr bwMode="auto">
                    <a:xfrm>
                      <a:off x="0" y="0"/>
                      <a:ext cx="5943600" cy="6792685"/>
                    </a:xfrm>
                    <a:prstGeom prst="rect">
                      <a:avLst/>
                    </a:prstGeom>
                    <a:noFill/>
                    <a:ln w="9525">
                      <a:noFill/>
                      <a:headEnd/>
                      <a:tailEnd/>
                    </a:ln>
                  </pic:spPr>
                </pic:pic>
              </a:graphicData>
            </a:graphic>
          </wp:inline>
        </w:drawing>
      </w:r>
    </w:p>
    <w:p>
      <w:pPr>
        <w:pStyle w:val="FigureWithNote"/>
      </w:pPr>
      <w:r>
        <w:rPr>
          <w:i/>
          <w:iCs/>
        </w:rPr>
        <w:t xml:space="preserve">Note</w:t>
      </w:r>
      <w:r>
        <w:t xml:space="preserve">. The list of longitudinal studies is not exhaustive. Studies that are based on registry data are shown in gray. Studies that used developmental scaling to harmonize scores across ages (i.e., to link scores across ages onto the same scale) are in green.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bookmarkEnd w:id="71"/>
    <w:p>
      <w:pPr>
        <w:pStyle w:val="FigureWithNote"/>
      </w:pPr>
      <w:r>
        <w:rPr>
          <w:vertAlign w:val="subscript"/>
        </w:rPr>
        <w:t xml:space="preserve">Source:</w:t>
      </w:r>
      <w:r>
        <w:rPr>
          <w:vertAlign w:val="subscript"/>
        </w:rPr>
        <w:t xml:space="preserve"> </w:t>
      </w:r>
      <w:hyperlink r:id="rId72">
        <w:r>
          <w:rPr>
            <w:rStyle w:val="Hyperlink"/>
            <w:vertAlign w:val="subscript"/>
          </w:rPr>
          <w:t xml:space="preserve">Analyses</w:t>
        </w:r>
      </w:hyperlink>
    </w:p>
    <w:p>
      <w:pPr>
        <w:pStyle w:val="BodyText"/>
      </w:pPr>
      <w:r>
        <w:br/>
      </w:r>
    </w:p>
    <w:p>
      <w:pPr>
        <w:pStyle w:val="BodyText"/>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some of our own</w:t>
      </w:r>
      <w:r>
        <w:t xml:space="preserve"> </w:t>
      </w:r>
      <w:r>
        <w:t xml:space="preserve">(e.g.,</w:t>
      </w:r>
      <w:r>
        <w:t xml:space="preserve"> </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which prevent strong inferences regarding individuals’ change over time.</w:t>
      </w:r>
    </w:p>
    <w:bookmarkEnd w:id="73"/>
    <w:bookmarkEnd w:id="74"/>
    <w:bookmarkStart w:id="10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because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 behavior.</w:t>
      </w:r>
    </w:p>
    <w:bookmarkStart w:id="8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For instance, children who go on to develop later externalizing problems and conduct problems tend to show earlier temperamental differences such as poorer self-regulation, poorer emotion regulation, low fearfulness, and a more difficult temperament</w:t>
      </w:r>
      <w:r>
        <w:t xml:space="preserve"> </w:t>
      </w:r>
      <w:r>
        <w:t xml:space="preserve">(</w:t>
      </w:r>
      <w:hyperlink w:anchor="ref-Bates2014">
        <w:r>
          <w:rPr>
            <w:rStyle w:val="Hyperlink"/>
          </w:rPr>
          <w:t xml:space="preserve">Bates et al., 2014</w:t>
        </w:r>
      </w:hyperlink>
      <w:r>
        <w:t xml:space="preserve">;</w:t>
      </w:r>
      <w:r>
        <w:t xml:space="preserve"> </w:t>
      </w:r>
      <w:hyperlink w:anchor="ref-Frick2004">
        <w:r>
          <w:rPr>
            <w:rStyle w:val="Hyperlink"/>
          </w:rPr>
          <w:t xml:space="preserve">Frick &amp; Morris, 2004</w:t>
        </w:r>
      </w:hyperlink>
      <w:r>
        <w:t xml:space="preserve">)</w:t>
      </w:r>
      <w:r>
        <w:t xml:space="preserve">.</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of a lion and then the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p>
    <w:p>
      <w:pPr>
        <w:pStyle w:val="BodyText"/>
      </w:pP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These factors likely interact to produce individual differences in heterotypic continuity of relevance to developmental psychopathology, for instance, earlier emergence of alcohol consumption</w:t>
      </w:r>
      <w:r>
        <w:t xml:space="preserve"> </w:t>
      </w:r>
      <w:r>
        <w:t xml:space="preserve">(</w:t>
      </w:r>
      <w:hyperlink w:anchor="ref-Aiken2018">
        <w:r>
          <w:rPr>
            <w:rStyle w:val="Hyperlink"/>
          </w:rPr>
          <w:t xml:space="preserve">Aiken et al., 2018</w:t>
        </w:r>
      </w:hyperlink>
      <w:r>
        <w:t xml:space="preserve">)</w:t>
      </w:r>
      <w:r>
        <w:t xml:space="preserve">.</w:t>
      </w:r>
    </w:p>
    <w:bookmarkStart w:id="79"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6" name="Picture"/>
            <a:graphic>
              <a:graphicData uri="http://schemas.openxmlformats.org/drawingml/2006/picture">
                <pic:pic>
                  <pic:nvPicPr>
                    <pic:cNvPr descr="Figures/Petersen2026_figure1.png" id="77" name="Picture"/>
                    <pic:cNvPicPr>
                      <a:picLocks noChangeArrowheads="1" noChangeAspect="1"/>
                    </pic:cNvPicPr>
                  </pic:nvPicPr>
                  <pic:blipFill>
                    <a:blip r:embed="rId75"/>
                    <a:stretch>
                      <a:fillRect/>
                    </a:stretch>
                  </pic:blipFill>
                  <pic:spPr bwMode="auto">
                    <a:xfrm>
                      <a:off x="0" y="0"/>
                      <a:ext cx="5943600" cy="2377440"/>
                    </a:xfrm>
                    <a:prstGeom prst="rect">
                      <a:avLst/>
                    </a:prstGeom>
                    <a:noFill/>
                    <a:ln w="9525">
                      <a:noFill/>
                      <a:headEnd/>
                      <a:tailEnd/>
                    </a:ln>
                  </pic:spPr>
                </pic:pic>
              </a:graphicData>
            </a:graphic>
          </wp:inline>
        </w:drawing>
      </w:r>
    </w:p>
    <w:p>
      <w:pPr>
        <w:pStyle w:val="FigureWith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79"/>
    <w:p>
      <w:pPr>
        <w:pStyle w:val="BodyText"/>
      </w:pPr>
      <w:r>
        <w:br/>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2026">
        <w:r>
          <w:rPr>
            <w:rStyle w:val="Hyperlink"/>
          </w:rPr>
          <w:t xml:space="preserve">Applegate &amp; Lahey, 2026</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 Applegate and Lahey</w:t>
      </w:r>
      <w:r>
        <w:t xml:space="preserve"> </w:t>
      </w:r>
      <w:r>
        <w:t xml:space="preserve">(</w:t>
      </w:r>
      <w:hyperlink w:anchor="ref-Applegate2026">
        <w:r>
          <w:rPr>
            <w:rStyle w:val="Hyperlink"/>
          </w:rPr>
          <w:t xml:space="preserve">2026, p. 10</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8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80"/>
      </w:r>
      <w:r>
        <w:t xml:space="preserve">—the diagnostic criteria do not differ across development, even though diagnostic manuals acknowledge that developmental factors impact symptom presentation</w:t>
      </w:r>
      <w:r>
        <w:rPr>
          <w:rStyle w:val="FootnoteReference"/>
        </w:rPr>
        <w:footnoteReference w:id="8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developmental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82"/>
    <w:bookmarkEnd w:id="83"/>
    <w:bookmarkStart w:id="10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methodological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90"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use the same items to assess problem behaviors across a very wide range of ages and thus do not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4"/>
      </w:r>
      <w:r>
        <w:t xml:space="preserve"> </w:t>
      </w:r>
      <w:r>
        <w:t xml:space="preserve">For example, in a study of externalizing behavior from early childhood to adolescence, a study might remove substance use items that are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those same items across all ages, even outside the ages for which the assessment was designed and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p>
    <w:p>
      <w:pPr>
        <w:pStyle w:val="BodyText"/>
      </w:pP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r>
        <w:t xml:space="preserve"> </w:t>
      </w:r>
      <w:r>
        <w:t xml:space="preserve">As examples of the downward extension approach,</w:t>
      </w:r>
      <w:r>
        <w:t xml:space="preserve"> </w:t>
      </w:r>
      <w:r>
        <w:t xml:space="preserve">Gornik et al. (</w:t>
      </w:r>
      <w:hyperlink w:anchor="ref-Gornik2023">
        <w:r>
          <w:rPr>
            <w:rStyle w:val="Hyperlink"/>
          </w:rPr>
          <w:t xml:space="preserve">2023</w:t>
        </w:r>
      </w:hyperlink>
      <w:r>
        <w:t xml:space="preserve">)</w:t>
      </w:r>
      <w:r>
        <w:t xml:space="preserve"> </w:t>
      </w:r>
      <w:r>
        <w:t xml:space="preserve">used the CBCL 4–18 with 3-year-olds—i.e., ages younger than the assessment was designed.</w:t>
      </w:r>
      <w:r>
        <w:t xml:space="preserve"> </w:t>
      </w:r>
      <w:r>
        <w:t xml:space="preserve">Zhai et al. (</w:t>
      </w:r>
      <w:hyperlink w:anchor="ref-Zhai2026">
        <w:r>
          <w:rPr>
            <w:rStyle w:val="Hyperlink"/>
          </w:rPr>
          <w:t xml:space="preserve">2026</w:t>
        </w:r>
      </w:hyperlink>
      <w:r>
        <w:t xml:space="preserve">)</w:t>
      </w:r>
      <w:r>
        <w:t xml:space="preserve"> </w:t>
      </w:r>
      <w:r>
        <w:t xml:space="preserve">used items (e.g.,</w:t>
      </w:r>
      <w:r>
        <w:t xml:space="preserve"> </w:t>
      </w:r>
      <w:r>
        <w:t xml:space="preserve">“steals from home, school or elsewhere”</w:t>
      </w:r>
      <w:r>
        <w:t xml:space="preserve">) from the Strengths and Difficulties Questionnaire for 4–10/11–17-year-olds with 3 year-olds—i.e., ages younger than the assessment was designed, despite availability of a version for 2–4-year-olds.</w:t>
      </w:r>
    </w:p>
    <w:bookmarkStart w:id="89"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6" name="Picture"/>
            <a:graphic>
              <a:graphicData uri="http://schemas.openxmlformats.org/drawingml/2006/picture">
                <pic:pic>
                  <pic:nvPicPr>
                    <pic:cNvPr descr="Figures/approachesToLongitudinalAssessment.jpg" id="87" name="Picture"/>
                    <pic:cNvPicPr>
                      <a:picLocks noChangeArrowheads="1" noChangeAspect="1"/>
                    </pic:cNvPicPr>
                  </pic:nvPicPr>
                  <pic:blipFill>
                    <a:blip r:embed="rId85"/>
                    <a:stretch>
                      <a:fillRect/>
                    </a:stretch>
                  </pic:blipFill>
                  <pic:spPr bwMode="auto">
                    <a:xfrm>
                      <a:off x="0" y="0"/>
                      <a:ext cx="5943600" cy="2351289"/>
                    </a:xfrm>
                    <a:prstGeom prst="rect">
                      <a:avLst/>
                    </a:prstGeom>
                    <a:noFill/>
                    <a:ln w="9525">
                      <a:noFill/>
                      <a:headEnd/>
                      <a:tailEnd/>
                    </a:ln>
                  </pic:spPr>
                </pic:pic>
              </a:graphicData>
            </a:graphic>
          </wp:inline>
        </w:drawing>
      </w:r>
    </w:p>
    <w:p>
      <w:pPr>
        <w:pStyle w:val="FigureWith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r>
        <w:t xml:space="preserve">).</w:t>
      </w:r>
    </w:p>
    <w:bookmarkEnd w:id="89"/>
    <w:p>
      <w:pPr>
        <w:pStyle w:val="BodyText"/>
      </w:pPr>
      <w:r>
        <w:br/>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have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approaches—thus failing to account for heterotypic continuity—lead to inaccurate developmental inferences.</w:t>
      </w:r>
      <w:r>
        <w:t xml:space="preserve"> </w:t>
      </w:r>
      <w:r>
        <w:t xml:space="preserve">The extent of inaccuracy may vary from small to substantial depending on the approach used, the criterion examined, and the extent to which the construct changes in manifestation (whose changes are ignored).</w:t>
      </w:r>
      <w:r>
        <w:t xml:space="preserve"> </w:t>
      </w:r>
      <w:r>
        <w:t xml:space="preserve">Nevertheless, the effects of failing to account for heterotypic continuity have been large enough to infer that (a) a sample does not show changes in level when it actually does</w:t>
      </w:r>
      <w:r>
        <w:t xml:space="preserve"> </w:t>
      </w:r>
      <w:r>
        <w:t xml:space="preserve">(</w:t>
      </w:r>
      <w:hyperlink w:anchor="ref-Petersen2018">
        <w:r>
          <w:rPr>
            <w:rStyle w:val="Hyperlink"/>
          </w:rPr>
          <w:t xml:space="preserve">Petersen et al., 2018</w:t>
        </w:r>
      </w:hyperlink>
      <w:r>
        <w:t xml:space="preserve">)</w:t>
      </w:r>
      <w:r>
        <w:t xml:space="preserve">, (b) a sample shows increases when it actually decreases</w:t>
      </w:r>
      <w:r>
        <w:t xml:space="preserve"> </w:t>
      </w:r>
      <w:r>
        <w:t xml:space="preserve">(</w:t>
      </w:r>
      <w:hyperlink w:anchor="ref-Petersen2021a">
        <w:r>
          <w:rPr>
            <w:rStyle w:val="Hyperlink"/>
          </w:rPr>
          <w:t xml:space="preserve">Petersen et al., 2021</w:t>
        </w:r>
      </w:hyperlink>
      <w:r>
        <w:t xml:space="preserve">)</w:t>
      </w:r>
      <w:r>
        <w:t xml:space="preserve">, (c) many individuals are misclassified as persisting versus desisting in terms of their externalizing trajectory</w:t>
      </w:r>
      <w:r>
        <w:t xml:space="preserve"> </w:t>
      </w:r>
      <w:r>
        <w:t xml:space="preserve">(</w:t>
      </w:r>
      <w:hyperlink w:anchor="ref-Petersen2026a">
        <w:r>
          <w:rPr>
            <w:rStyle w:val="Hyperlink"/>
          </w:rPr>
          <w:t xml:space="preserve">Petersen, Demko, Lee, et al., 2026</w:t>
        </w:r>
      </w:hyperlink>
      <w:r>
        <w:t xml:space="preserve">)</w:t>
      </w:r>
      <w:r>
        <w:t xml:space="preserve">, and (d) a subgroup’s externalizing behavior emerges in adulthood when it actually onsets much earlier</w:t>
      </w:r>
      <w:r>
        <w:t xml:space="preserve"> </w:t>
      </w:r>
      <w:r>
        <w:t xml:space="preserve">(i.e., adolescence;</w:t>
      </w:r>
      <w:r>
        <w:t xml:space="preserve"> </w:t>
      </w:r>
      <w:hyperlink w:anchor="ref-Chen2015">
        <w:r>
          <w:rPr>
            <w:rStyle w:val="Hyperlink"/>
          </w:rPr>
          <w:t xml:space="preserve">F. R. Chen &amp; Jaffee, 2015</w:t>
        </w:r>
      </w:hyperlink>
      <w:r>
        <w:t xml:space="preserve">)</w:t>
      </w:r>
      <w:r>
        <w:t xml:space="preserve">.</w:t>
      </w:r>
      <w:r>
        <w:t xml:space="preserve"> </w:t>
      </w:r>
      <w:r>
        <w:t xml:space="preserve">In sum, despite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being the most widely used for assessing individuals’ development, they likely lead to inaccurate scores and thus inaccurate trajectories and ages of onset for individuals and groups.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Likewise, using DSM disorders or diagnoses also does not solve the problem because DSM disorders are fictive categories</w:t>
      </w:r>
      <w:r>
        <w:t xml:space="preserve"> </w:t>
      </w:r>
      <w:r>
        <w:t xml:space="preserve">(</w:t>
      </w:r>
      <w:hyperlink w:anchor="ref-Petersen2024">
        <w:r>
          <w:rPr>
            <w:rStyle w:val="Hyperlink"/>
          </w:rPr>
          <w:t xml:space="preserve">Petersen, 2024</w:t>
        </w:r>
      </w:hyperlink>
      <w:r>
        <w:t xml:space="preserve">)</w:t>
      </w:r>
      <w:r>
        <w:t xml:space="preserve"> </w:t>
      </w:r>
      <w:r>
        <w:t xml:space="preserve">and, as described above, DSM disorder criteria do not adequately account for different symptom presentations at different ages.</w:t>
      </w:r>
      <w:r>
        <w:t xml:space="preserve"> </w:t>
      </w:r>
      <w:r>
        <w:t xml:space="preserve">Moreover, diagnostic criteria naturally change with subsequent revisions of the DSM, leading people to lose interest with prior categorizations and to incomparability of diagnoses across DSM versions.</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90"/>
    <w:bookmarkStart w:id="91"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do not assess the most construct-relevant items at particular ages and thus show insufficient differences in which items are assessed at which ages.</w:t>
      </w:r>
      <w:r>
        <w:t xml:space="preserve"> </w:t>
      </w:r>
      <w:r>
        <w:t xml:space="preserve">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p>
    <w:p>
      <w:pPr>
        <w:pStyle w:val="BodyText"/>
      </w:pPr>
      <w:r>
        <w:t xml:space="preserve">Age norms and standardized scores (e.g.,</w:t>
      </w:r>
      <w:r>
        <w:t xml:space="preserve"> </w:t>
      </w:r>
      <w:r>
        <w:rPr>
          <w:i/>
          <w:iCs/>
        </w:rPr>
        <w:t xml:space="preserve">T</w:t>
      </w:r>
      <w:r>
        <w:t xml:space="preserve">- or</w:t>
      </w:r>
      <w:r>
        <w:t xml:space="preserve"> </w:t>
      </w:r>
      <w:r>
        <w:rPr>
          <w:i/>
          <w:iCs/>
        </w:rPr>
        <w:t xml:space="preserve">z</w:t>
      </w:r>
      <w:r>
        <w:t xml:space="preserve">-scores) have also been used to study development of externalizing problems</w:t>
      </w:r>
      <w:r>
        <w:t xml:space="preserve"> </w:t>
      </w:r>
      <w:r>
        <w:t xml:space="preserve">(</w:t>
      </w:r>
      <w:hyperlink w:anchor="ref-Bista2025">
        <w:r>
          <w:rPr>
            <w:rStyle w:val="Hyperlink"/>
          </w:rPr>
          <w:t xml:space="preserve">Bista et al., 2025</w:t>
        </w:r>
      </w:hyperlink>
      <w:r>
        <w:t xml:space="preserve">;</w:t>
      </w:r>
      <w:r>
        <w:t xml:space="preserve"> </w:t>
      </w:r>
      <w:hyperlink w:anchor="ref-Korhonen2018">
        <w:r>
          <w:rPr>
            <w:rStyle w:val="Hyperlink"/>
          </w:rPr>
          <w:t xml:space="preserve">Korhonen et al., 2018</w:t>
        </w:r>
      </w:hyperlink>
      <w:r>
        <w:t xml:space="preserve">)</w:t>
      </w:r>
      <w:r>
        <w:t xml:space="preserve">.</w:t>
      </w:r>
      <w:r>
        <w:t xml:space="preserve"> </w:t>
      </w:r>
      <w:r>
        <w:t xml:space="preserve">However, age norms and standardized 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Thus, age-norming is problematic in longitudinal studies</w:t>
      </w:r>
      <w:r>
        <w:t xml:space="preserve"> </w:t>
      </w:r>
      <w:r>
        <w:t xml:space="preserve">(</w:t>
      </w:r>
      <w:hyperlink w:anchor="ref-Moeller2015">
        <w:r>
          <w:rPr>
            <w:rStyle w:val="Hyperlink"/>
          </w:rPr>
          <w:t xml:space="preserve">Moeller, 2015</w:t>
        </w:r>
      </w:hyperlink>
      <w:r>
        <w:t xml:space="preserve">)</w:t>
      </w:r>
      <w:r>
        <w:t xml:space="preserve">.</w:t>
      </w:r>
    </w:p>
    <w:p>
      <w:pPr>
        <w:pStyle w:val="BodyText"/>
      </w:pPr>
      <w:r>
        <w:t xml:space="preserve">It is important for scores across ages to be on the same apples-to-apples scale so the scores can be compared across ages, which would be valuable even in a cross-sectional study that spans a wide age range, as might be found in an epidemiological study.</w:t>
      </w:r>
      <w:r>
        <w:t xml:space="preserve"> </w:t>
      </w: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However, considerable research in educational psychology links scores across age-differing measures to be on the same scale.</w:t>
      </w:r>
      <w:r>
        <w:t xml:space="preserve"> </w:t>
      </w:r>
      <w:r>
        <w:t xml:space="preserve">For instance, standardized tests are frequently administered in schools to determine the extent of growth across grades.</w:t>
      </w:r>
      <w:r>
        <w:t xml:space="preserve"> </w:t>
      </w:r>
      <w:r>
        <w:t xml:space="preserve">Because of substantial changes in ability level across grades, the same math and reading items cannot be administered at all grades.</w:t>
      </w:r>
      <w:r>
        <w:t xml:space="preserve"> </w:t>
      </w:r>
      <w:r>
        <w:t xml:space="preserve">Otherwise, respondents would receive items that are too easy (thus evoking boredom) or too difficult (thus evoking frustration), relative to their ability.</w:t>
      </w:r>
      <w:r>
        <w:t xml:space="preserve"> </w:t>
      </w:r>
      <w:r>
        <w:t xml:space="preserve">To address this, the test developers write the tests so that some items are in common across adjacent grades—used for linking the scores across grades onto the same scale—along with items that are unique to a particular grade.</w:t>
      </w:r>
      <w:r>
        <w:t xml:space="preserve"> </w:t>
      </w:r>
      <w:r>
        <w:t xml:space="preserve">Then, the researchers apply widely used methods to link the scores from the different measures onto the same scale so they can observe individuals’ growth across grades.</w:t>
      </w:r>
      <w:r>
        <w:t xml:space="preserve"> </w:t>
      </w:r>
      <w:r>
        <w:t xml:space="preserve">The same general methods are also used to place people’s scores on the same scale for standardized tests like the ACT, SAT, GRE, MCAT, LSAT, etc., despite respondents receiving different item content.</w:t>
      </w:r>
    </w:p>
    <w:p>
      <w:pPr>
        <w:pStyle w:val="BodyText"/>
      </w:pPr>
      <w:r>
        <w:t xml:space="preserve">For examples of studies applying various linking methods to academic and cognitive skills, see</w:t>
      </w:r>
      <w:r>
        <w:t xml:space="preserve"> </w:t>
      </w:r>
      <w:r>
        <w:t xml:space="preserve">McArdle et al. (</w:t>
      </w:r>
      <w:hyperlink w:anchor="ref-McArdle2009">
        <w:r>
          <w:rPr>
            <w:rStyle w:val="Hyperlink"/>
          </w:rPr>
          <w:t xml:space="preserve">2009</w:t>
        </w:r>
      </w:hyperlink>
      <w:r>
        <w:t xml:space="preserve">)</w:t>
      </w:r>
      <w:r>
        <w:t xml:space="preserve">, McArdle and Grimm</w:t>
      </w:r>
      <w:r>
        <w:t xml:space="preserve"> </w:t>
      </w:r>
      <w:r>
        <w:t xml:space="preserve">(</w:t>
      </w:r>
      <w:hyperlink w:anchor="ref-McArdle2011">
        <w:r>
          <w:rPr>
            <w:rStyle w:val="Hyperlink"/>
          </w:rPr>
          <w:t xml:space="preserve">2011</w:t>
        </w:r>
      </w:hyperlink>
      <w:r>
        <w:t xml:space="preserve">)</w:t>
      </w:r>
      <w:r>
        <w:t xml:space="preserve">,</w:t>
      </w:r>
      <w:r>
        <w:t xml:space="preserve"> </w:t>
      </w:r>
      <w:r>
        <w:t xml:space="preserve">Murayama et al. (</w:t>
      </w:r>
      <w:hyperlink w:anchor="ref-Murayama2013">
        <w:r>
          <w:rPr>
            <w:rStyle w:val="Hyperlink"/>
          </w:rPr>
          <w:t xml:space="preserve">2013</w:t>
        </w:r>
      </w:hyperlink>
      <w:r>
        <w:t xml:space="preserve">)</w:t>
      </w:r>
      <w:r>
        <w:t xml:space="preserve">,</w:t>
      </w:r>
      <w:r>
        <w:t xml:space="preserve"> </w:t>
      </w:r>
      <w:r>
        <w:t xml:space="preserve">Oleson et al. (</w:t>
      </w:r>
      <w:hyperlink w:anchor="ref-Oleson2016">
        <w:r>
          <w:rPr>
            <w:rStyle w:val="Hyperlink"/>
          </w:rPr>
          <w:t xml:space="preserve">2016</w:t>
        </w:r>
      </w:hyperlink>
      <w:r>
        <w:t xml:space="preserve">)</w:t>
      </w:r>
      <w:r>
        <w:t xml:space="preserve">,</w:t>
      </w:r>
      <w:r>
        <w:t xml:space="preserve"> </w:t>
      </w:r>
      <w:r>
        <w:t xml:space="preserve">Petscher et al. (</w:t>
      </w:r>
      <w:hyperlink w:anchor="ref-Petscher2018">
        <w:r>
          <w:rPr>
            <w:rStyle w:val="Hyperlink"/>
          </w:rPr>
          <w:t xml:space="preserve">2018</w:t>
        </w:r>
      </w:hyperlink>
      <w:r>
        <w:t xml:space="preserve">)</w:t>
      </w:r>
      <w:r>
        <w:t xml:space="preserve">,</w:t>
      </w:r>
      <w:r>
        <w:t xml:space="preserve"> </w:t>
      </w:r>
      <w:r>
        <w:t xml:space="preserve">Ward et al. (</w:t>
      </w:r>
      <w:hyperlink w:anchor="ref-Ward2022">
        <w:r>
          <w:rPr>
            <w:rStyle w:val="Hyperlink"/>
          </w:rPr>
          <w:t xml:space="preserve">2022</w:t>
        </w:r>
      </w:hyperlink>
      <w:r>
        <w:t xml:space="preserve">)</w:t>
      </w:r>
      <w:r>
        <w:t xml:space="preserve">, and</w:t>
      </w:r>
      <w:r>
        <w:t xml:space="preserve"> </w:t>
      </w:r>
      <w:r>
        <w:t xml:space="preserve">Weeks (</w:t>
      </w:r>
      <w:hyperlink w:anchor="ref-Weeks2018">
        <w:r>
          <w:rPr>
            <w:rStyle w:val="Hyperlink"/>
          </w:rPr>
          <w:t xml:space="preserve">2018</w:t>
        </w:r>
      </w:hyperlink>
      <w:r>
        <w:t xml:space="preserve">)</w:t>
      </w:r>
      <w:r>
        <w:t xml:space="preserve">.</w:t>
      </w:r>
      <w:r>
        <w:t xml:space="preserve"> </w:t>
      </w:r>
      <w:r>
        <w:t xml:space="preserve">However, the use of linking methods is rare in studies of social and behavioral development broadly and psychopathology specifically.</w:t>
      </w:r>
      <w:r>
        <w:t xml:space="preserve"> </w:t>
      </w:r>
      <w:r>
        <w:t xml:space="preserve">For studies that have applied such methods in studying social and behavioral development, see studies on self-concept</w:t>
      </w:r>
      <w:r>
        <w:t xml:space="preserve"> </w:t>
      </w:r>
      <w:r>
        <w:t xml:space="preserve">(</w:t>
      </w:r>
      <w:hyperlink w:anchor="ref-Hancock2008">
        <w:r>
          <w:rPr>
            <w:rStyle w:val="Hyperlink"/>
          </w:rPr>
          <w:t xml:space="preserve">Hancock &amp; Buehl, 2008</w:t>
        </w:r>
      </w:hyperlink>
      <w:r>
        <w:t xml:space="preserve">)</w:t>
      </w:r>
      <w:r>
        <w:t xml:space="preserve">, neuroticism</w:t>
      </w:r>
      <w:r>
        <w:t xml:space="preserve"> </w:t>
      </w:r>
      <w:r>
        <w:t xml:space="preserve">(</w:t>
      </w:r>
      <w:hyperlink w:anchor="ref-Lai2023">
        <w:r>
          <w:rPr>
            <w:rStyle w:val="Hyperlink"/>
          </w:rPr>
          <w:t xml:space="preserve">Lai, 2023</w:t>
        </w:r>
      </w:hyperlink>
      <w:r>
        <w:t xml:space="preserve">)</w:t>
      </w:r>
      <w:r>
        <w:t xml:space="preserve">, self-regulation</w:t>
      </w:r>
      <w:r>
        <w:t xml:space="preserve"> </w:t>
      </w:r>
      <w:r>
        <w:t xml:space="preserve">(</w:t>
      </w:r>
      <w:hyperlink w:anchor="ref-Hosch2022">
        <w:r>
          <w:rPr>
            <w:rStyle w:val="Hyperlink"/>
          </w:rPr>
          <w:t xml:space="preserve">Hosch et al., 2022</w:t>
        </w:r>
      </w:hyperlink>
      <w:r>
        <w:t xml:space="preserve">)</w:t>
      </w:r>
      <w:r>
        <w:t xml:space="preserve">, underactivity/overactivity</w:t>
      </w:r>
      <w:r>
        <w:t xml:space="preserve"> </w:t>
      </w:r>
      <w:r>
        <w:t xml:space="preserve">(and their subdimensions;</w:t>
      </w:r>
      <w:r>
        <w:t xml:space="preserve"> </w:t>
      </w:r>
      <w:hyperlink w:anchor="ref-McDermott2013">
        <w:r>
          <w:rPr>
            <w:rStyle w:val="Hyperlink"/>
          </w:rPr>
          <w:t xml:space="preserve">McDermott et al., 2013</w:t>
        </w:r>
      </w:hyperlink>
      <w:r>
        <w:t xml:space="preserve">)</w:t>
      </w:r>
      <w:r>
        <w:t xml:space="preserve">, thought-disordered problems</w:t>
      </w:r>
      <w:r>
        <w:t xml:space="preserve"> </w:t>
      </w:r>
      <w:r>
        <w:t xml:space="preserve">(</w:t>
      </w:r>
      <w:hyperlink w:anchor="ref-Petersen2026a">
        <w:r>
          <w:rPr>
            <w:rStyle w:val="Hyperlink"/>
          </w:rPr>
          <w:t xml:space="preserve">Petersen, Demko, Lee, et al., 2026</w:t>
        </w:r>
      </w:hyperlink>
      <w:r>
        <w:t xml:space="preserve">)</w:t>
      </w:r>
      <w:r>
        <w:t xml:space="preserve">, internalizing problems</w:t>
      </w:r>
      <w:r>
        <w:t xml:space="preserve"> </w:t>
      </w:r>
      <w:r>
        <w:t xml:space="preserve">(</w:t>
      </w:r>
      <w:hyperlink w:anchor="ref-Harris2025">
        <w:r>
          <w:rPr>
            <w:rStyle w:val="Hyperlink"/>
          </w:rPr>
          <w:t xml:space="preserve">Harris et al., 2025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Tyrell2019">
        <w:r>
          <w:rPr>
            <w:rStyle w:val="Hyperlink"/>
          </w:rPr>
          <w:t xml:space="preserve">Tyrell et al., 2019</w:t>
        </w:r>
      </w:hyperlink>
      <w:r>
        <w:t xml:space="preserve">)</w:t>
      </w:r>
      <w:r>
        <w:t xml:space="preserve">, and externalizing problems</w:t>
      </w:r>
      <w:r>
        <w:t xml:space="preserve"> </w:t>
      </w:r>
      <w:r>
        <w:t xml:space="preserve">(</w:t>
      </w:r>
      <w:hyperlink w:anchor="ref-ChenMBR">
        <w:r>
          <w:rPr>
            <w:rStyle w:val="Hyperlink"/>
          </w:rPr>
          <w:t xml:space="preserve">S. M. Chen &amp; Bauer, in press a</w:t>
        </w:r>
      </w:hyperlink>
      <w:r>
        <w:t xml:space="preserve">,</w:t>
      </w:r>
      <w:r>
        <w:t xml:space="preserve"> </w:t>
      </w:r>
      <w:hyperlink w:anchor="ref-ChenPM">
        <w:r>
          <w:rPr>
            <w:rStyle w:val="Hyperlink"/>
          </w:rPr>
          <w:t xml:space="preserve">in press b</w:t>
        </w:r>
      </w:hyperlink>
      <w:r>
        <w:t xml:space="preserve">;</w:t>
      </w:r>
      <w:r>
        <w:t xml:space="preserve"> </w:t>
      </w:r>
      <w:hyperlink w:anchor="ref-Harris2025">
        <w:r>
          <w:rPr>
            <w:rStyle w:val="Hyperlink"/>
          </w:rPr>
          <w:t xml:space="preserve">Harris et al., 2025</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1b">
        <w:r>
          <w:rPr>
            <w:rStyle w:val="Hyperlink"/>
          </w:rPr>
          <w:t xml:space="preserve">Petersen &amp; LeBeau, 2021</w:t>
        </w:r>
      </w:hyperlink>
      <w:r>
        <w:t xml:space="preserve">,</w:t>
      </w:r>
      <w:r>
        <w:t xml:space="preserve"> </w:t>
      </w:r>
      <w:hyperlink w:anchor="ref-Petersen2022">
        <w:r>
          <w:rPr>
            <w:rStyle w:val="Hyperlink"/>
          </w:rPr>
          <w:t xml:space="preserve">2022</w:t>
        </w:r>
      </w:hyperlink>
      <w:r>
        <w:t xml:space="preserve">)</w:t>
      </w:r>
      <w:r>
        <w:t xml:space="preserve">.</w:t>
      </w:r>
      <w:r>
        <w:t xml:space="preserve"> </w:t>
      </w:r>
      <w:r>
        <w:t xml:space="preserve">And even fewer of these studies accounted for heterotypic continuity by using different measures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Hancock2008">
        <w:r>
          <w:rPr>
            <w:rStyle w:val="Hyperlink"/>
          </w:rPr>
          <w:t xml:space="preserve">Hancock &amp; Buehl, 2008</w:t>
        </w:r>
      </w:hyperlink>
      <w:r>
        <w:t xml:space="preserve">;</w:t>
      </w:r>
      <w:r>
        <w:t xml:space="preserve"> </w:t>
      </w:r>
      <w:hyperlink w:anchor="ref-Harris2025">
        <w:r>
          <w:rPr>
            <w:rStyle w:val="Hyperlink"/>
          </w:rPr>
          <w:t xml:space="preserve">Harris et al., 2025</w:t>
        </w:r>
      </w:hyperlink>
      <w:r>
        <w:t xml:space="preserve">;</w:t>
      </w:r>
      <w:r>
        <w:t xml:space="preserve"> </w:t>
      </w:r>
      <w:hyperlink w:anchor="ref-Hosch2022">
        <w:r>
          <w:rPr>
            <w:rStyle w:val="Hyperlink"/>
          </w:rPr>
          <w:t xml:space="preserve">Hosch et al., 2022</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hyperlink w:anchor="ref-Petersen2022">
        <w:r>
          <w:rPr>
            <w:rStyle w:val="Hyperlink"/>
          </w:rPr>
          <w:t xml:space="preserve">Petersen &amp; LeBeau, 2022</w:t>
        </w:r>
      </w:hyperlink>
      <w:r>
        <w:t xml:space="preserve">;</w:t>
      </w:r>
      <w:r>
        <w:t xml:space="preserve"> </w:t>
      </w:r>
      <w:hyperlink w:anchor="ref-Tyrell2019">
        <w:r>
          <w:rPr>
            <w:rStyle w:val="Hyperlink"/>
          </w:rPr>
          <w:t xml:space="preserve">Tyrell et al., 2019</w:t>
        </w:r>
      </w:hyperlink>
      <w:r>
        <w:t xml:space="preserve">)</w:t>
      </w:r>
      <w:r>
        <w:t xml:space="preserve">.</w:t>
      </w:r>
    </w:p>
    <w:p>
      <w:pPr>
        <w:pStyle w:val="BodyText"/>
      </w:pPr>
      <w:r>
        <w:t xml:space="preserve">A failure to apply linking methods has consistently been shown to yield less accurate trajectories—at the person and group level</w:t>
      </w:r>
      <w:r>
        <w:t xml:space="preserve"> </w:t>
      </w:r>
      <w:r>
        <w:t xml:space="preserve">(</w:t>
      </w:r>
      <w:hyperlink w:anchor="ref-ChenMBR">
        <w:r>
          <w:rPr>
            <w:rStyle w:val="Hyperlink"/>
          </w:rPr>
          <w:t xml:space="preserve">S. M. Chen &amp; Bauer, in press a</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a">
        <w:r>
          <w:rPr>
            <w:rStyle w:val="Hyperlink"/>
          </w:rPr>
          <w:t xml:space="preserve">Petersen et al., 2021</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Thus, it is imperative that studies link scores across age-differing measures of psychopathology.</w:t>
      </w:r>
      <w:r>
        <w:t xml:space="preserve"> </w:t>
      </w:r>
      <w:r>
        <w:t xml:space="preserve">However, psychopathology assessments do not include scoring tools for linking scores across age- (or rater-) differing versions.</w:t>
      </w:r>
      <w:r>
        <w:t xml:space="preserve"> </w:t>
      </w:r>
      <w:r>
        <w:t xml:space="preserve">The lack of scoring tools that link scores from age-differing psychopathology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r>
        <w:t xml:space="preserve"> </w:t>
      </w:r>
      <w:r>
        <w:t xml:space="preserve">Restricting the age range of study to when the same measure was assessed naturally prevents studying development across important developmental transitions, when changes in behavior manifestatation may be especially likely, such as puberty, school entry, and entry into parenthood.</w:t>
      </w:r>
    </w:p>
    <w:bookmarkEnd w:id="91"/>
    <w:bookmarkStart w:id="9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 </w:t>
      </w:r>
      <w:r>
        <w:t xml:space="preserve">“sometimes,”</w:t>
      </w:r>
      <w:r>
        <w:t xml:space="preserve"> </w:t>
      </w:r>
      <w:r>
        <w:t xml:space="preserve">“often,”</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w:t>
      </w:r>
      <w:r>
        <w:t xml:space="preserve"> </w:t>
      </w:r>
      <w:r>
        <w:t xml:space="preserve">(i.e., greater reduction of uncertainty in estimates of a person’s construct level; though there are diminishing returns when using more than six response options;</w:t>
      </w:r>
      <w:r>
        <w:t xml:space="preserve"> </w:t>
      </w:r>
      <w:hyperlink w:anchor="ref-Culpepper2013">
        <w:r>
          <w:rPr>
            <w:rStyle w:val="Hyperlink"/>
          </w:rPr>
          <w:t xml:space="preserve">Culpepper, 2013</w:t>
        </w:r>
      </w:hyperlink>
      <w:r>
        <w:t xml:space="preserve">;</w:t>
      </w:r>
      <w:r>
        <w:t xml:space="preserve"> </w:t>
      </w:r>
      <w:hyperlink w:anchor="ref-Simms2019">
        <w:r>
          <w:rPr>
            <w:rStyle w:val="Hyperlink"/>
          </w:rPr>
          <w:t xml:space="preserve">Simms et al., 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5"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93" name="Picture"/>
            <a:graphic>
              <a:graphicData uri="http://schemas.openxmlformats.org/drawingml/2006/picture">
                <pic:pic>
                  <pic:nvPicPr>
                    <pic:cNvPr descr="Figures/Petersen2026_figure4.png" id="94" name="Picture"/>
                    <pic:cNvPicPr>
                      <a:picLocks noChangeArrowheads="1" noChangeAspect="1"/>
                    </pic:cNvPicPr>
                  </pic:nvPicPr>
                  <pic:blipFill>
                    <a:blip r:embed="rId92"/>
                    <a:stretch>
                      <a:fillRect/>
                    </a:stretch>
                  </pic:blipFill>
                  <pic:spPr bwMode="auto">
                    <a:xfrm>
                      <a:off x="0" y="0"/>
                      <a:ext cx="5943600" cy="3668050"/>
                    </a:xfrm>
                    <a:prstGeom prst="rect">
                      <a:avLst/>
                    </a:prstGeom>
                    <a:noFill/>
                    <a:ln w="9525">
                      <a:noFill/>
                      <a:headEnd/>
                      <a:tailEnd/>
                    </a:ln>
                  </pic:spPr>
                </pic:pic>
              </a:graphicData>
            </a:graphic>
          </wp:inline>
        </w:drawing>
      </w:r>
    </w:p>
    <w:p>
      <w:pPr>
        <w:pStyle w:val="FigureWith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 Theta represents the person’s level on the latent externalizing problems factor. The figure demonstrates that items assessing absolute frequency yield more information (i.e., measurement precision)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r>
        <w:t xml:space="preserve">).</w:t>
      </w:r>
    </w:p>
    <w:bookmarkEnd w:id="95"/>
    <w:p>
      <w:pPr>
        <w:pStyle w:val="BodyText"/>
      </w:pPr>
      <w:r>
        <w:br/>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behaviors,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6"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48"/>
        <w:tblLayout w:type="fixed"/>
        <w:tblLook w:firstRow="1" w:lastRow="0" w:firstColumn="0" w:lastColumn="0" w:noHBand="0" w:noVBand="0" w:val="0020"/>
      </w:tblPr>
      <w:tblGrid>
        <w:gridCol w:w="2954"/>
        <w:gridCol w:w="1846"/>
        <w:gridCol w:w="3036"/>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Apathy/Indolence/Disengagement</w:t>
            </w:r>
          </w:p>
        </w:tc>
        <w:tc>
          <w:tcPr/>
          <w:p>
            <w:pPr>
              <w:pStyle w:val="Compact"/>
              <w:jc w:val="left"/>
            </w:pPr>
            <w:r>
              <w:t xml:space="preserve">Unconcerned about achievement, low</w:t>
            </w:r>
            <w:r>
              <w:t xml:space="preserve"> </w:t>
            </w:r>
            <w:r>
              <w:t xml:space="preserve">motivation, low concern about how one’s</w:t>
            </w:r>
            <w:r>
              <w:t xml:space="preserve"> </w:t>
            </w:r>
            <w:r>
              <w:t xml:space="preserve">abilities or actions are evaluated, specific</w:t>
            </w:r>
            <w:r>
              <w:t xml:space="preserve"> </w:t>
            </w:r>
            <w:r>
              <w:t xml:space="preserve">to contexts in which others have</w:t>
            </w:r>
            <w:r>
              <w:t xml:space="preserve"> </w:t>
            </w:r>
            <w:r>
              <w:t xml:space="preserve">expectations for performance (e.g., school</w:t>
            </w:r>
            <w:r>
              <w:t xml:space="preserve"> </w:t>
            </w:r>
            <w:r>
              <w:t xml:space="preserve">and work), specifically low effort rather</w:t>
            </w:r>
            <w:r>
              <w:t xml:space="preserve"> </w:t>
            </w:r>
            <w:r>
              <w:t xml:space="preserve">than performance</w:t>
            </w:r>
          </w:p>
        </w:tc>
        <w:tc>
          <w:tcPr/>
          <w:p>
            <w:pPr>
              <w:pStyle w:val="Compact"/>
              <w:jc w:val="left"/>
            </w:pPr>
            <w:r>
              <w:t xml:space="preserve">Diligence/Achievement motivation</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 self-expression</w:t>
            </w:r>
          </w:p>
        </w:tc>
      </w:tr>
      <w:tr>
        <w:tc>
          <w:tcPr/>
          <w:p>
            <w:pPr>
              <w:pStyle w:val="Compact"/>
              <w:jc w:val="left"/>
            </w:pPr>
            <w:r>
              <w:t xml:space="preserve">Behavioral addiction</w:t>
            </w:r>
          </w:p>
        </w:tc>
        <w:tc>
          <w:tcPr/>
          <w:p>
            <w:pPr>
              <w:pStyle w:val="Compact"/>
              <w:jc w:val="left"/>
            </w:pPr>
            <w:r>
              <w:t xml:space="preserve">Impulsive/compulsive engagement in rewarding</w:t>
            </w:r>
            <w:r>
              <w:t xml:space="preserve"> </w:t>
            </w:r>
            <w:r>
              <w:t xml:space="preserve">non-substance behaviors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falsely claiming</w:t>
            </w:r>
            <w:r>
              <w:t xml:space="preserve"> </w:t>
            </w:r>
            <w:r>
              <w:t xml:space="preserve">victimhood, blaming others</w:t>
            </w:r>
          </w:p>
        </w:tc>
        <w:tc>
          <w:tcPr/>
          <w:p>
            <w:pPr>
              <w:pStyle w:val="Compact"/>
              <w:jc w:val="left"/>
            </w:pPr>
            <w:r>
              <w:t xml:space="preserve">Personal 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 protection/Benevolence</w:t>
            </w:r>
          </w:p>
        </w:tc>
      </w:tr>
      <w:tr>
        <w:tc>
          <w:tcPr/>
          <w:p>
            <w:pPr>
              <w:pStyle w:val="Compact"/>
              <w:jc w:val="left"/>
            </w:pPr>
            <w:r>
              <w:t xml:space="preserve">Callousness/Disregard for others/Selfishness/Egocentricity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 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 affiliation</w:t>
            </w:r>
          </w:p>
        </w:tc>
        <w:tc>
          <w:tcPr/>
          <w:p>
            <w:pPr>
              <w:pStyle w:val="Compact"/>
              <w:jc w:val="left"/>
            </w:pPr>
            <w:r>
              <w:t xml:space="preserve">Affiliating with peers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frequent attention shifts</w:t>
            </w:r>
          </w:p>
        </w:tc>
        <w:tc>
          <w:tcPr/>
          <w:p>
            <w:pPr>
              <w:pStyle w:val="Compact"/>
              <w:jc w:val="left"/>
            </w:pPr>
            <w:r>
              <w:t xml:space="preserve">Attentional control/Sustained 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impulsively pursue new and</w:t>
            </w:r>
            <w:r>
              <w:t xml:space="preserve"> </w:t>
            </w:r>
            <w:r>
              <w:t xml:space="preserve">different sensations, especially ones that</w:t>
            </w:r>
            <w:r>
              <w:t xml:space="preserve"> </w:t>
            </w:r>
            <w:r>
              <w:t xml:space="preserve">are intense, exhilarating, thrilling,</w:t>
            </w:r>
            <w:r>
              <w:t xml:space="preserve"> </w:t>
            </w:r>
            <w:r>
              <w:t xml:space="preserve">unsafe, etc. (e.g., risk taking, preference</w:t>
            </w:r>
            <w:r>
              <w:t xml:space="preserve"> </w:t>
            </w:r>
            <w:r>
              <w:t xml:space="preserve">for novelty, intensity)</w:t>
            </w:r>
          </w:p>
        </w:tc>
        <w:tc>
          <w:tcPr/>
          <w:p>
            <w:pPr>
              <w:pStyle w:val="Compact"/>
              <w:jc w:val="left"/>
            </w:pPr>
            <w:r>
              <w:t xml:space="preserve">Prudent exploration/Measured novelty seeking</w:t>
            </w:r>
          </w:p>
        </w:tc>
      </w:tr>
      <w:tr>
        <w:tc>
          <w:tcPr/>
          <w:p>
            <w:pPr>
              <w:pStyle w:val="Compact"/>
              <w:jc w:val="left"/>
            </w:pPr>
            <w:r>
              <w:t xml:space="preserve">Grandiosity/Overconfidence</w:t>
            </w:r>
          </w:p>
        </w:tc>
        <w:tc>
          <w:tcPr/>
          <w:p>
            <w:pPr>
              <w:pStyle w:val="Compact"/>
              <w:jc w:val="left"/>
            </w:pPr>
            <w:r>
              <w:t xml:space="preserve">Exaggerated sense of self-importance, sense</w:t>
            </w:r>
            <w:r>
              <w:t xml:space="preserve"> </w:t>
            </w:r>
            <w:r>
              <w:t xml:space="preserve">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w:t>
            </w:r>
          </w:p>
        </w:tc>
      </w:tr>
      <w:tr>
        <w:tc>
          <w:tcPr/>
          <w:p>
            <w:pPr>
              <w:pStyle w:val="Compact"/>
              <w:jc w:val="left"/>
            </w:pPr>
            <w:r>
              <w:t xml:space="preserve">Impulsivity/Disinhibition/Impatient urgency</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Irresponsibility/Unreliability/Disorganization</w:t>
            </w:r>
          </w:p>
        </w:tc>
        <w:tc>
          <w:tcPr/>
          <w:p>
            <w:pPr>
              <w:pStyle w:val="Compact"/>
              <w:jc w:val="left"/>
            </w:pPr>
            <w:r>
              <w:t xml:space="preserve">Failing to meet obligations, avoiding</w:t>
            </w:r>
            <w:r>
              <w:t xml:space="preserve"> </w:t>
            </w:r>
            <w:r>
              <w:t xml:space="preserve">addressing difficulties, inconsistency, lack</w:t>
            </w:r>
            <w:r>
              <w:t xml:space="preserve"> </w:t>
            </w:r>
            <w:r>
              <w:t xml:space="preserve">of organization and planning</w:t>
            </w:r>
          </w:p>
        </w:tc>
        <w:tc>
          <w:tcPr/>
          <w:p>
            <w:pPr>
              <w:pStyle w:val="Compact"/>
              <w:jc w:val="left"/>
            </w:pPr>
            <w:r>
              <w:t xml:space="preserve">Responsibility/Conscientiousness/Dependability/Reliability/Organization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 calibrated)</w:t>
            </w:r>
          </w:p>
        </w:tc>
      </w:tr>
      <w:tr>
        <w:tc>
          <w:tcPr/>
          <w:p>
            <w:pPr>
              <w:pStyle w:val="Compact"/>
              <w:jc w:val="left"/>
            </w:pPr>
            <w:r>
              <w:t xml:space="preserve">Oppositionality/Stubbornness</w:t>
            </w:r>
          </w:p>
        </w:tc>
        <w:tc>
          <w:tcPr/>
          <w:p>
            <w:pPr>
              <w:pStyle w:val="Compact"/>
              <w:jc w:val="left"/>
            </w:pPr>
            <w:r>
              <w:t xml:space="preserve">Persistent and defiant attitude, tendency to</w:t>
            </w:r>
            <w:r>
              <w:t xml:space="preserve"> </w:t>
            </w:r>
            <w:r>
              <w:t xml:space="preserve">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 others</w:t>
            </w:r>
          </w:p>
        </w:tc>
      </w:tr>
      <w:tr>
        <w:tc>
          <w:tcPr/>
          <w:p>
            <w:pPr>
              <w:pStyle w:val="Compact"/>
              <w:jc w:val="left"/>
            </w:pPr>
            <w:r>
              <w:t xml:space="preserve">Punishment insensitivity</w:t>
            </w:r>
          </w:p>
        </w:tc>
        <w:tc>
          <w:tcPr/>
          <w:p>
            <w:pPr>
              <w:pStyle w:val="Compact"/>
              <w:jc w:val="left"/>
            </w:pPr>
            <w:r>
              <w:t xml:space="preserve">Does not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 exclusion,</w:t>
            </w:r>
            <w:r>
              <w:t xml:space="preserve"> </w:t>
            </w:r>
            <w:r>
              <w:t xml:space="preserve">speaking negatively of another, 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 who</w:t>
            </w:r>
            <w:r>
              <w:t xml:space="preserve"> </w:t>
            </w:r>
            <w:r>
              <w:t xml:space="preserve">does not or cannot consent to that behavior,</w:t>
            </w:r>
            <w:r>
              <w:t xml:space="preserve"> </w:t>
            </w:r>
            <w:r>
              <w:t xml:space="preserve">or threatening to do so (e.g., harassment)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 sex</w:t>
            </w:r>
            <w:r>
              <w:t xml:space="preserve"> </w:t>
            </w:r>
            <w:r>
              <w:t xml:space="preserve">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 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p>
      <w:pPr>
        <w:pStyle w:val="FigureNote"/>
      </w:pPr>
      <w:r>
        <w:rPr>
          <w:i/>
          <w:iCs/>
        </w:rPr>
        <w:t xml:space="preserve">Note</w:t>
      </w:r>
      <w:r>
        <w:t xml:space="preserve">. Transdiagnostic facets of psychopathology that frequently encompass externalizing problems were also identified and include irritability/reactive anger, unemotionality, sleep problems, social problems, learning problems, and low functional independence.</w:t>
      </w:r>
    </w:p>
    <w:bookmarkEnd w:id="96"/>
    <w:p>
      <w:pPr>
        <w:pStyle w:val="FigureWithNote"/>
      </w:pPr>
      <w:r>
        <w:rPr>
          <w:vertAlign w:val="subscript"/>
        </w:rPr>
        <w:t xml:space="preserve">Source:</w:t>
      </w:r>
      <w:r>
        <w:rPr>
          <w:vertAlign w:val="subscript"/>
        </w:rPr>
        <w:t xml:space="preserve"> </w:t>
      </w:r>
      <w:hyperlink r:id="rId97">
        <w:r>
          <w:rPr>
            <w:rStyle w:val="Hyperlink"/>
            <w:vertAlign w:val="subscript"/>
          </w:rPr>
          <w:t xml:space="preserve">Analyses</w:t>
        </w:r>
      </w:hyperlink>
    </w:p>
    <w:p>
      <w:pPr>
        <w:pStyle w:val="BodyText"/>
      </w:pPr>
      <w:r>
        <w:br/>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8"/>
    <w:bookmarkStart w:id="9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assessments of externalizing behavior—and of other forms of psychopathology—have key limitations.</w:t>
      </w:r>
      <w:r>
        <w:t xml:space="preserve"> </w:t>
      </w:r>
      <w:r>
        <w:t xml:space="preserve">To address this concern, the field will need to develop better assessments.</w:t>
      </w:r>
      <w:r>
        <w:t xml:space="preserve"> </w:t>
      </w:r>
      <w:r>
        <w:t xml:space="preserve">In addition, there are problems with how assessments are used to examine development—studies have primarily used problematic approaches including the common items approach or the upward/downward extension approach across ages, leading to inaccurate scores and resulting trajectories and developmental inferences.</w:t>
      </w:r>
      <w:r>
        <w:t xml:space="preserve"> </w:t>
      </w:r>
      <w:r>
        <w:t xml:space="preserve">Moreover, studies have largely failed to place scores on a comparable scale across development.</w:t>
      </w:r>
      <w:r>
        <w:t xml:space="preserve"> </w:t>
      </w:r>
      <w:r>
        <w:t xml:space="preserve">Researchers studying psychopathology development are doing their best to grapple with developmental equivalence in the ways they know how, such as by dropping items, using items outside the age range of validation, restricting the age range of analysis (or data collection) to the ages when the same measure was (or would be) used, using diagnostic categories, averaging scores, and age-norming.</w:t>
      </w:r>
      <w:r>
        <w:t xml:space="preserve"> </w:t>
      </w:r>
      <w:r>
        <w:t xml:space="preserve">However, it is important for the field to advance its awareness of stronger approaches for placing scores on a comparable scale across development.</w:t>
      </w:r>
      <w:r>
        <w:t xml:space="preserve"> </w:t>
      </w:r>
      <w:r>
        <w:t xml:space="preserve">To address these concerns, we propose a potential solution to account for heterotypic continuity and to allow charting individuals’ change across the lifespan: a developmental scaling framework.</w:t>
      </w:r>
    </w:p>
    <w:bookmarkEnd w:id="99"/>
    <w:bookmarkEnd w:id="100"/>
    <w:bookmarkEnd w:id="101"/>
    <w:bookmarkStart w:id="118"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essential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5"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103" name="Picture"/>
            <a:graphic>
              <a:graphicData uri="http://schemas.openxmlformats.org/drawingml/2006/picture">
                <pic:pic>
                  <pic:nvPicPr>
                    <pic:cNvPr descr="Figures/constructValidItemDesign.png" id="104" name="Picture"/>
                    <pic:cNvPicPr>
                      <a:picLocks noChangeArrowheads="1" noChangeAspect="1"/>
                    </pic:cNvPicPr>
                  </pic:nvPicPr>
                  <pic:blipFill>
                    <a:blip r:embed="rId102"/>
                    <a:stretch>
                      <a:fillRect/>
                    </a:stretch>
                  </pic:blipFill>
                  <pic:spPr bwMode="auto">
                    <a:xfrm>
                      <a:off x="0" y="0"/>
                      <a:ext cx="5877848" cy="3260034"/>
                    </a:xfrm>
                    <a:prstGeom prst="rect">
                      <a:avLst/>
                    </a:prstGeom>
                    <a:noFill/>
                    <a:ln w="9525">
                      <a:noFill/>
                      <a:headEnd/>
                      <a:tailEnd/>
                    </a:ln>
                  </pic:spPr>
                </pic:pic>
              </a:graphicData>
            </a:graphic>
          </wp:inline>
        </w:drawing>
      </w:r>
    </w:p>
    <w:p>
      <w:pPr>
        <w:pStyle w:val="FigureWith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5"/>
    <w:p>
      <w:pPr>
        <w:pStyle w:val="BodyText"/>
      </w:pPr>
      <w:r>
        <w:br/>
      </w:r>
    </w:p>
    <w:bookmarkEnd w:id="106"/>
    <w:bookmarkStart w:id="117"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Harmonization is also used for integrative data analysis, to pool data from different measures in various studies</w:t>
      </w:r>
      <w:r>
        <w:t xml:space="preserve"> </w:t>
      </w:r>
      <w:r>
        <w:t xml:space="preserve">(</w:t>
      </w:r>
      <w:hyperlink w:anchor="ref-Curran2008">
        <w:r>
          <w:rPr>
            <w:rStyle w:val="Hyperlink"/>
          </w:rPr>
          <w:t xml:space="preserve">Curran et al., 2008</w:t>
        </w:r>
      </w:hyperlink>
      <w:r>
        <w:t xml:space="preserve">;</w:t>
      </w:r>
      <w:r>
        <w:t xml:space="preserve"> </w:t>
      </w:r>
      <w:hyperlink w:anchor="ref-McDaniel2023">
        <w:r>
          <w:rPr>
            <w:rStyle w:val="Hyperlink"/>
          </w:rPr>
          <w:t xml:space="preserve">McDaniel et al., 2023</w:t>
        </w:r>
      </w:hyperlink>
      <w:r>
        <w:t xml:space="preserve">)</w:t>
      </w:r>
      <w:r>
        <w:t xml:space="preserve">.</w:t>
      </w:r>
      <w:r>
        <w:t xml:space="preserve"> </w:t>
      </w:r>
      <w:r>
        <w:t xml:space="preserve">The aforementioned approaches to harmonization attempt to estimate latent variables—using either confirmatory factor analysis (CFA) or IRT—on a common scale across ages.</w:t>
      </w:r>
      <w:r>
        <w:t xml:space="preserve"> </w:t>
      </w:r>
      <w:r>
        <w:t xml:space="preserve">They do so by trying to align the item parameters for at least a subset of items.</w:t>
      </w:r>
      <w:r>
        <w:t xml:space="preserve"> </w:t>
      </w:r>
      <w:r>
        <w:t xml:space="preserve">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a child hits others would have a stronger factor loading on an externalizing factor than an item assessing the extent to which a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a child sets fires would be expected to have a lower intercept than an item assessing the extent to which a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various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bookmarkStart w:id="108" w:name="partial-invariance"/>
    <w:p>
      <w:pPr>
        <w:pStyle w:val="Heading3"/>
      </w:pPr>
      <w:r>
        <w:t xml:space="preserve">Partial Invariance</w:t>
      </w:r>
    </w:p>
    <w:p>
      <w:pPr>
        <w:pStyle w:val="FirstParagraph"/>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 loadings and/or intercepts and which items show noninvariant factor loadings or intercepts.</w:t>
      </w:r>
      <w:r>
        <w:t xml:space="preserve"> </w:t>
      </w:r>
      <w:r>
        <w:t xml:space="preserve">The researcher then constrains the factor loadings across time for any items with invariant factor loadings, to serve as anchor items and establish an equivalent scale of the measures across time, and allows the factor loadings to differ across time for the items with noninvariant factor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p>
    <w:p>
      <w:pPr>
        <w:pStyle w:val="BodyText"/>
      </w:pP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 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factorial invariance or differential item functioning (DIF) as a function of multiple variables or continuous variables</w:t>
      </w:r>
      <w:r>
        <w:t xml:space="preserve"> </w:t>
      </w:r>
      <w:r>
        <w:t xml:space="preserve">(</w:t>
      </w:r>
      <w:hyperlink w:anchor="ref-ChenPM">
        <w:r>
          <w:rPr>
            <w:rStyle w:val="Hyperlink"/>
          </w:rPr>
          <w:t xml:space="preserve">S. M. Chen &amp; Bauer, in press b</w:t>
        </w:r>
      </w:hyperlink>
      <w:r>
        <w:t xml:space="preserve">)</w:t>
      </w:r>
      <w:r>
        <w:t xml:space="preserve">.</w:t>
      </w:r>
    </w:p>
    <w:bookmarkEnd w:id="108"/>
    <w:bookmarkStart w:id="109" w:name="alignment-optimization"/>
    <w:p>
      <w:pPr>
        <w:pStyle w:val="Heading3"/>
      </w:pPr>
      <w:r>
        <w:t xml:space="preserve">Alignment Optimization</w:t>
      </w:r>
    </w:p>
    <w:p>
      <w:pPr>
        <w:pStyle w:val="FirstParagraph"/>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bookmarkEnd w:id="109"/>
    <w:bookmarkStart w:id="110" w:name="moderated-nonlinear-factor-analysis"/>
    <w:p>
      <w:pPr>
        <w:pStyle w:val="Heading3"/>
      </w:pPr>
      <w:r>
        <w:t xml:space="preserve">Moderated Nonlinear Factor Analysis</w:t>
      </w:r>
    </w:p>
    <w:p>
      <w:pPr>
        <w:pStyle w:val="FirstParagraph"/>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 </w:t>
      </w:r>
      <w:hyperlink w:anchor="ref-Student2025">
        <w:r>
          <w:rPr>
            <w:rStyle w:val="Hyperlink"/>
          </w:rPr>
          <w:t xml:space="preserve">Student, 2025</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 b</w:t>
        </w:r>
      </w:hyperlink>
      <w:r>
        <w:t xml:space="preserve">,</w:t>
      </w:r>
      <w:r>
        <w:t xml:space="preserve"> </w:t>
      </w:r>
      <w:hyperlink w:anchor="ref-ChenMBR">
        <w:r>
          <w:rPr>
            <w:rStyle w:val="Hyperlink"/>
          </w:rPr>
          <w:t xml:space="preserve">in press a</w:t>
        </w:r>
      </w:hyperlink>
      <w:r>
        <w:t xml:space="preserve">)</w:t>
      </w:r>
      <w:r>
        <w:t xml:space="preserve">.</w:t>
      </w:r>
      <w:r>
        <w:t xml:space="preserve"> </w:t>
      </w:r>
      <w:r>
        <w:t xml:space="preserve">Using regularization, unimportant DIF effects are shrunken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In addition, Bayesian approaches are often better suited to handling small sample sizes and data with sparse responses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Using a simulation, Chen and Bauer</w:t>
      </w:r>
      <w:r>
        <w:t xml:space="preserve"> </w:t>
      </w:r>
      <w:r>
        <w:t xml:space="preserve">(</w:t>
      </w:r>
      <w:hyperlink w:anchor="ref-ChenMBR">
        <w:r>
          <w:rPr>
            <w:rStyle w:val="Hyperlink"/>
          </w:rPr>
          <w:t xml:space="preserve">in press a</w:t>
        </w:r>
      </w:hyperlink>
      <w:r>
        <w:t xml:space="preserve">)</w:t>
      </w:r>
      <w:r>
        <w:t xml:space="preserve"> </w:t>
      </w:r>
      <w:r>
        <w:t xml:space="preserve">found that MNLFA estimated change more accurately than traditional first- or second-order growth curve models.</w:t>
      </w:r>
    </w:p>
    <w:bookmarkEnd w:id="110"/>
    <w:bookmarkStart w:id="116" w:name="item-response-theory"/>
    <w:p>
      <w:pPr>
        <w:pStyle w:val="Heading3"/>
      </w:pPr>
      <w:r>
        <w:t xml:space="preserve">Item Response Theory</w:t>
      </w:r>
    </w:p>
    <w:p>
      <w:pPr>
        <w:pStyle w:val="FirstParagraph"/>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in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are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regularizing priors to identify anchor items without having to specify them in advance.</w:t>
      </w:r>
    </w:p>
    <w:bookmarkStart w:id="115"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12" name="Picture"/>
            <a:graphic>
              <a:graphicData uri="http://schemas.openxmlformats.org/drawingml/2006/picture">
                <pic:pic>
                  <pic:nvPicPr>
                    <pic:cNvPr descr="Figures/Petersen2021_figure1.png" id="113" name="Picture"/>
                    <pic:cNvPicPr>
                      <a:picLocks noChangeArrowheads="1" noChangeAspect="1"/>
                    </pic:cNvPicPr>
                  </pic:nvPicPr>
                  <pic:blipFill>
                    <a:blip r:embed="rId111"/>
                    <a:stretch>
                      <a:fillRect/>
                    </a:stretch>
                  </pic:blipFill>
                  <pic:spPr bwMode="auto">
                    <a:xfrm>
                      <a:off x="0" y="0"/>
                      <a:ext cx="5503598" cy="3669065"/>
                    </a:xfrm>
                    <a:prstGeom prst="rect">
                      <a:avLst/>
                    </a:prstGeom>
                    <a:noFill/>
                    <a:ln w="9525">
                      <a:noFill/>
                      <a:headEnd/>
                      <a:tailEnd/>
                    </a:ln>
                  </pic:spPr>
                </pic:pic>
              </a:graphicData>
            </a:graphic>
          </wp:inline>
        </w:drawing>
      </w:r>
    </w:p>
    <w:p>
      <w:pPr>
        <w:pStyle w:val="FigureWith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r>
        <w:t xml:space="preserve">).</w:t>
      </w:r>
    </w:p>
    <w:bookmarkEnd w:id="115"/>
    <w:p>
      <w:pPr>
        <w:pStyle w:val="BodyText"/>
      </w:pPr>
      <w:r>
        <w:br/>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 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 b</w:t>
        </w:r>
      </w:hyperlink>
      <w:r>
        <w:t xml:space="preserve">)</w:t>
      </w:r>
      <w:r>
        <w:t xml:space="preserve">.</w:t>
      </w:r>
    </w:p>
    <w:bookmarkEnd w:id="116"/>
    <w:bookmarkEnd w:id="117"/>
    <w:bookmarkEnd w:id="118"/>
    <w:bookmarkStart w:id="134" w:name="other-key-challenges-to-address"/>
    <w:p>
      <w:pPr>
        <w:pStyle w:val="Heading1"/>
      </w:pPr>
      <w:r>
        <w:t xml:space="preserve">Other Key Challenges to Address</w:t>
      </w:r>
    </w:p>
    <w:p>
      <w:pPr>
        <w:pStyle w:val="FirstParagraph"/>
      </w:pPr>
      <w:r>
        <w:t xml:space="preserve">In addition to linking scores across time to be on the same scale, to study the development of psychopathology across the lifespan, there are additional key challenges to address, including considering and/or addressing potential confounds of change, factorial invariance, integration across multiple sources, and obsolescence of items.</w:t>
      </w:r>
    </w:p>
    <w:bookmarkStart w:id="129" w:name="sec-potential-confounds-of-change"/>
    <w:p>
      <w:pPr>
        <w:pStyle w:val="Heading2"/>
      </w:pPr>
      <w:r>
        <w:t xml:space="preserve">Potential Confounds of Change</w:t>
      </w:r>
    </w:p>
    <w:p>
      <w:pPr>
        <w:pStyle w:val="FirstParagraph"/>
      </w:pPr>
      <w:r>
        <w:t xml:space="preserve">It is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in reality, they have not changed (or vice versa).</w:t>
      </w:r>
    </w:p>
    <w:bookmarkStart w:id="119"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to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those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9"/>
    <w:bookmarkStart w:id="125"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in which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24"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21" name="Picture"/>
            <a:graphic>
              <a:graphicData uri="http://schemas.openxmlformats.org/drawingml/2006/picture">
                <pic:pic>
                  <pic:nvPicPr>
                    <pic:cNvPr descr="Figures/longitudinalDesigns.png" id="122" name="Picture"/>
                    <pic:cNvPicPr>
                      <a:picLocks noChangeArrowheads="1" noChangeAspect="1"/>
                    </pic:cNvPicPr>
                  </pic:nvPicPr>
                  <pic:blipFill>
                    <a:blip r:embed="rId120"/>
                    <a:stretch>
                      <a:fillRect/>
                    </a:stretch>
                  </pic:blipFill>
                  <pic:spPr bwMode="auto">
                    <a:xfrm>
                      <a:off x="0" y="0"/>
                      <a:ext cx="5943600" cy="6619717"/>
                    </a:xfrm>
                    <a:prstGeom prst="rect">
                      <a:avLst/>
                    </a:prstGeom>
                    <a:noFill/>
                    <a:ln w="9525">
                      <a:noFill/>
                      <a:headEnd/>
                      <a:tailEnd/>
                    </a:ln>
                  </pic:spPr>
                </pic:pic>
              </a:graphicData>
            </a:graphic>
          </wp:inline>
        </w:drawing>
      </w:r>
    </w:p>
    <w:p>
      <w:pPr>
        <w:pStyle w:val="FigureWith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3">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bookmarkEnd w:id="124"/>
    <w:p>
      <w:pPr>
        <w:pStyle w:val="BodyText"/>
      </w:pPr>
      <w:r>
        <w:br/>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in a given study, there may be ways to account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25"/>
    <w:bookmarkStart w:id="126"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t>
      </w:r>
      <w:r>
        <w:t xml:space="preserve">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comprise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timepoints is large (i.e., a large effect size), (b) the measurement error (unreliability) at each timepoint is small, (c) the measure has the same meaning and is on a comparable scale at each timepoint, and (d) evidence suggests that the differences across time are not likely to be due to potential confounds of change such as practice effects, cohort effects, period effects, or selective attrition.</w:t>
      </w:r>
    </w:p>
    <w:bookmarkEnd w:id="126"/>
    <w:bookmarkStart w:id="127"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that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27"/>
    <w:bookmarkStart w:id="128"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of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If a measure changes in the construct it assesses, this is called construct shift.</w:t>
      </w:r>
      <w:r>
        <w:t xml:space="preserve"> </w:t>
      </w:r>
      <w:r>
        <w:t xml:space="preserve">Next, we describe longitudinal factorial invariance as a way to evaluate—and account for—the possibility that scores have changed in meaning across ages.</w:t>
      </w:r>
    </w:p>
    <w:bookmarkEnd w:id="128"/>
    <w:bookmarkEnd w:id="129"/>
    <w:bookmarkStart w:id="131"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0"/>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therefore, longitudinal factorial</w:t>
      </w:r>
      <w:r>
        <w:t xml:space="preserve"> </w:t>
      </w:r>
      <w:r>
        <w:rPr>
          <w:i/>
          <w:iCs/>
        </w:rPr>
        <w:t xml:space="preserve">noninvariance</w:t>
      </w:r>
      <w:r>
        <w:t xml:space="preserve"> </w:t>
      </w:r>
      <w:r>
        <w:t xml:space="preserve">for measures assessing the development of externalizing behavior may be expected.</w:t>
      </w:r>
    </w:p>
    <w:p>
      <w:pPr>
        <w:pStyle w:val="BodyText"/>
      </w:pP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De Los Reyes and colleagues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(p. 308).</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a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1"/>
    <w:bookmarkStart w:id="132" w:name="integration-across-multiple-sources"/>
    <w:p>
      <w:pPr>
        <w:pStyle w:val="Heading2"/>
      </w:pPr>
      <w:r>
        <w:t xml:space="preserve">Integration Across Multiple Sources</w:t>
      </w:r>
    </w:p>
    <w:p>
      <w:pPr>
        <w:pStyle w:val="FirstParagraph"/>
      </w:pPr>
      <w:r>
        <w:t xml:space="preserve">The most accurate informant(s) for a person can change with development, so it may be necessary to include different informants across time.</w:t>
      </w:r>
      <w:r>
        <w:t xml:space="preserve"> </w:t>
      </w:r>
      <w:r>
        <w:t xml:space="preserve">There is widespread agreement that including multiple sources of data—e.g.. multiple informants or multiple measurement methods—is preferable.</w:t>
      </w:r>
      <w:r>
        <w:t xml:space="preserve"> </w:t>
      </w:r>
      <w:r>
        <w:t xml:space="preserve">However, there is less agreement about how to use multiple sources of data</w:t>
      </w:r>
      <w:r>
        <w:t xml:space="preserve"> </w:t>
      </w:r>
      <w:r>
        <w:t xml:space="preserve">(</w:t>
      </w:r>
      <w:hyperlink w:anchor="ref-Bauer2013">
        <w:r>
          <w:rPr>
            <w:rStyle w:val="Hyperlink"/>
          </w:rPr>
          <w:t xml:space="preserve">Bauer et al., 2013</w:t>
        </w:r>
      </w:hyperlink>
      <w:r>
        <w:t xml:space="preserve">)</w:t>
      </w:r>
      <w:r>
        <w:t xml:space="preserve">, particularly because informants often show low correspondence with one another when rating the same person.</w:t>
      </w:r>
      <w:r>
        <w:t xml:space="preserve"> </w:t>
      </w:r>
      <w:r>
        <w:t xml:space="preserve">Some of these discrepancies may be confounded by the person behaving differently in different contexts or with different people.</w:t>
      </w:r>
      <w:r>
        <w:t xml:space="preserve"> </w:t>
      </w:r>
      <w:r>
        <w:t xml:space="preserve">The inclusion of multiple measurement methods can help account for measurement error given the considerable variance that is attributable to method bias</w:t>
      </w:r>
      <w:r>
        <w:t xml:space="preserve"> </w:t>
      </w:r>
      <w:r>
        <w:t xml:space="preserve">(</w:t>
      </w:r>
      <w:hyperlink w:anchor="ref-Podsakoff2012">
        <w:r>
          <w:rPr>
            <w:rStyle w:val="Hyperlink"/>
          </w:rPr>
          <w:t xml:space="preserve">Podsakoff et al., 2012</w:t>
        </w:r>
      </w:hyperlink>
      <w:r>
        <w:t xml:space="preserve">)</w:t>
      </w:r>
      <w:r>
        <w:t xml:space="preserve">.</w:t>
      </w:r>
      <w:r>
        <w:t xml:space="preserve"> </w:t>
      </w:r>
      <w:r>
        <w:t xml:space="preserve">The inclusion of multiple informants can be relevant for informing about the pervasiveness of a person’s behavior across contexts (e.g., home, school).</w:t>
      </w:r>
    </w:p>
    <w:p>
      <w:pPr>
        <w:pStyle w:val="BodyText"/>
      </w:pPr>
      <w:r>
        <w:t xml:space="preserve">When including multiple or different informants across development, it is important to consider how to leverage the multi-informant ratings.</w:t>
      </w:r>
      <w:r>
        <w:t xml:space="preserve"> </w:t>
      </w:r>
      <w:r>
        <w:t xml:space="preserve">Some researchers advocate for integrating scores using principal component approaches</w:t>
      </w:r>
      <w:r>
        <w:t xml:space="preserve"> </w:t>
      </w:r>
      <w:r>
        <w:t xml:space="preserve">(while disentangling variance attributable to trait, perspective, and context;</w:t>
      </w:r>
      <w:r>
        <w:t xml:space="preserve"> </w:t>
      </w:r>
      <w:hyperlink w:anchor="ref-Kraemer2003">
        <w:r>
          <w:rPr>
            <w:rStyle w:val="Hyperlink"/>
          </w:rPr>
          <w:t xml:space="preserve">Kraemer et al., 2003</w:t>
        </w:r>
      </w:hyperlink>
      <w:r>
        <w:t xml:space="preserve">)</w:t>
      </w:r>
      <w:r>
        <w:t xml:space="preserve"> </w:t>
      </w:r>
      <w:r>
        <w:t xml:space="preserve">or latent variable approaches</w:t>
      </w:r>
      <w:r>
        <w:t xml:space="preserve"> </w:t>
      </w:r>
      <w:r>
        <w:t xml:space="preserve">(e.g.,</w:t>
      </w:r>
      <w:r>
        <w:t xml:space="preserve"> </w:t>
      </w:r>
      <w:hyperlink w:anchor="ref-Bauer2013">
        <w:r>
          <w:rPr>
            <w:rStyle w:val="Hyperlink"/>
          </w:rPr>
          <w:t xml:space="preserve">Bauer et al., 2013</w:t>
        </w:r>
      </w:hyperlink>
      <w:r>
        <w:t xml:space="preserve">)</w:t>
      </w:r>
      <w:r>
        <w:t xml:space="preserve">, and others advocate for keeping different informants’ ratings separate without integrating them</w:t>
      </w:r>
      <w:r>
        <w:t xml:space="preserve"> </w:t>
      </w:r>
      <w:r>
        <w:t xml:space="preserve">(but including them in the same model;</w:t>
      </w:r>
      <w:r>
        <w:t xml:space="preserve"> </w:t>
      </w:r>
      <w:hyperlink w:anchor="ref-Aitken2023">
        <w:r>
          <w:rPr>
            <w:rStyle w:val="Hyperlink"/>
          </w:rPr>
          <w:t xml:space="preserve">Aitken et al., 2023</w:t>
        </w:r>
      </w:hyperlink>
      <w:r>
        <w:t xml:space="preserve">)</w:t>
      </w:r>
      <w:r>
        <w:t xml:space="preserve">.</w:t>
      </w:r>
      <w:r>
        <w:t xml:space="preserve"> </w:t>
      </w:r>
      <w:r>
        <w:t xml:space="preserve">As an example of a latent variable modeling approach,</w:t>
      </w:r>
      <w:r>
        <w:t xml:space="preserve"> </w:t>
      </w:r>
      <w:r>
        <w:t xml:space="preserve">Bauer et al. (</w:t>
      </w:r>
      <w:hyperlink w:anchor="ref-Bauer2013">
        <w:r>
          <w:rPr>
            <w:rStyle w:val="Hyperlink"/>
          </w:rPr>
          <w:t xml:space="preserve">2013</w:t>
        </w:r>
      </w:hyperlink>
      <w:r>
        <w:t xml:space="preserve">)</w:t>
      </w:r>
      <w:r>
        <w:t xml:space="preserve"> </w:t>
      </w:r>
      <w:r>
        <w:t xml:space="preserve">demonstrate a trifactor model that attempts to disentangle construct variance from the method effects tied to the specific item and the informant.</w:t>
      </w:r>
      <w:r>
        <w:t xml:space="preserve"> </w:t>
      </w:r>
      <w:r>
        <w:t xml:space="preserve">De Los Reyes et al. (</w:t>
      </w:r>
      <w:hyperlink w:anchor="ref-DeLosReyes2013">
        <w:r>
          <w:rPr>
            <w:rStyle w:val="Hyperlink"/>
          </w:rPr>
          <w:t xml:space="preserve">2013</w:t>
        </w:r>
      </w:hyperlink>
      <w:r>
        <w:t xml:space="preserve">)</w:t>
      </w:r>
      <w:r>
        <w:t xml:space="preserve"> </w:t>
      </w:r>
      <w:r>
        <w:t xml:space="preserve">provide the Operations Triad Model as a framework for using and interpreting reports from multiple informants</w:t>
      </w:r>
      <w:r>
        <w:t xml:space="preserve"> </w:t>
      </w:r>
      <w:r>
        <w:t xml:space="preserve">(for more information, see</w:t>
      </w:r>
      <w:r>
        <w:t xml:space="preserve"> </w:t>
      </w:r>
      <w:hyperlink w:anchor="ref-Makol2025">
        <w:r>
          <w:rPr>
            <w:rStyle w:val="Hyperlink"/>
          </w:rPr>
          <w:t xml:space="preserve">Makol et al., 2025</w:t>
        </w:r>
      </w:hyperlink>
      <w:r>
        <w:t xml:space="preserve">)</w:t>
      </w:r>
      <w:r>
        <w:t xml:space="preserve">.</w:t>
      </w:r>
      <w:r>
        <w:t xml:space="preserve"> </w:t>
      </w:r>
      <w:r>
        <w:t xml:space="preserve">In sum, finding ways to leverage the information from multiple informants will be crucial for studying the development of psychopathology across the lifespan</w:t>
      </w:r>
      <w:r>
        <w:t xml:space="preserve"> </w:t>
      </w:r>
      <w:r>
        <w:t xml:space="preserve">(</w:t>
      </w:r>
      <w:hyperlink w:anchor="ref-DeLosReyes2026">
        <w:r>
          <w:rPr>
            <w:rStyle w:val="Hyperlink"/>
          </w:rPr>
          <w:t xml:space="preserve">De Los Reyes, 2026</w:t>
        </w:r>
      </w:hyperlink>
      <w:r>
        <w:t xml:space="preserve">)</w:t>
      </w:r>
      <w:r>
        <w:t xml:space="preserve">.</w:t>
      </w:r>
    </w:p>
    <w:bookmarkEnd w:id="132"/>
    <w:bookmarkStart w:id="133" w:name="obsolescence-of-items-and-measures"/>
    <w:p>
      <w:pPr>
        <w:pStyle w:val="Heading2"/>
      </w:pPr>
      <w:r>
        <w:t xml:space="preserve">Obsolescence of Items and Measures</w:t>
      </w:r>
    </w:p>
    <w:p>
      <w:pPr>
        <w:pStyle w:val="FirstParagraph"/>
      </w:pPr>
      <w:r>
        <w:t xml:space="preserve">Another challenge is that questionnaire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in which aggressive behavior manifests also change across historical time.</w:t>
      </w:r>
      <w:r>
        <w:t xml:space="preserve"> </w:t>
      </w:r>
      <w:r>
        <w:t xml:space="preserve">Items focused on physical aggression would miss important contemporary manifestations of aggression, including cyberaggression, cyberbullying, online harassment, and aggression on social media (e.g., exclusion).</w:t>
      </w:r>
      <w:r>
        <w:t xml:space="preserve"> </w:t>
      </w:r>
      <w:r>
        <w:t xml:space="preserve">In sum, it is important to keep items relevant for current use, and that naturally means changing item content and/or wording across historical time, a further reason linking of scores (given differing item content) is crucial.</w:t>
      </w:r>
    </w:p>
    <w:bookmarkEnd w:id="133"/>
    <w:bookmarkEnd w:id="134"/>
    <w:bookmarkStart w:id="135" w:name="conclusion"/>
    <w:p>
      <w:pPr>
        <w:pStyle w:val="Heading1"/>
      </w:pPr>
      <w:r>
        <w:t xml:space="preserve">Conclusion</w:t>
      </w:r>
    </w:p>
    <w:p>
      <w:pPr>
        <w:pStyle w:val="FirstParagraph"/>
      </w:pPr>
      <w:r>
        <w:t xml:space="preserve">Due to a variety of challenges—both conceptual and methodological—that we discuss, the field has not adequately studied individuals’ development of psychopathology across the lifespan, instead taking a piecewise approach to development that limits our understanding of lifespan development and the origins of psychopathology.</w:t>
      </w:r>
      <w:r>
        <w:t xml:space="preserve"> </w:t>
      </w:r>
      <w:r>
        <w:t xml:space="preserve">To address these challenges, we discuss the importance of defining psychopathology constructs from a developmental perspective, developing new assessments that (a) capture changes in behavioral manifestation of psychopathology, (b) apply scoring systems that allow charting individuals’ change over time in the face of changing behavioral manifestation, and (c) capture the full range of individual differences.</w:t>
      </w:r>
      <w:r>
        <w:t xml:space="preserve"> </w:t>
      </w:r>
      <w:r>
        <w:t xml:space="preserve">We introduce a developmental scaling framework to help address these challenges.</w:t>
      </w:r>
      <w:r>
        <w:t xml:space="preserve"> </w:t>
      </w: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paper focuses on development of psychopathology, the principles discussed likely apply to many other developmental domains.</w:t>
      </w:r>
    </w:p>
    <w:bookmarkEnd w:id="135"/>
    <w:bookmarkStart w:id="458" w:name="references"/>
    <w:p>
      <w:pPr>
        <w:pStyle w:val="Heading1"/>
      </w:pPr>
      <w:r>
        <w:t xml:space="preserve">References</w:t>
      </w:r>
    </w:p>
    <w:bookmarkStart w:id="457" w:name="refs"/>
    <w:bookmarkStart w:id="136"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w:t>
      </w:r>
      <w:r>
        <w:t xml:space="preserve"> </w:t>
      </w:r>
      <w:r>
        <w:t xml:space="preserve">Inter-individual</w:t>
      </w:r>
      <w:r>
        <w:t xml:space="preserve"> </w:t>
      </w:r>
      <w:r>
        <w:t xml:space="preserve">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46">
        <w:r>
          <w:rPr>
            <w:rStyle w:val="Hyperlink"/>
          </w:rPr>
          <w:t xml:space="preserve">https://doi.org/10.1016/j.arr.2026.103102</w:t>
        </w:r>
      </w:hyperlink>
    </w:p>
    <w:bookmarkEnd w:id="136"/>
    <w:bookmarkStart w:id="138"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37">
        <w:r>
          <w:rPr>
            <w:rStyle w:val="Hyperlink"/>
          </w:rPr>
          <w:t xml:space="preserve">https://doi.org/10.1037/14048-008</w:t>
        </w:r>
      </w:hyperlink>
    </w:p>
    <w:bookmarkEnd w:id="138"/>
    <w:bookmarkStart w:id="140" w:name="ref-Aiken2018"/>
    <w:p>
      <w:pPr>
        <w:pStyle w:val="Bibliography"/>
      </w:pPr>
      <w:r>
        <w:t xml:space="preserve">Aiken, A., Clare, P. J., Wadolowski, M., Hutchinson, D., Najman, J. M., Slade, T., Bruno, R., McBride, N., Kypri, K., &amp; Mattick, R. P. (2018). Age of alcohol initiation and progression to binge drinking in adolescence:</w:t>
      </w:r>
      <w:r>
        <w:t xml:space="preserve"> </w:t>
      </w:r>
      <w:r>
        <w:t xml:space="preserve">A</w:t>
      </w:r>
      <w:r>
        <w:t xml:space="preserve"> </w:t>
      </w:r>
      <w:r>
        <w:t xml:space="preserve">prospective cohort study.</w:t>
      </w:r>
      <w:r>
        <w:t xml:space="preserve"> </w:t>
      </w:r>
      <w:r>
        <w:rPr>
          <w:i/>
          <w:iCs/>
        </w:rPr>
        <w:t xml:space="preserve">Alcoholism: Clinical and Experimental Research</w:t>
      </w:r>
      <w:r>
        <w:t xml:space="preserve">,</w:t>
      </w:r>
      <w:r>
        <w:t xml:space="preserve"> </w:t>
      </w:r>
      <w:r>
        <w:rPr>
          <w:i/>
          <w:iCs/>
        </w:rPr>
        <w:t xml:space="preserve">42</w:t>
      </w:r>
      <w:r>
        <w:t xml:space="preserve">(1), 100–110.</w:t>
      </w:r>
      <w:r>
        <w:t xml:space="preserve"> </w:t>
      </w:r>
      <w:hyperlink r:id="rId139">
        <w:r>
          <w:rPr>
            <w:rStyle w:val="Hyperlink"/>
          </w:rPr>
          <w:t xml:space="preserve">https://doi.org/10.1111/acer.13525</w:t>
        </w:r>
      </w:hyperlink>
    </w:p>
    <w:bookmarkEnd w:id="140"/>
    <w:bookmarkStart w:id="142" w:name="ref-Aitken2023"/>
    <w:p>
      <w:pPr>
        <w:pStyle w:val="Bibliography"/>
      </w:pPr>
      <w:r>
        <w:t xml:space="preserve">Aitken, M., Plamondon, A., Krzeczkowski, J., Kil, H., &amp; Andrade, B. F. (2023). Systematic integration of multi-informant externalizing ratings in clinical settings.</w:t>
      </w:r>
      <w:r>
        <w:t xml:space="preserve"> </w:t>
      </w:r>
      <w:r>
        <w:rPr>
          <w:i/>
          <w:iCs/>
        </w:rPr>
        <w:t xml:space="preserve">Research on Child and Adolescent Psychopathology</w:t>
      </w:r>
      <w:r>
        <w:t xml:space="preserve">.</w:t>
      </w:r>
      <w:r>
        <w:t xml:space="preserve"> </w:t>
      </w:r>
      <w:hyperlink r:id="rId141">
        <w:r>
          <w:rPr>
            <w:rStyle w:val="Hyperlink"/>
          </w:rPr>
          <w:t xml:space="preserve">https://doi.org/10.1007/s10802-023-01119-z</w:t>
        </w:r>
      </w:hyperlink>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2026"/>
    <w:p>
      <w:pPr>
        <w:pStyle w:val="Bibliography"/>
      </w:pPr>
      <w:r>
        <w:t xml:space="preserve">Applegate, B., &amp; Lahey, B. B. (2026). Mapping persistence and change in psychological problems during the transition to adolescence:</w:t>
      </w:r>
      <w:r>
        <w:t xml:space="preserve"> </w:t>
      </w:r>
      <w:r>
        <w:t xml:space="preserve">Adding</w:t>
      </w:r>
      <w:r>
        <w:t xml:space="preserve">, subtracting, shifting, and persisting.</w:t>
      </w:r>
      <w:r>
        <w:t xml:space="preserve"> </w:t>
      </w:r>
      <w:r>
        <w:rPr>
          <w:i/>
          <w:iCs/>
        </w:rPr>
        <w:t xml:space="preserve">JCPP Advances</w:t>
      </w:r>
      <w:r>
        <w:t xml:space="preserve">,</w:t>
      </w:r>
      <w:r>
        <w:t xml:space="preserve"> </w:t>
      </w:r>
      <w:r>
        <w:rPr>
          <w:i/>
          <w:iCs/>
        </w:rPr>
        <w:t xml:space="preserve">6</w:t>
      </w:r>
      <w:r>
        <w:t xml:space="preserve">(2), e70043.</w:t>
      </w:r>
      <w:r>
        <w:t xml:space="preserve"> </w:t>
      </w:r>
      <w:hyperlink r:id="rId144">
        <w:r>
          <w:rPr>
            <w:rStyle w:val="Hyperlink"/>
          </w:rPr>
          <w:t xml:space="preserve">https://doi.org/10.1002/jcv2.70043</w:t>
        </w:r>
      </w:hyperlink>
    </w:p>
    <w:bookmarkEnd w:id="145"/>
    <w:bookmarkStart w:id="147" w:name="ref-Averdijk2014"/>
    <w:p>
      <w:pPr>
        <w:pStyle w:val="Bibliography"/>
      </w:pPr>
      <w:r>
        <w:t xml:space="preserve">Averdijk, M. (2014). Methodological challenges in the study of age−victimization patterns.</w:t>
      </w:r>
      <w:r>
        <w:t xml:space="preserve"> </w:t>
      </w:r>
      <w:r>
        <w:t xml:space="preserve">Can</w:t>
      </w:r>
      <w:r>
        <w:t xml:space="preserve"> </w:t>
      </w:r>
      <w:r>
        <w:t xml:space="preserve">we use the accelerated design of the</w:t>
      </w:r>
      <w:r>
        <w:t xml:space="preserve"> </w:t>
      </w:r>
      <w:r>
        <w:t xml:space="preserve">NCVS</w:t>
      </w:r>
      <w:r>
        <w:t xml:space="preserve"> </w:t>
      </w:r>
      <w:r>
        <w:t xml:space="preserve">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46">
        <w:r>
          <w:rPr>
            <w:rStyle w:val="Hyperlink"/>
          </w:rPr>
          <w:t xml:space="preserve">https://doi.org/10.1177/0269758014537147</w:t>
        </w:r>
      </w:hyperlink>
    </w:p>
    <w:bookmarkEnd w:id="147"/>
    <w:bookmarkStart w:id="149"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8">
        <w:r>
          <w:rPr>
            <w:rStyle w:val="Hyperlink"/>
          </w:rPr>
          <w:t xml:space="preserve">https://doi.org/10.1016/j.jpsychires.2013.08.016</w:t>
        </w:r>
      </w:hyperlink>
    </w:p>
    <w:bookmarkEnd w:id="149"/>
    <w:bookmarkStart w:id="151" w:name="ref-Bates2014"/>
    <w:p>
      <w:pPr>
        <w:pStyle w:val="Bibliography"/>
      </w:pPr>
      <w:r>
        <w:t xml:space="preserve">Bates, J. E., Schermerhorn, A. C., &amp; Petersen, I. T. (2014). Temperament concepts in developmental psychopathology. In K. Rudolph &amp; M. Lewis (Eds.),</w:t>
      </w:r>
      <w:r>
        <w:t xml:space="preserve"> </w:t>
      </w:r>
      <w:r>
        <w:rPr>
          <w:i/>
          <w:iCs/>
        </w:rPr>
        <w:t xml:space="preserve">Handbook of developmental psychopathology</w:t>
      </w:r>
      <w:r>
        <w:t xml:space="preserve"> </w:t>
      </w:r>
      <w:r>
        <w:t xml:space="preserve">(3rd ed., pp. 311–329). Springer.</w:t>
      </w:r>
      <w:r>
        <w:t xml:space="preserve"> </w:t>
      </w:r>
      <w:hyperlink r:id="rId150">
        <w:r>
          <w:rPr>
            <w:rStyle w:val="Hyperlink"/>
          </w:rPr>
          <w:t xml:space="preserve">https://doi.org/10.1007/978-1-4614-9608-3_16</w:t>
        </w:r>
      </w:hyperlink>
    </w:p>
    <w:bookmarkEnd w:id="151"/>
    <w:bookmarkStart w:id="153"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2">
        <w:r>
          <w:rPr>
            <w:rStyle w:val="Hyperlink"/>
          </w:rPr>
          <w:t xml:space="preserve">https://doi.org/10.1037/met0000077</w:t>
        </w:r>
      </w:hyperlink>
    </w:p>
    <w:bookmarkEnd w:id="153"/>
    <w:bookmarkStart w:id="155" w:name="ref-Bauer2013"/>
    <w:p>
      <w:pPr>
        <w:pStyle w:val="Bibliography"/>
      </w:pPr>
      <w:r>
        <w:t xml:space="preserve">Bauer, D. J., Howard, A. L., Baldasaro, R. E., Curran, P. J., Hussong, A. M., Chassin, L., &amp; Zucker, R. A. (2013). A trifactor model for integrating ratings across multiple informants.</w:t>
      </w:r>
      <w:r>
        <w:t xml:space="preserve"> </w:t>
      </w:r>
      <w:r>
        <w:rPr>
          <w:i/>
          <w:iCs/>
        </w:rPr>
        <w:t xml:space="preserve">Psychological Methods</w:t>
      </w:r>
      <w:r>
        <w:t xml:space="preserve">,</w:t>
      </w:r>
      <w:r>
        <w:t xml:space="preserve"> </w:t>
      </w:r>
      <w:r>
        <w:rPr>
          <w:i/>
          <w:iCs/>
        </w:rPr>
        <w:t xml:space="preserve">18</w:t>
      </w:r>
      <w:r>
        <w:t xml:space="preserve">(4), 475–493.</w:t>
      </w:r>
      <w:r>
        <w:t xml:space="preserve"> </w:t>
      </w:r>
      <w:hyperlink r:id="rId154">
        <w:r>
          <w:rPr>
            <w:rStyle w:val="Hyperlink"/>
          </w:rPr>
          <w:t xml:space="preserve">https://doi.org/10.1037/a0032475</w:t>
        </w:r>
      </w:hyperlink>
    </w:p>
    <w:bookmarkEnd w:id="155"/>
    <w:bookmarkStart w:id="157" w:name="ref-Berluti2026"/>
    <w:p>
      <w:pPr>
        <w:pStyle w:val="Bibliography"/>
      </w:pPr>
      <w:r>
        <w:t xml:space="preserve">Berluti, K., Amormino, P., Potter, A., Wshah, S., &amp; Marsh, A. (2026). Machine learning prediction of conduct problems in children using the longitudinal</w:t>
      </w:r>
      <w:r>
        <w:t xml:space="preserve"> </w:t>
      </w:r>
      <w:r>
        <w:t xml:space="preserve">ABCD Study</w:t>
      </w:r>
      <w:r>
        <w:t xml:space="preserve">.</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6">
        <w:r>
          <w:rPr>
            <w:rStyle w:val="Hyperlink"/>
          </w:rPr>
          <w:t xml:space="preserve">https://doi.org/10.1111/jcpp.70057</w:t>
        </w:r>
      </w:hyperlink>
    </w:p>
    <w:bookmarkEnd w:id="157"/>
    <w:bookmarkStart w:id="159"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w:t>
      </w:r>
      <w:r>
        <w:t xml:space="preserve"> </w:t>
      </w:r>
      <w:r>
        <w:t xml:space="preserve">Findings</w:t>
      </w:r>
      <w:r>
        <w:t xml:space="preserve"> </w:t>
      </w:r>
      <w:r>
        <w:t xml:space="preserve">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8">
        <w:r>
          <w:rPr>
            <w:rStyle w:val="Hyperlink"/>
          </w:rPr>
          <w:t xml:space="preserve">https://doi.org/10.1017/S0954579423001505</w:t>
        </w:r>
      </w:hyperlink>
    </w:p>
    <w:bookmarkEnd w:id="159"/>
    <w:bookmarkStart w:id="161"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60">
        <w:r>
          <w:rPr>
            <w:rStyle w:val="Hyperlink"/>
          </w:rPr>
          <w:t xml:space="preserve">https://doi.org/10.1016/j.jaac.2017.05.019</w:t>
        </w:r>
      </w:hyperlink>
    </w:p>
    <w:bookmarkEnd w:id="161"/>
    <w:bookmarkStart w:id="163"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62">
        <w:r>
          <w:rPr>
            <w:rStyle w:val="Hyperlink"/>
          </w:rPr>
          <w:t xml:space="preserve">https://doi.org/10.1111/j.1467-8624.2004.00755.x</w:t>
        </w:r>
      </w:hyperlink>
    </w:p>
    <w:bookmarkEnd w:id="163"/>
    <w:bookmarkStart w:id="164"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5">
        <w:r>
          <w:rPr>
            <w:rStyle w:val="Hyperlink"/>
          </w:rPr>
          <w:t xml:space="preserve">https://doi.org/10.1590/1980-57642018dn12-030001</w:t>
        </w:r>
      </w:hyperlink>
    </w:p>
    <w:bookmarkEnd w:id="164"/>
    <w:bookmarkStart w:id="166"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65">
        <w:r>
          <w:rPr>
            <w:rStyle w:val="Hyperlink"/>
          </w:rPr>
          <w:t xml:space="preserve">https://doi.org/10.1002/9781119125556.devpsy101</w:t>
        </w:r>
      </w:hyperlink>
    </w:p>
    <w:bookmarkEnd w:id="166"/>
    <w:bookmarkStart w:id="168" w:name="ref-Broeren2013"/>
    <w:p>
      <w:pPr>
        <w:pStyle w:val="Bibliography"/>
      </w:pPr>
      <w:r>
        <w:t xml:space="preserve">Broeren, S., Muris, P., Diamantopoulou, S., &amp; Baker, J. R. (2013). The course of childhood anxiety symptoms:</w:t>
      </w:r>
      <w:r>
        <w:t xml:space="preserve"> </w:t>
      </w:r>
      <w:r>
        <w:t xml:space="preserve">Developmental</w:t>
      </w:r>
      <w:r>
        <w:t xml:space="preserve"> </w:t>
      </w:r>
      <w:r>
        <w:t xml:space="preserve">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7">
        <w:r>
          <w:rPr>
            <w:rStyle w:val="Hyperlink"/>
          </w:rPr>
          <w:t xml:space="preserve">https://doi.org/10.1007/s10802-012-9669-9</w:t>
        </w:r>
      </w:hyperlink>
    </w:p>
    <w:bookmarkEnd w:id="168"/>
    <w:bookmarkStart w:id="170"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w:t>
      </w:r>
      <w:r>
        <w:t xml:space="preserve"> </w:t>
      </w:r>
      <w:r>
        <w:t xml:space="preserve">A</w:t>
      </w:r>
      <w:r>
        <w:t xml:space="preserve"> </w:t>
      </w:r>
      <w:r>
        <w:t xml:space="preserve">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9">
        <w:r>
          <w:rPr>
            <w:rStyle w:val="Hyperlink"/>
          </w:rPr>
          <w:t xml:space="preserve">https://doi.org/10.1037/0012-1649.39.2.222</w:t>
        </w:r>
      </w:hyperlink>
    </w:p>
    <w:bookmarkEnd w:id="170"/>
    <w:bookmarkStart w:id="172" w:name="ref-Burns2001"/>
    <w:p>
      <w:pPr>
        <w:pStyle w:val="Bibliography"/>
      </w:pPr>
      <w:r>
        <w:t xml:space="preserve">Burns, G. L., Walsh, J. A., Patterson, D. R., Holte, C. S., Sommers-Flanagan, R., &amp; Parker, C. M. (2001). Attention deficit and disruptive behavior disorder symptoms:</w:t>
      </w:r>
      <w:r>
        <w:t xml:space="preserve"> </w:t>
      </w:r>
      <w:r>
        <w:t xml:space="preserve">Usefulness</w:t>
      </w:r>
      <w:r>
        <w:t xml:space="preserve"> </w:t>
      </w:r>
      <w:r>
        <w:t xml:space="preserve">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71">
        <w:r>
          <w:rPr>
            <w:rStyle w:val="Hyperlink"/>
          </w:rPr>
          <w:t xml:space="preserve">https://doi.org/10.1027/1015-5759.17.1.25</w:t>
        </w:r>
      </w:hyperlink>
    </w:p>
    <w:bookmarkEnd w:id="172"/>
    <w:bookmarkStart w:id="174" w:name="ref-Burt2012"/>
    <w:p>
      <w:pPr>
        <w:pStyle w:val="Bibliography"/>
      </w:pPr>
      <w:r>
        <w:t xml:space="preserve">Burt, S. A. (2012). How do we optimally conceptualize the heterogeneity within antisocial behavior?</w:t>
      </w:r>
      <w:r>
        <w:t xml:space="preserve"> </w:t>
      </w:r>
      <w:r>
        <w:t xml:space="preserve">An</w:t>
      </w:r>
      <w:r>
        <w:t xml:space="preserve"> </w:t>
      </w:r>
      <w:r>
        <w:t xml:space="preserve">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3">
        <w:r>
          <w:rPr>
            <w:rStyle w:val="Hyperlink"/>
          </w:rPr>
          <w:t xml:space="preserve">https://doi.org/10.1016/j.cpr.2012.02.006</w:t>
        </w:r>
      </w:hyperlink>
    </w:p>
    <w:bookmarkEnd w:id="174"/>
    <w:bookmarkStart w:id="176"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5">
        <w:r>
          <w:rPr>
            <w:rStyle w:val="Hyperlink"/>
          </w:rPr>
          <w:t xml:space="preserve">https://doi.org/10.1001/jamanetworkopen.2020.3221</w:t>
        </w:r>
      </w:hyperlink>
    </w:p>
    <w:bookmarkEnd w:id="176"/>
    <w:bookmarkStart w:id="178"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w:t>
      </w:r>
      <w:r>
        <w:t xml:space="preserve"> </w:t>
      </w:r>
      <w:r>
        <w:t xml:space="preserve">One</w:t>
      </w:r>
      <w:r>
        <w:t xml:space="preserve"> </w:t>
      </w:r>
      <w:r>
        <w:t xml:space="preserve">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7">
        <w:r>
          <w:rPr>
            <w:rStyle w:val="Hyperlink"/>
          </w:rPr>
          <w:t xml:space="preserve">https://doi.org/10.1177/2167702613497473</w:t>
        </w:r>
      </w:hyperlink>
    </w:p>
    <w:bookmarkEnd w:id="178"/>
    <w:bookmarkStart w:id="18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9">
        <w:r>
          <w:rPr>
            <w:rStyle w:val="Hyperlink"/>
          </w:rPr>
          <w:t xml:space="preserve">https://doi.org/10.1002/9780470147658.chpsy0306</w:t>
        </w:r>
      </w:hyperlink>
    </w:p>
    <w:bookmarkEnd w:id="180"/>
    <w:bookmarkStart w:id="18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81">
        <w:r>
          <w:rPr>
            <w:rStyle w:val="Hyperlink"/>
          </w:rPr>
          <w:t xml:space="preserve">https://doi.org/10.1007/s40865-015-0012-3</w:t>
        </w:r>
      </w:hyperlink>
    </w:p>
    <w:bookmarkEnd w:id="182"/>
    <w:bookmarkStart w:id="184" w:name="ref-ChenMBR"/>
    <w:p>
      <w:pPr>
        <w:pStyle w:val="Bibliography"/>
      </w:pPr>
      <w:r>
        <w:t xml:space="preserve">Chen, S. M., &amp; Bauer, D. J. (in press a). Improving the evaluation of construct change over time:</w:t>
      </w:r>
      <w:r>
        <w:t xml:space="preserve"> </w:t>
      </w:r>
      <w:r>
        <w:t xml:space="preserve">Advantages</w:t>
      </w:r>
      <w:r>
        <w:t xml:space="preserve"> </w:t>
      </w:r>
      <w:r>
        <w:t xml:space="preserve">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3">
        <w:r>
          <w:rPr>
            <w:rStyle w:val="Hyperlink"/>
          </w:rPr>
          <w:t xml:space="preserve">https://doi.org/10.1080/00273171.2026.2640576</w:t>
        </w:r>
      </w:hyperlink>
    </w:p>
    <w:bookmarkEnd w:id="184"/>
    <w:bookmarkStart w:id="186" w:name="ref-ChenPM"/>
    <w:p>
      <w:pPr>
        <w:pStyle w:val="Bibliography"/>
      </w:pPr>
      <w:r>
        <w:t xml:space="preserve">Chen, S. M., &amp; Bauer, D. J. (in press b). Modeling construct change over time amidst potential changes in construct measurement:</w:t>
      </w:r>
      <w:r>
        <w:t xml:space="preserve"> </w:t>
      </w:r>
      <w:r>
        <w:t xml:space="preserve">A</w:t>
      </w:r>
      <w:r>
        <w:t xml:space="preserve"> </w:t>
      </w:r>
      <w:r>
        <w:t xml:space="preserve">longitudinal moderated factor analysis approach.</w:t>
      </w:r>
      <w:r>
        <w:t xml:space="preserve"> </w:t>
      </w:r>
      <w:r>
        <w:rPr>
          <w:i/>
          <w:iCs/>
        </w:rPr>
        <w:t xml:space="preserve">Psychological Methods</w:t>
      </w:r>
      <w:r>
        <w:t xml:space="preserve">.</w:t>
      </w:r>
      <w:r>
        <w:t xml:space="preserve"> </w:t>
      </w:r>
      <w:hyperlink r:id="rId185">
        <w:r>
          <w:rPr>
            <w:rStyle w:val="Hyperlink"/>
          </w:rPr>
          <w:t xml:space="preserve">https://doi.org/10.1037/met0000685</w:t>
        </w:r>
      </w:hyperlink>
    </w:p>
    <w:bookmarkEnd w:id="186"/>
    <w:bookmarkStart w:id="188"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7">
        <w:r>
          <w:rPr>
            <w:rStyle w:val="Hyperlink"/>
          </w:rPr>
          <w:t xml:space="preserve">https://doi.org/10.14283/jfa.2012.9</w:t>
        </w:r>
      </w:hyperlink>
    </w:p>
    <w:bookmarkEnd w:id="188"/>
    <w:bookmarkStart w:id="190"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9">
        <w:r>
          <w:rPr>
            <w:rStyle w:val="Hyperlink"/>
          </w:rPr>
          <w:t xml:space="preserve">https://doi.org/10.1037/0022-006X.70.1.6</w:t>
        </w:r>
      </w:hyperlink>
    </w:p>
    <w:bookmarkEnd w:id="190"/>
    <w:bookmarkStart w:id="192" w:name="ref-Cieciuch2014"/>
    <w:p>
      <w:pPr>
        <w:pStyle w:val="Bibliography"/>
      </w:pPr>
      <w:r>
        <w:t xml:space="preserve">Cieciuch, J., Davidov, E., Schmidt, P., Algesheimer, R., &amp; Schwartz, S. H. (2014). Comparing results of an exact vs.</w:t>
      </w:r>
      <w:r>
        <w:t xml:space="preserve"> </w:t>
      </w:r>
      <w:r>
        <w:t xml:space="preserve">an</w:t>
      </w:r>
      <w:r>
        <w:t xml:space="preserve"> </w:t>
      </w:r>
      <w:r>
        <w:t xml:space="preserve">approximate (</w:t>
      </w:r>
      <w:r>
        <w:t xml:space="preserve">Bayesian</w:t>
      </w:r>
      <w:r>
        <w:t xml:space="preserve">) measurement invariance test:</w:t>
      </w:r>
      <w:r>
        <w:t xml:space="preserve"> </w:t>
      </w:r>
      <w:r>
        <w:t xml:space="preserve">A</w:t>
      </w:r>
      <w:r>
        <w:t xml:space="preserve"> </w:t>
      </w:r>
      <w:r>
        <w:t xml:space="preserve">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91">
        <w:r>
          <w:rPr>
            <w:rStyle w:val="Hyperlink"/>
          </w:rPr>
          <w:t xml:space="preserve">https://doi.org/10.3389/fpsyg.2014.00982</w:t>
        </w:r>
      </w:hyperlink>
    </w:p>
    <w:bookmarkEnd w:id="192"/>
    <w:bookmarkStart w:id="194" w:name="ref-Coghill2012"/>
    <w:p>
      <w:pPr>
        <w:pStyle w:val="Bibliography"/>
      </w:pPr>
      <w:r>
        <w:t xml:space="preserve">Coghill, D., &amp; Sonuga-Barke, E. J. S. (2012).</w:t>
      </w:r>
      <w:r>
        <w:t xml:space="preserve"> </w:t>
      </w:r>
      <w:r>
        <w:t xml:space="preserve">Annual Research Review</w:t>
      </w:r>
      <w:r>
        <w:t xml:space="preserve">:</w:t>
      </w:r>
      <w:r>
        <w:t xml:space="preserve"> </w:t>
      </w:r>
      <w:r>
        <w:t xml:space="preserve">Categories</w:t>
      </w:r>
      <w:r>
        <w:t xml:space="preserve"> </w:t>
      </w:r>
      <w:r>
        <w:t xml:space="preserve">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3">
        <w:r>
          <w:rPr>
            <w:rStyle w:val="Hyperlink"/>
          </w:rPr>
          <w:t xml:space="preserve">https://doi.org/10.1111/j.1469-7610.2011.02511.x</w:t>
        </w:r>
      </w:hyperlink>
    </w:p>
    <w:bookmarkEnd w:id="194"/>
    <w:bookmarkStart w:id="196"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5">
        <w:r>
          <w:rPr>
            <w:rStyle w:val="Hyperlink"/>
          </w:rPr>
          <w:t xml:space="preserve">https://doi.org/10.1177/0146621612470210</w:t>
        </w:r>
      </w:hyperlink>
    </w:p>
    <w:bookmarkEnd w:id="196"/>
    <w:bookmarkStart w:id="198" w:name="ref-Curran2008"/>
    <w:p>
      <w:pPr>
        <w:pStyle w:val="Bibliography"/>
      </w:pPr>
      <w:r>
        <w:t xml:space="preserve">Curran, P. J., Hussong, A. M., Cai, L., Huang, W., Chassin, L., Sher, K. J., &amp; Zucker, R. A. (2008). Pooling data from multiple longitudinal studies:</w:t>
      </w:r>
      <w:r>
        <w:t xml:space="preserve"> </w:t>
      </w:r>
      <w:r>
        <w:t xml:space="preserve">The</w:t>
      </w:r>
      <w:r>
        <w:t xml:space="preserve"> </w:t>
      </w:r>
      <w:r>
        <w:t xml:space="preserve">role of item response theory in integrative data analysis.</w:t>
      </w:r>
      <w:r>
        <w:t xml:space="preserve"> </w:t>
      </w:r>
      <w:r>
        <w:rPr>
          <w:i/>
          <w:iCs/>
        </w:rPr>
        <w:t xml:space="preserve">Developmental Psychology</w:t>
      </w:r>
      <w:r>
        <w:t xml:space="preserve">,</w:t>
      </w:r>
      <w:r>
        <w:t xml:space="preserve"> </w:t>
      </w:r>
      <w:r>
        <w:rPr>
          <w:i/>
          <w:iCs/>
        </w:rPr>
        <w:t xml:space="preserve">44</w:t>
      </w:r>
      <w:r>
        <w:t xml:space="preserve">(2), 365.</w:t>
      </w:r>
      <w:r>
        <w:t xml:space="preserve"> </w:t>
      </w:r>
      <w:hyperlink r:id="rId197">
        <w:r>
          <w:rPr>
            <w:rStyle w:val="Hyperlink"/>
          </w:rPr>
          <w:t xml:space="preserve">https://doi.org/10.1037/0012-1649.44.2.365</w:t>
        </w:r>
      </w:hyperlink>
    </w:p>
    <w:bookmarkEnd w:id="198"/>
    <w:bookmarkStart w:id="20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9">
        <w:r>
          <w:rPr>
            <w:rStyle w:val="Hyperlink"/>
          </w:rPr>
          <w:t xml:space="preserve">https://doi.org/10.1080/00273171.2014.889594</w:t>
        </w:r>
      </w:hyperlink>
    </w:p>
    <w:bookmarkEnd w:id="200"/>
    <w:bookmarkStart w:id="202" w:name="ref-DeLosReyes2026"/>
    <w:p>
      <w:pPr>
        <w:pStyle w:val="Bibliography"/>
      </w:pPr>
      <w:r>
        <w:t xml:space="preserve">De Los Reyes, A. (2026). Toward integrative, multisource, and multimodal approaches to assessing psychopathology intergenerationally and across the lifespan:</w:t>
      </w:r>
      <w:r>
        <w:t xml:space="preserve"> </w:t>
      </w:r>
      <w:r>
        <w:t xml:space="preserve">Commentary</w:t>
      </w:r>
      <w:r>
        <w:t xml:space="preserve"> </w:t>
      </w:r>
      <w:r>
        <w:t xml:space="preserve">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201">
        <w:r>
          <w:rPr>
            <w:rStyle w:val="Hyperlink"/>
          </w:rPr>
          <w:t xml:space="preserve">https://doi.org/10.1037/abn0001084</w:t>
        </w:r>
      </w:hyperlink>
    </w:p>
    <w:bookmarkEnd w:id="202"/>
    <w:bookmarkStart w:id="204" w:name="ref-DeLosReyes2025"/>
    <w:p>
      <w:pPr>
        <w:pStyle w:val="Bibliography"/>
      </w:pPr>
      <w:r>
        <w:t xml:space="preserve">De Los Reyes, A., L., O. F., J., R. S., Armando, P., D., M. B., Mo, W., &amp; Charamut, N. R. and. (2025). Editorial:</w:t>
      </w:r>
      <w:r>
        <w:t xml:space="preserve"> </w:t>
      </w:r>
      <w:r>
        <w:t xml:space="preserve">Fairness</w:t>
      </w:r>
      <w:r>
        <w:t xml:space="preserve">,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203">
        <w:r>
          <w:rPr>
            <w:rStyle w:val="Hyperlink"/>
          </w:rPr>
          <w:t xml:space="preserve">https://doi.org/10.1080/15374416.2025.2484813</w:t>
        </w:r>
      </w:hyperlink>
    </w:p>
    <w:bookmarkEnd w:id="204"/>
    <w:bookmarkStart w:id="206" w:name="ref-DeLosReyes2013"/>
    <w:p>
      <w:pPr>
        <w:pStyle w:val="Bibliography"/>
      </w:pPr>
      <w:r>
        <w:t xml:space="preserve">De Los Reyes, A., Thomas, S. A., Goodman, K. L., &amp; Kundey, S. M. A. (2013). Principles underlying the use of multiple informants’ reports.</w:t>
      </w:r>
      <w:r>
        <w:t xml:space="preserve"> </w:t>
      </w:r>
      <w:r>
        <w:rPr>
          <w:i/>
          <w:iCs/>
        </w:rPr>
        <w:t xml:space="preserve">Annual Review of Clinical Psychology</w:t>
      </w:r>
      <w:r>
        <w:t xml:space="preserve">,</w:t>
      </w:r>
      <w:r>
        <w:t xml:space="preserve"> </w:t>
      </w:r>
      <w:r>
        <w:rPr>
          <w:i/>
          <w:iCs/>
        </w:rPr>
        <w:t xml:space="preserve">9</w:t>
      </w:r>
      <w:r>
        <w:t xml:space="preserve">(1), 123–149.</w:t>
      </w:r>
      <w:r>
        <w:t xml:space="preserve"> </w:t>
      </w:r>
      <w:hyperlink r:id="rId205">
        <w:r>
          <w:rPr>
            <w:rStyle w:val="Hyperlink"/>
          </w:rPr>
          <w:t xml:space="preserve">https://doi.org/10.1146/annurev-clinpsy-050212-185617</w:t>
        </w:r>
      </w:hyperlink>
    </w:p>
    <w:bookmarkEnd w:id="206"/>
    <w:bookmarkStart w:id="20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207">
        <w:r>
          <w:rPr>
            <w:rStyle w:val="Hyperlink"/>
          </w:rPr>
          <w:t xml:space="preserve">https://doi.org/10.1126/science.2270481</w:t>
        </w:r>
      </w:hyperlink>
    </w:p>
    <w:bookmarkEnd w:id="208"/>
    <w:bookmarkStart w:id="210" w:name="ref-Edwards2012"/>
    <w:p>
      <w:pPr>
        <w:pStyle w:val="Bibliography"/>
      </w:pPr>
      <w:r>
        <w:t xml:space="preserve">Edwards, M. C., &amp; Wirth, R. J. (2012). Valid measurement without factorial invariance:</w:t>
      </w:r>
      <w:r>
        <w:t xml:space="preserve"> </w:t>
      </w:r>
      <w:r>
        <w:t xml:space="preserve">A</w:t>
      </w:r>
      <w:r>
        <w:t xml:space="preserve"> </w:t>
      </w:r>
      <w:r>
        <w:t xml:space="preserve">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9">
        <w:r>
          <w:rPr>
            <w:rStyle w:val="Hyperlink"/>
          </w:rPr>
          <w:t xml:space="preserve">https://doi.org/10.1108/978-1-61735-891-320251015</w:t>
        </w:r>
      </w:hyperlink>
    </w:p>
    <w:bookmarkEnd w:id="210"/>
    <w:bookmarkStart w:id="212"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11">
        <w:r>
          <w:rPr>
            <w:rStyle w:val="Hyperlink"/>
          </w:rPr>
          <w:t xml:space="preserve">https://doi.org/10.2307/2095245</w:t>
        </w:r>
      </w:hyperlink>
    </w:p>
    <w:bookmarkEnd w:id="212"/>
    <w:bookmarkStart w:id="213" w:name="ref-Enders2022"/>
    <w:p>
      <w:pPr>
        <w:pStyle w:val="Bibliography"/>
      </w:pPr>
      <w:r>
        <w:t xml:space="preserve">Enders, C. K. (2022).</w:t>
      </w:r>
      <w:r>
        <w:t xml:space="preserve"> </w:t>
      </w:r>
      <w:r>
        <w:rPr>
          <w:i/>
          <w:iCs/>
        </w:rPr>
        <w:t xml:space="preserve">Applied missing data analysis</w:t>
      </w:r>
      <w:r>
        <w:t xml:space="preserve">. Guilford Publications.</w:t>
      </w:r>
    </w:p>
    <w:bookmarkEnd w:id="213"/>
    <w:bookmarkStart w:id="215" w:name="ref-Enders2025"/>
    <w:p>
      <w:pPr>
        <w:pStyle w:val="Bibliography"/>
      </w:pPr>
      <w:r>
        <w:t xml:space="preserve">Enders, C. K. (2025). Missing data:</w:t>
      </w:r>
      <w:r>
        <w:t xml:space="preserve"> </w:t>
      </w:r>
      <w:r>
        <w:t xml:space="preserve">An</w:t>
      </w:r>
      <w:r>
        <w:t xml:space="preserve"> </w:t>
      </w:r>
      <w:r>
        <w:t xml:space="preserve">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214">
        <w:r>
          <w:rPr>
            <w:rStyle w:val="Hyperlink"/>
          </w:rPr>
          <w:t xml:space="preserve">https://doi.org/10.1037/met0000563</w:t>
        </w:r>
      </w:hyperlink>
    </w:p>
    <w:bookmarkEnd w:id="215"/>
    <w:bookmarkStart w:id="217" w:name="ref-Fairchild2013"/>
    <w:p>
      <w:pPr>
        <w:pStyle w:val="Bibliography"/>
      </w:pPr>
      <w:r>
        <w:t xml:space="preserve">Fairchild, G., Goozen, S. H. M. van, Calder, A. J., &amp; Goodyer, I. M. (2013).</w:t>
      </w:r>
      <w:r>
        <w:t xml:space="preserve"> </w:t>
      </w:r>
      <w:r>
        <w:t xml:space="preserve">Research Review</w:t>
      </w:r>
      <w:r>
        <w:t xml:space="preserve">:</w:t>
      </w:r>
      <w:r>
        <w:t xml:space="preserve"> </w:t>
      </w:r>
      <w:r>
        <w:t xml:space="preserve">Evaluating and reformulating the developmental taxonomic theory of antisocial behaviour</w:t>
      </w:r>
      <w:r>
        <w:t xml:space="preserve">.</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16">
        <w:r>
          <w:rPr>
            <w:rStyle w:val="Hyperlink"/>
          </w:rPr>
          <w:t xml:space="preserve">https://doi.org/10.1111/jcpp.12102</w:t>
        </w:r>
      </w:hyperlink>
    </w:p>
    <w:bookmarkEnd w:id="217"/>
    <w:bookmarkStart w:id="219" w:name="ref-Farrington2023"/>
    <w:p>
      <w:pPr>
        <w:pStyle w:val="Bibliography"/>
      </w:pPr>
      <w:r>
        <w:t xml:space="preserve">Farrington, D. P., Piquero, A. R., Jennings, W. G., &amp; Jolliffe, D. (2023).</w:t>
      </w:r>
      <w:r>
        <w:t xml:space="preserve"> </w:t>
      </w:r>
      <w:r>
        <w:rPr>
          <w:i/>
          <w:iCs/>
        </w:rPr>
        <w:t xml:space="preserve">Offending from childhood to late middle age:</w:t>
      </w:r>
      <w:r>
        <w:rPr>
          <w:i/>
          <w:iCs/>
        </w:rPr>
        <w:t xml:space="preserve"> </w:t>
      </w:r>
      <w:r>
        <w:rPr>
          <w:i/>
          <w:iCs/>
        </w:rPr>
        <w:t xml:space="preserve">Recent</w:t>
      </w:r>
      <w:r>
        <w:rPr>
          <w:i/>
          <w:iCs/>
        </w:rPr>
        <w:t xml:space="preserve"> </w:t>
      </w:r>
      <w:r>
        <w:rPr>
          <w:i/>
          <w:iCs/>
        </w:rPr>
        <w:t xml:space="preserve">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18">
        <w:r>
          <w:rPr>
            <w:rStyle w:val="Hyperlink"/>
          </w:rPr>
          <w:t xml:space="preserve">https://doi.org/10.1007/978-1-0716-3335-9_5</w:t>
        </w:r>
      </w:hyperlink>
    </w:p>
    <w:bookmarkEnd w:id="219"/>
    <w:bookmarkStart w:id="221"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220">
        <w:r>
          <w:rPr>
            <w:rStyle w:val="Hyperlink"/>
          </w:rPr>
          <w:t xml:space="preserve">https://doi.org/10.1037/0882-7974.19.2.243</w:t>
        </w:r>
      </w:hyperlink>
    </w:p>
    <w:bookmarkEnd w:id="221"/>
    <w:bookmarkStart w:id="223" w:name="ref-Forbes2016"/>
    <w:p>
      <w:pPr>
        <w:pStyle w:val="Bibliography"/>
      </w:pPr>
      <w:r>
        <w:t xml:space="preserve">Forbes, M. K., Tackett, J. L., Markon, K. E., &amp; Krueger, R. F. (2016). Beyond comorbidity:</w:t>
      </w:r>
      <w:r>
        <w:t xml:space="preserve"> </w:t>
      </w:r>
      <w:r>
        <w:t xml:space="preserve">Toward</w:t>
      </w:r>
      <w:r>
        <w:t xml:space="preserve"> </w:t>
      </w:r>
      <w:r>
        <w:t xml:space="preserve">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22">
        <w:r>
          <w:rPr>
            <w:rStyle w:val="Hyperlink"/>
          </w:rPr>
          <w:t xml:space="preserve">https://doi.org/10.1017/S0954579416000651</w:t>
        </w:r>
      </w:hyperlink>
    </w:p>
    <w:bookmarkEnd w:id="223"/>
    <w:bookmarkStart w:id="225" w:name="ref-Frick2004"/>
    <w:p>
      <w:pPr>
        <w:pStyle w:val="Bibliography"/>
      </w:pPr>
      <w:r>
        <w:t xml:space="preserve">Frick, P. J., &amp; Morris, A. S. (2004). Temperament and developmental pathways to conduct problems.</w:t>
      </w:r>
      <w:r>
        <w:t xml:space="preserve"> </w:t>
      </w:r>
      <w:r>
        <w:rPr>
          <w:i/>
          <w:iCs/>
        </w:rPr>
        <w:t xml:space="preserve">Journal of Clinical Child &amp; Adolescent Psychology</w:t>
      </w:r>
      <w:r>
        <w:t xml:space="preserve">,</w:t>
      </w:r>
      <w:r>
        <w:t xml:space="preserve"> </w:t>
      </w:r>
      <w:r>
        <w:rPr>
          <w:i/>
          <w:iCs/>
        </w:rPr>
        <w:t xml:space="preserve">33</w:t>
      </w:r>
      <w:r>
        <w:t xml:space="preserve">(1), 54–68.</w:t>
      </w:r>
      <w:r>
        <w:t xml:space="preserve"> </w:t>
      </w:r>
      <w:hyperlink r:id="rId224">
        <w:r>
          <w:rPr>
            <w:rStyle w:val="Hyperlink"/>
          </w:rPr>
          <w:t xml:space="preserve">https://doi.org/10.1207/S15374424JCCP3301_6</w:t>
        </w:r>
      </w:hyperlink>
    </w:p>
    <w:bookmarkEnd w:id="225"/>
    <w:bookmarkStart w:id="227" w:name="ref-Funder2024"/>
    <w:p>
      <w:pPr>
        <w:pStyle w:val="Bibliography"/>
      </w:pPr>
      <w:r>
        <w:t xml:space="preserve">Funder, D. C., &amp; Gardiner, G. (2024).</w:t>
      </w:r>
      <w:r>
        <w:t xml:space="preserve"> </w:t>
      </w:r>
      <w:r>
        <w:t xml:space="preserve">MIsgivings</w:t>
      </w:r>
      <w:r>
        <w:t xml:space="preserve"> </w:t>
      </w:r>
      <w:r>
        <w:t xml:space="preserve">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26">
        <w:r>
          <w:rPr>
            <w:rStyle w:val="Hyperlink"/>
          </w:rPr>
          <w:t xml:space="preserve">https://doi.org/10.1177/08902070241228338</w:t>
        </w:r>
      </w:hyperlink>
    </w:p>
    <w:bookmarkEnd w:id="227"/>
    <w:bookmarkStart w:id="228"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28"/>
    <w:bookmarkStart w:id="230" w:name="ref-Godoy2021"/>
    <w:p>
      <w:pPr>
        <w:pStyle w:val="Bibliography"/>
      </w:pPr>
      <w:r>
        <w:t xml:space="preserve">Godoy, L. L. de, Alves, C. A. P. F., Saavedra, J. S. M., Studart-Neto, A., Nitrini, R., Costa Leite, C. da, &amp; Bisdas, S. (2021). Understanding brain resilience in superagers:</w:t>
      </w:r>
      <w:r>
        <w:t xml:space="preserve"> </w:t>
      </w:r>
      <w:r>
        <w:t xml:space="preserve">A</w:t>
      </w:r>
      <w:r>
        <w:t xml:space="preserve"> </w:t>
      </w:r>
      <w:r>
        <w:t xml:space="preserve">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29">
        <w:r>
          <w:rPr>
            <w:rStyle w:val="Hyperlink"/>
          </w:rPr>
          <w:t xml:space="preserve">https://doi.org/10.1007/s00234-020-02562-1</w:t>
        </w:r>
      </w:hyperlink>
    </w:p>
    <w:bookmarkEnd w:id="230"/>
    <w:bookmarkStart w:id="232"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31">
        <w:r>
          <w:rPr>
            <w:rStyle w:val="Hyperlink"/>
          </w:rPr>
          <w:t xml:space="preserve">https://doi.org/10.1017/S0954579421001772</w:t>
        </w:r>
      </w:hyperlink>
    </w:p>
    <w:bookmarkEnd w:id="232"/>
    <w:bookmarkStart w:id="234"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33">
        <w:r>
          <w:rPr>
            <w:rStyle w:val="Hyperlink"/>
          </w:rPr>
          <w:t xml:space="preserve">https://doi.org/10.1378/chest.116.5.1208</w:t>
        </w:r>
      </w:hyperlink>
    </w:p>
    <w:bookmarkEnd w:id="234"/>
    <w:bookmarkStart w:id="236"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35">
        <w:r>
          <w:rPr>
            <w:rStyle w:val="Hyperlink"/>
          </w:rPr>
          <w:t xml:space="preserve">https://doi.org/10.22237/jmasm/1209614640</w:t>
        </w:r>
      </w:hyperlink>
    </w:p>
    <w:bookmarkEnd w:id="236"/>
    <w:bookmarkStart w:id="238"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37">
        <w:r>
          <w:rPr>
            <w:rStyle w:val="Hyperlink"/>
          </w:rPr>
          <w:t xml:space="preserve">https://quantitudepod.org/latent-means/ (archived at: https://perma.cc/5JL3-YUPA)</w:t>
        </w:r>
      </w:hyperlink>
    </w:p>
    <w:bookmarkEnd w:id="238"/>
    <w:bookmarkStart w:id="240"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39">
        <w:r>
          <w:rPr>
            <w:rStyle w:val="Hyperlink"/>
          </w:rPr>
          <w:t xml:space="preserve">https://doi.org/10.1017/S0954579424000713</w:t>
        </w:r>
      </w:hyperlink>
    </w:p>
    <w:bookmarkEnd w:id="240"/>
    <w:bookmarkStart w:id="242" w:name="ref-Haslam2012"/>
    <w:p>
      <w:pPr>
        <w:pStyle w:val="Bibliography"/>
      </w:pPr>
      <w:r>
        <w:t xml:space="preserve">Haslam, N., Holland, E., &amp; Kuppens, P. (2012). Categories versus dimensions in personality and psychopathology:</w:t>
      </w:r>
      <w:r>
        <w:t xml:space="preserve"> </w:t>
      </w:r>
      <w:r>
        <w:t xml:space="preserve">A</w:t>
      </w:r>
      <w:r>
        <w:t xml:space="preserve"> </w:t>
      </w:r>
      <w:r>
        <w:t xml:space="preserve">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41">
        <w:r>
          <w:rPr>
            <w:rStyle w:val="Hyperlink"/>
          </w:rPr>
          <w:t xml:space="preserve">https://doi.org/10.1017/S0033291711001966</w:t>
        </w:r>
      </w:hyperlink>
    </w:p>
    <w:bookmarkEnd w:id="242"/>
    <w:bookmarkStart w:id="244" w:name="ref-Haslam2020"/>
    <w:p>
      <w:pPr>
        <w:pStyle w:val="Bibliography"/>
      </w:pPr>
      <w:r>
        <w:t xml:space="preserve">Haslam, N., McGrath, M. J., Viechtbauer, W., &amp; Kuppens, P. (2020). Dimensions over categories:</w:t>
      </w:r>
      <w:r>
        <w:t xml:space="preserve"> </w:t>
      </w:r>
      <w:r>
        <w:t xml:space="preserve">A</w:t>
      </w:r>
      <w:r>
        <w:t xml:space="preserve"> </w:t>
      </w:r>
      <w:r>
        <w:t xml:space="preserve">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43">
        <w:r>
          <w:rPr>
            <w:rStyle w:val="Hyperlink"/>
          </w:rPr>
          <w:t xml:space="preserve">https://doi.org/10.1017/S003329172000183X</w:t>
        </w:r>
      </w:hyperlink>
    </w:p>
    <w:bookmarkEnd w:id="244"/>
    <w:bookmarkStart w:id="246" w:name="ref-Hertzog2003"/>
    <w:p>
      <w:pPr>
        <w:pStyle w:val="Bibliography"/>
      </w:pPr>
      <w:r>
        <w:t xml:space="preserve">Hertzog, C., &amp; Nesselroade, J. R. (2003). Assessing psychological change in adulthood:</w:t>
      </w:r>
      <w:r>
        <w:t xml:space="preserve"> </w:t>
      </w:r>
      <w:r>
        <w:t xml:space="preserve">An</w:t>
      </w:r>
      <w:r>
        <w:t xml:space="preserve"> </w:t>
      </w:r>
      <w:r>
        <w:t xml:space="preserve">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45">
        <w:r>
          <w:rPr>
            <w:rStyle w:val="Hyperlink"/>
          </w:rPr>
          <w:t xml:space="preserve">https://doi.org/10.1037/0882-7974.18.4.639</w:t>
        </w:r>
      </w:hyperlink>
    </w:p>
    <w:bookmarkEnd w:id="246"/>
    <w:bookmarkStart w:id="248" w:name="ref-Hosch2022"/>
    <w:p>
      <w:pPr>
        <w:pStyle w:val="Bibliography"/>
      </w:pPr>
      <w:r>
        <w:t xml:space="preserve">Hosch, A., Oleson, J. J., Harris, J. L., Goeltz, M. T., Neumann, T., LeBeau, B., Hazeltine, E., &amp; Petersen, I. T. (2022). Studying children’s growth in self-regulation using changing measures to account for heterotypic continuity:</w:t>
      </w:r>
      <w:r>
        <w:t xml:space="preserve"> </w:t>
      </w:r>
      <w:r>
        <w:t xml:space="preserve">A</w:t>
      </w:r>
      <w:r>
        <w:t xml:space="preserve"> </w:t>
      </w:r>
      <w:r>
        <w:t xml:space="preserve">Bayesian</w:t>
      </w:r>
      <w:r>
        <w:t xml:space="preserve"> </w:t>
      </w:r>
      <w:r>
        <w:t xml:space="preserve">approach to developmental scaling.</w:t>
      </w:r>
      <w:r>
        <w:t xml:space="preserve"> </w:t>
      </w:r>
      <w:r>
        <w:rPr>
          <w:i/>
          <w:iCs/>
        </w:rPr>
        <w:t xml:space="preserve">Developmental Science</w:t>
      </w:r>
      <w:r>
        <w:t xml:space="preserve">,</w:t>
      </w:r>
      <w:r>
        <w:t xml:space="preserve"> </w:t>
      </w:r>
      <w:r>
        <w:rPr>
          <w:i/>
          <w:iCs/>
        </w:rPr>
        <w:t xml:space="preserve">25</w:t>
      </w:r>
      <w:r>
        <w:t xml:space="preserve">(6), e13280.</w:t>
      </w:r>
      <w:r>
        <w:t xml:space="preserve"> </w:t>
      </w:r>
      <w:hyperlink r:id="rId247">
        <w:r>
          <w:rPr>
            <w:rStyle w:val="Hyperlink"/>
          </w:rPr>
          <w:t xml:space="preserve">https://doi.org/10.1111/desc.13280</w:t>
        </w:r>
      </w:hyperlink>
    </w:p>
    <w:bookmarkEnd w:id="248"/>
    <w:bookmarkStart w:id="250"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49">
        <w:r>
          <w:rPr>
            <w:rStyle w:val="Hyperlink"/>
          </w:rPr>
          <w:t xml:space="preserve">https://doi.org/10.1176/appi.ajp.2008.08030366</w:t>
        </w:r>
      </w:hyperlink>
    </w:p>
    <w:bookmarkEnd w:id="250"/>
    <w:bookmarkStart w:id="252" w:name="ref-Kaat2019"/>
    <w:p>
      <w:pPr>
        <w:pStyle w:val="Bibliography"/>
      </w:pPr>
      <w:r>
        <w:t xml:space="preserve">Kaat, A. J., Blackwell, C. K., Estabrook, R., Burns, J. L., Petitclerc, A., Briggs-Gowan, M. J., Gershon, R. C., Cella, D., Perlman, S. B., &amp; Wakschlag, L. S. (2019). Linking the</w:t>
      </w:r>
      <w:r>
        <w:t xml:space="preserve"> </w:t>
      </w:r>
      <w:r>
        <w:t xml:space="preserve">Child Behavior Checklist</w:t>
      </w:r>
      <w:r>
        <w:t xml:space="preserve"> </w:t>
      </w:r>
      <w:r>
        <w:t xml:space="preserve">(</w:t>
      </w:r>
      <w:r>
        <w:t xml:space="preserve">CBCL</w:t>
      </w:r>
      <w:r>
        <w:t xml:space="preserve">) with the</w:t>
      </w:r>
      <w:r>
        <w:t xml:space="preserve"> </w:t>
      </w:r>
      <w:r>
        <w:t xml:space="preserve">Multidimensional Assessment Profile of Disruptive Behavior</w:t>
      </w:r>
      <w:r>
        <w:t xml:space="preserve"> </w:t>
      </w:r>
      <w:r>
        <w:t xml:space="preserve">(</w:t>
      </w:r>
      <w:r>
        <w:t xml:space="preserve">MAP-DB</w:t>
      </w:r>
      <w:r>
        <w:t xml:space="preserve">):</w:t>
      </w:r>
      <w:r>
        <w:t xml:space="preserve"> </w:t>
      </w:r>
      <w:r>
        <w:t xml:space="preserve">Advancing</w:t>
      </w:r>
      <w:r>
        <w:t xml:space="preserve"> </w:t>
      </w:r>
      <w:r>
        <w:t xml:space="preserve">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51">
        <w:r>
          <w:rPr>
            <w:rStyle w:val="Hyperlink"/>
          </w:rPr>
          <w:t xml:space="preserve">https://doi.org/10.1007/s10826-018-1272-4</w:t>
        </w:r>
      </w:hyperlink>
    </w:p>
    <w:bookmarkEnd w:id="252"/>
    <w:bookmarkStart w:id="253"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53"/>
    <w:bookmarkStart w:id="254" w:name="ref-Kagan1971"/>
    <w:p>
      <w:pPr>
        <w:pStyle w:val="Bibliography"/>
      </w:pPr>
      <w:r>
        <w:t xml:space="preserve">Kagan, J. (1971).</w:t>
      </w:r>
      <w:r>
        <w:t xml:space="preserve"> </w:t>
      </w:r>
      <w:r>
        <w:rPr>
          <w:i/>
          <w:iCs/>
        </w:rPr>
        <w:t xml:space="preserve">Change and continuity in infancy</w:t>
      </w:r>
      <w:r>
        <w:t xml:space="preserve">. Wiley.</w:t>
      </w:r>
    </w:p>
    <w:bookmarkEnd w:id="254"/>
    <w:bookmarkStart w:id="255"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55"/>
    <w:bookmarkStart w:id="257" w:name="ref-Kagan1962"/>
    <w:p>
      <w:pPr>
        <w:pStyle w:val="Bibliography"/>
      </w:pPr>
      <w:r>
        <w:t xml:space="preserve">Kagan, J., &amp; Moss, H. A. (1962).</w:t>
      </w:r>
      <w:r>
        <w:t xml:space="preserve"> </w:t>
      </w:r>
      <w:r>
        <w:rPr>
          <w:i/>
          <w:iCs/>
        </w:rPr>
        <w:t xml:space="preserve">Birth to maturity:</w:t>
      </w:r>
      <w:r>
        <w:rPr>
          <w:i/>
          <w:iCs/>
        </w:rPr>
        <w:t xml:space="preserve"> </w:t>
      </w:r>
      <w:r>
        <w:rPr>
          <w:i/>
          <w:iCs/>
        </w:rPr>
        <w:t xml:space="preserve">A</w:t>
      </w:r>
      <w:r>
        <w:rPr>
          <w:i/>
          <w:iCs/>
        </w:rPr>
        <w:t xml:space="preserve"> </w:t>
      </w:r>
      <w:r>
        <w:rPr>
          <w:i/>
          <w:iCs/>
        </w:rPr>
        <w:t xml:space="preserve">study in psychological development</w:t>
      </w:r>
      <w:r>
        <w:t xml:space="preserve">. Wiley.</w:t>
      </w:r>
      <w:r>
        <w:t xml:space="preserve"> </w:t>
      </w:r>
      <w:hyperlink r:id="rId256">
        <w:r>
          <w:rPr>
            <w:rStyle w:val="Hyperlink"/>
          </w:rPr>
          <w:t xml:space="preserve">https://doi.org/10.1037/13129-000</w:t>
        </w:r>
      </w:hyperlink>
    </w:p>
    <w:bookmarkEnd w:id="257"/>
    <w:bookmarkStart w:id="259" w:name="ref-Keijsers2012"/>
    <w:p>
      <w:pPr>
        <w:pStyle w:val="Bibliography"/>
      </w:pPr>
      <w:r>
        <w:t xml:space="preserve">Keijsers, L., Loeber, R., Branje, S., &amp; Meeus, W. (2012). Parent-child relationships of boys in different offending trajectories.</w:t>
      </w:r>
      <w:r>
        <w:t xml:space="preserve"> </w:t>
      </w:r>
      <w:r>
        <w:t xml:space="preserve">A</w:t>
      </w:r>
      <w:r>
        <w:t xml:space="preserve"> </w:t>
      </w:r>
      <w:r>
        <w:t xml:space="preserve">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58">
        <w:r>
          <w:rPr>
            <w:rStyle w:val="Hyperlink"/>
          </w:rPr>
          <w:t xml:space="preserve">https://doi.org/10.1111/j.1469-7610.2012.02585.x</w:t>
        </w:r>
      </w:hyperlink>
    </w:p>
    <w:bookmarkEnd w:id="259"/>
    <w:bookmarkStart w:id="261" w:name="ref-Kim2009"/>
    <w:p>
      <w:pPr>
        <w:pStyle w:val="Bibliography"/>
      </w:pPr>
      <w:r>
        <w:t xml:space="preserve">Kim, H. K., Capaldi, D. M., Pears, K. C., Kerr, D. C. R., &amp; Owen, L. D. (2009). Intergenerational transmission of internalising and externalising behaviours across three generations:</w:t>
      </w:r>
      <w:r>
        <w:t xml:space="preserve"> </w:t>
      </w:r>
      <w:r>
        <w:t xml:space="preserve">Gender</w:t>
      </w:r>
      <w:r>
        <w:t xml:space="preserve">-specific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60">
        <w:r>
          <w:rPr>
            <w:rStyle w:val="Hyperlink"/>
          </w:rPr>
          <w:t xml:space="preserve">https://doi.org/10.1002/cbm.708</w:t>
        </w:r>
      </w:hyperlink>
    </w:p>
    <w:bookmarkEnd w:id="261"/>
    <w:bookmarkStart w:id="263"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62">
        <w:r>
          <w:rPr>
            <w:rStyle w:val="Hyperlink"/>
          </w:rPr>
          <w:t xml:space="preserve">https://doi.org/10.1111/jora.12252</w:t>
        </w:r>
      </w:hyperlink>
    </w:p>
    <w:bookmarkEnd w:id="263"/>
    <w:bookmarkStart w:id="265" w:name="ref-Kliem2018"/>
    <w:p>
      <w:pPr>
        <w:pStyle w:val="Bibliography"/>
      </w:pPr>
      <w:r>
        <w:t xml:space="preserve">Kliem, S., Heinrichs, N., Lohmann, A., Bussing, R., Schwarzer, G., &amp; Briegel, W. (2018). Dimensional latent structure of early disruptive behavior disorders:</w:t>
      </w:r>
      <w:r>
        <w:t xml:space="preserve"> </w:t>
      </w:r>
      <w:r>
        <w:t xml:space="preserve">A</w:t>
      </w:r>
      <w:r>
        <w:t xml:space="preserve"> </w:t>
      </w:r>
      <w:r>
        <w:t xml:space="preserve">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64">
        <w:r>
          <w:rPr>
            <w:rStyle w:val="Hyperlink"/>
          </w:rPr>
          <w:t xml:space="preserve">https://doi.org/10.1007/s10802-017-0383-5</w:t>
        </w:r>
      </w:hyperlink>
    </w:p>
    <w:bookmarkEnd w:id="265"/>
    <w:bookmarkStart w:id="267"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66">
        <w:r>
          <w:rPr>
            <w:rStyle w:val="Hyperlink"/>
          </w:rPr>
          <w:t xml:space="preserve">https://doi.org/10.1007/s10802-021-00885-y</w:t>
        </w:r>
      </w:hyperlink>
    </w:p>
    <w:bookmarkEnd w:id="267"/>
    <w:bookmarkStart w:id="269"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68">
        <w:r>
          <w:rPr>
            <w:rStyle w:val="Hyperlink"/>
          </w:rPr>
          <w:t xml:space="preserve">https://doi.org/10.1111/j.1750-8606.2009.00112.x</w:t>
        </w:r>
      </w:hyperlink>
    </w:p>
    <w:bookmarkEnd w:id="269"/>
    <w:bookmarkStart w:id="271" w:name="ref-Kolen2014"/>
    <w:p>
      <w:pPr>
        <w:pStyle w:val="Bibliography"/>
      </w:pPr>
      <w:r>
        <w:t xml:space="preserve">Kolen, M. J., &amp; Brennan, R. L. (2014).</w:t>
      </w:r>
      <w:r>
        <w:t xml:space="preserve"> </w:t>
      </w:r>
      <w:r>
        <w:rPr>
          <w:i/>
          <w:iCs/>
        </w:rPr>
        <w:t xml:space="preserve">Test equating, scaling, and linking:</w:t>
      </w:r>
      <w:r>
        <w:rPr>
          <w:i/>
          <w:iCs/>
        </w:rPr>
        <w:t xml:space="preserve"> </w:t>
      </w:r>
      <w:r>
        <w:rPr>
          <w:i/>
          <w:iCs/>
        </w:rPr>
        <w:t xml:space="preserve">Methods</w:t>
      </w:r>
      <w:r>
        <w:rPr>
          <w:i/>
          <w:iCs/>
        </w:rPr>
        <w:t xml:space="preserve"> </w:t>
      </w:r>
      <w:r>
        <w:rPr>
          <w:i/>
          <w:iCs/>
        </w:rPr>
        <w:t xml:space="preserve">and practices</w:t>
      </w:r>
      <w:r>
        <w:t xml:space="preserve"> </w:t>
      </w:r>
      <w:r>
        <w:t xml:space="preserve">(3rd ed., p. 566). Springer.</w:t>
      </w:r>
      <w:r>
        <w:t xml:space="preserve"> </w:t>
      </w:r>
      <w:hyperlink r:id="rId270">
        <w:r>
          <w:rPr>
            <w:rStyle w:val="Hyperlink"/>
          </w:rPr>
          <w:t xml:space="preserve">https://doi.org/10.1007/978-1-4939-0317-7</w:t>
        </w:r>
      </w:hyperlink>
    </w:p>
    <w:bookmarkEnd w:id="271"/>
    <w:bookmarkStart w:id="272"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72"/>
    <w:bookmarkStart w:id="274"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w:t>
      </w:r>
      <w:r>
        <w:t xml:space="preserve"> </w:t>
      </w:r>
      <w:r>
        <w:t xml:space="preserve">A</w:t>
      </w:r>
      <w:r>
        <w:t xml:space="preserve"> </w:t>
      </w:r>
      <w:r>
        <w:t xml:space="preserve">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73">
        <w:r>
          <w:rPr>
            <w:rStyle w:val="Hyperlink"/>
          </w:rPr>
          <w:t xml:space="preserve">https://doi.org/10.1037/abn0000258</w:t>
        </w:r>
      </w:hyperlink>
    </w:p>
    <w:bookmarkEnd w:id="274"/>
    <w:bookmarkStart w:id="276" w:name="ref-Kraemer2003"/>
    <w:p>
      <w:pPr>
        <w:pStyle w:val="Bibliography"/>
      </w:pPr>
      <w:r>
        <w:t xml:space="preserve">Kraemer, H. C., Measelle, J. R., Ablow, J. C., Essex, M. J., Boyce, W. T., &amp; Kupfer, D. J. (2003). A new approach to integrating data from multiple informants in psychiatric assessment and research:</w:t>
      </w:r>
      <w:r>
        <w:t xml:space="preserve"> </w:t>
      </w:r>
      <w:r>
        <w:t xml:space="preserve">Mixing</w:t>
      </w:r>
      <w:r>
        <w:t xml:space="preserve"> </w:t>
      </w:r>
      <w:r>
        <w:t xml:space="preserve">and matching contexts and perspectives.</w:t>
      </w:r>
      <w:r>
        <w:t xml:space="preserve"> </w:t>
      </w:r>
      <w:r>
        <w:rPr>
          <w:i/>
          <w:iCs/>
        </w:rPr>
        <w:t xml:space="preserve">American Journal of Psychiatry</w:t>
      </w:r>
      <w:r>
        <w:t xml:space="preserve">,</w:t>
      </w:r>
      <w:r>
        <w:t xml:space="preserve"> </w:t>
      </w:r>
      <w:r>
        <w:rPr>
          <w:i/>
          <w:iCs/>
        </w:rPr>
        <w:t xml:space="preserve">160</w:t>
      </w:r>
      <w:r>
        <w:t xml:space="preserve">(9), 1566–1577.</w:t>
      </w:r>
      <w:r>
        <w:t xml:space="preserve"> </w:t>
      </w:r>
      <w:hyperlink r:id="rId275">
        <w:r>
          <w:rPr>
            <w:rStyle w:val="Hyperlink"/>
          </w:rPr>
          <w:t xml:space="preserve">https://doi.org/10.1176/appi.ajp.160.9.1566</w:t>
        </w:r>
      </w:hyperlink>
    </w:p>
    <w:bookmarkEnd w:id="276"/>
    <w:bookmarkStart w:id="278" w:name="ref-Krueger2016"/>
    <w:p>
      <w:pPr>
        <w:pStyle w:val="Bibliography"/>
      </w:pPr>
      <w:r>
        <w:t xml:space="preserve">Krueger, R. F., &amp; DeYoung, C. G. (2016). The</w:t>
      </w:r>
      <w:r>
        <w:t xml:space="preserve"> </w:t>
      </w:r>
      <w:r>
        <w:t xml:space="preserve">RDoC</w:t>
      </w:r>
      <w:r>
        <w:t xml:space="preserve"> </w:t>
      </w:r>
      <w:r>
        <w:t xml:space="preserve">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77">
        <w:r>
          <w:rPr>
            <w:rStyle w:val="Hyperlink"/>
          </w:rPr>
          <w:t xml:space="preserve">https://doi.org/10.1111/psyp.12551</w:t>
        </w:r>
      </w:hyperlink>
    </w:p>
    <w:bookmarkEnd w:id="278"/>
    <w:bookmarkStart w:id="280"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w:t>
      </w:r>
      <w:r>
        <w:t xml:space="preserve"> </w:t>
      </w:r>
      <w:r>
        <w:t xml:space="preserve">Externalizing</w:t>
      </w:r>
      <w:r>
        <w:t xml:space="preserve"> </w:t>
      </w:r>
      <w:r>
        <w:t xml:space="preserve">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79">
        <w:r>
          <w:rPr>
            <w:rStyle w:val="Hyperlink"/>
          </w:rPr>
          <w:t xml:space="preserve">https://doi.org/10.1002/wps.20844</w:t>
        </w:r>
      </w:hyperlink>
    </w:p>
    <w:bookmarkEnd w:id="280"/>
    <w:bookmarkStart w:id="282" w:name="ref-Krueger2011"/>
    <w:p>
      <w:pPr>
        <w:pStyle w:val="Bibliography"/>
      </w:pPr>
      <w:r>
        <w:t xml:space="preserve">Krueger, R. F., &amp; Markon, K. E. (2011). A dimensional-spectrum model of psychopathology:</w:t>
      </w:r>
      <w:r>
        <w:t xml:space="preserve"> </w:t>
      </w:r>
      <w:r>
        <w:t xml:space="preserve">Progress</w:t>
      </w:r>
      <w:r>
        <w:t xml:space="preserve"> </w:t>
      </w:r>
      <w:r>
        <w:t xml:space="preserve">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81">
        <w:r>
          <w:rPr>
            <w:rStyle w:val="Hyperlink"/>
          </w:rPr>
          <w:t xml:space="preserve">https://doi.org/10.1001/archgenpsychiatry.2010.188</w:t>
        </w:r>
      </w:hyperlink>
    </w:p>
    <w:bookmarkEnd w:id="282"/>
    <w:bookmarkStart w:id="284" w:name="ref-Krueger2007"/>
    <w:p>
      <w:pPr>
        <w:pStyle w:val="Bibliography"/>
      </w:pPr>
      <w:r>
        <w:t xml:space="preserve">Krueger, R. F., Markon, K. E., Patrick, C. J., Benning, S. D., &amp; Kramer, M. D. (2007). Linking antisocial behavior, substance use, and personality:</w:t>
      </w:r>
      <w:r>
        <w:t xml:space="preserve"> </w:t>
      </w:r>
      <w:r>
        <w:t xml:space="preserve">An</w:t>
      </w:r>
      <w:r>
        <w:t xml:space="preserve"> </w:t>
      </w:r>
      <w:r>
        <w:t xml:space="preserve">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83">
        <w:r>
          <w:rPr>
            <w:rStyle w:val="Hyperlink"/>
          </w:rPr>
          <w:t xml:space="preserve">https://doi.org/10.1037/0021-843X.116.4.645</w:t>
        </w:r>
      </w:hyperlink>
    </w:p>
    <w:bookmarkEnd w:id="284"/>
    <w:bookmarkStart w:id="286" w:name="ref-Krueger2005"/>
    <w:p>
      <w:pPr>
        <w:pStyle w:val="Bibliography"/>
      </w:pPr>
      <w:r>
        <w:t xml:space="preserve">Krueger, R. F., Markon, K. E., Patrick, C. J., &amp; Iacono, W. G. (2005). Externalizing psychopathology in adulthood:</w:t>
      </w:r>
      <w:r>
        <w:t xml:space="preserve"> </w:t>
      </w:r>
      <w:r>
        <w:t xml:space="preserve">A</w:t>
      </w:r>
      <w:r>
        <w:t xml:space="preserve"> </w:t>
      </w:r>
      <w:r>
        <w:t xml:space="preserve">dimensional-spectrum conceptualization and its implications for</w:t>
      </w:r>
      <w:r>
        <w:t xml:space="preserve"> </w:t>
      </w:r>
      <w:r>
        <w:t xml:space="preserve">DSM-V</w:t>
      </w:r>
      <w:r>
        <w:t xml:space="preserve">.</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85">
        <w:r>
          <w:rPr>
            <w:rStyle w:val="Hyperlink"/>
          </w:rPr>
          <w:t xml:space="preserve">https://doi.org/10.1037/0021-843x.114.4.537</w:t>
        </w:r>
      </w:hyperlink>
    </w:p>
    <w:bookmarkEnd w:id="286"/>
    <w:bookmarkStart w:id="288"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87">
        <w:r>
          <w:rPr>
            <w:rStyle w:val="Hyperlink"/>
          </w:rPr>
          <w:t xml:space="preserve">https://doi.org/10.1037/1040-3590.16.2.107</w:t>
        </w:r>
      </w:hyperlink>
    </w:p>
    <w:bookmarkEnd w:id="288"/>
    <w:bookmarkStart w:id="290"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89">
        <w:r>
          <w:rPr>
            <w:rStyle w:val="Hyperlink"/>
          </w:rPr>
          <w:t xml:space="preserve">https://doi.org/10.1016/S0005-7967(02)00016-5</w:t>
        </w:r>
      </w:hyperlink>
    </w:p>
    <w:bookmarkEnd w:id="290"/>
    <w:bookmarkStart w:id="292"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91">
        <w:r>
          <w:rPr>
            <w:rStyle w:val="Hyperlink"/>
          </w:rPr>
          <w:t xml:space="preserve">https://doi.org/10.1080/00273171.2021.1941730</w:t>
        </w:r>
      </w:hyperlink>
    </w:p>
    <w:bookmarkEnd w:id="292"/>
    <w:bookmarkStart w:id="294"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93">
        <w:r>
          <w:rPr>
            <w:rStyle w:val="Hyperlink"/>
          </w:rPr>
          <w:t xml:space="preserve">https://doi.org/10.1017/S0954579410000301</w:t>
        </w:r>
      </w:hyperlink>
    </w:p>
    <w:bookmarkEnd w:id="294"/>
    <w:bookmarkStart w:id="296"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95">
        <w:r>
          <w:rPr>
            <w:rStyle w:val="Hyperlink"/>
          </w:rPr>
          <w:t xml:space="preserve">https://doi.org/10.1007/978-3-030-68429-7</w:t>
        </w:r>
      </w:hyperlink>
    </w:p>
    <w:bookmarkEnd w:id="296"/>
    <w:bookmarkStart w:id="297"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97"/>
    <w:bookmarkStart w:id="299" w:name="ref-Makol2025"/>
    <w:p>
      <w:pPr>
        <w:pStyle w:val="Bibliography"/>
      </w:pPr>
      <w:r>
        <w:t xml:space="preserve">Makol, B. A., Yang, J., Wang, M., &amp; De Los Reyes, A. (2025).</w:t>
      </w:r>
      <w:r>
        <w:t xml:space="preserve"> </w:t>
      </w:r>
      <w:r>
        <w:rPr>
          <w:i/>
          <w:iCs/>
        </w:rPr>
        <w:t xml:space="preserve">Youth development in context:</w:t>
      </w:r>
      <w:r>
        <w:rPr>
          <w:i/>
          <w:iCs/>
        </w:rPr>
        <w:t xml:space="preserve"> </w:t>
      </w:r>
      <w:r>
        <w:rPr>
          <w:i/>
          <w:iCs/>
        </w:rPr>
        <w:t xml:space="preserve">Integrating</w:t>
      </w:r>
      <w:r>
        <w:rPr>
          <w:i/>
          <w:iCs/>
        </w:rPr>
        <w:t xml:space="preserve"> </w:t>
      </w:r>
      <w:r>
        <w:rPr>
          <w:i/>
          <w:iCs/>
        </w:rPr>
        <w:t xml:space="preserve">multiple informants to assess behavior</w:t>
      </w:r>
      <w:r>
        <w:t xml:space="preserve">. Springer Nature Switzerland.</w:t>
      </w:r>
      <w:r>
        <w:t xml:space="preserve"> </w:t>
      </w:r>
      <w:hyperlink r:id="rId298">
        <w:r>
          <w:rPr>
            <w:rStyle w:val="Hyperlink"/>
          </w:rPr>
          <w:t xml:space="preserve">https://doi.org/10.1007/978-3-031-80549-3</w:t>
        </w:r>
      </w:hyperlink>
    </w:p>
    <w:bookmarkEnd w:id="299"/>
    <w:bookmarkStart w:id="301" w:name="ref-Markon2011"/>
    <w:p>
      <w:pPr>
        <w:pStyle w:val="Bibliography"/>
      </w:pPr>
      <w:r>
        <w:t xml:space="preserve">Markon, K. E., Chmielewski, M., &amp; Miller, C. J. (2011). The reliability and validity of discrete and continuous measures of psychopathology:</w:t>
      </w:r>
      <w:r>
        <w:t xml:space="preserve"> </w:t>
      </w:r>
      <w:r>
        <w:t xml:space="preserve">A</w:t>
      </w:r>
      <w:r>
        <w:t xml:space="preserve"> </w:t>
      </w:r>
      <w:r>
        <w:t xml:space="preserve">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300">
        <w:r>
          <w:rPr>
            <w:rStyle w:val="Hyperlink"/>
          </w:rPr>
          <w:t xml:space="preserve">https://doi.org/10.1037/a0023678</w:t>
        </w:r>
      </w:hyperlink>
    </w:p>
    <w:bookmarkEnd w:id="301"/>
    <w:bookmarkStart w:id="303" w:name="ref-Markon2005"/>
    <w:p>
      <w:pPr>
        <w:pStyle w:val="Bibliography"/>
      </w:pPr>
      <w:r>
        <w:t xml:space="preserve">Markon, K. E., &amp; Krueger, R. F. (2005). Categorical and continuous models of liability to externalizing disorders:</w:t>
      </w:r>
      <w:r>
        <w:t xml:space="preserve"> </w:t>
      </w:r>
      <w:r>
        <w:t xml:space="preserve">A</w:t>
      </w:r>
      <w:r>
        <w:t xml:space="preserve"> </w:t>
      </w:r>
      <w:r>
        <w:t xml:space="preserve">direct comparison in</w:t>
      </w:r>
      <w:r>
        <w:t xml:space="preserve"> </w:t>
      </w:r>
      <w:r>
        <w:t xml:space="preserve">NESARC</w:t>
      </w:r>
      <w:r>
        <w:t xml:space="preserve">.</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302">
        <w:r>
          <w:rPr>
            <w:rStyle w:val="Hyperlink"/>
          </w:rPr>
          <w:t xml:space="preserve">https://doi.org/10.1001/archpsyc.62.12.1352</w:t>
        </w:r>
      </w:hyperlink>
    </w:p>
    <w:bookmarkEnd w:id="303"/>
    <w:bookmarkStart w:id="305" w:name="ref-Masche2004"/>
    <w:p>
      <w:pPr>
        <w:pStyle w:val="Bibliography"/>
      </w:pPr>
      <w:r>
        <w:t xml:space="preserve">Masche, J. G., &amp; Dulmen, M. H. M. van. (2004). Advances in disentangling age, cohort, and time effects:</w:t>
      </w:r>
      <w:r>
        <w:t xml:space="preserve"> </w:t>
      </w:r>
      <w:r>
        <w:t xml:space="preserve">No</w:t>
      </w:r>
      <w:r>
        <w:t xml:space="preserve"> </w:t>
      </w:r>
      <w:r>
        <w:t xml:space="preserve">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304">
        <w:r>
          <w:rPr>
            <w:rStyle w:val="Hyperlink"/>
          </w:rPr>
          <w:t xml:space="preserve">https://doi.org/10.1016/j.dr.2004.04.002</w:t>
        </w:r>
      </w:hyperlink>
    </w:p>
    <w:bookmarkEnd w:id="305"/>
    <w:bookmarkStart w:id="306" w:name="ref-McArdle2011"/>
    <w:p>
      <w:pPr>
        <w:pStyle w:val="Bibliography"/>
      </w:pPr>
      <w:r>
        <w:t xml:space="preserve">McArdle, J. J., &amp; Grimm, K. J. (2011). An empirical example of change analysis by linking longitudinal item response data from multiple tests. In A. A. von Davier (Ed.),</w:t>
      </w:r>
      <w:r>
        <w:t xml:space="preserve"> </w:t>
      </w:r>
      <w:r>
        <w:rPr>
          <w:i/>
          <w:iCs/>
        </w:rPr>
        <w:t xml:space="preserve">Statistical models for test equating, scaling, and linking</w:t>
      </w:r>
      <w:r>
        <w:t xml:space="preserve"> </w:t>
      </w:r>
      <w:r>
        <w:t xml:space="preserve">(pp. 71–88). Springer Science &amp; Business Media.</w:t>
      </w:r>
    </w:p>
    <w:bookmarkEnd w:id="306"/>
    <w:bookmarkStart w:id="308" w:name="ref-McArdle2009"/>
    <w:p>
      <w:pPr>
        <w:pStyle w:val="Bibliography"/>
      </w:pPr>
      <w:r>
        <w:t xml:space="preserve">McArdle, J. J., Grimm, K. J., Hamagami, F., Bowles, R. P., &amp; Meredith, W. (2009). Modeling life-span growth curves of cognition using longitudinal data with multiple samples and changing scales of measurement.</w:t>
      </w:r>
      <w:r>
        <w:t xml:space="preserve"> </w:t>
      </w:r>
      <w:r>
        <w:rPr>
          <w:i/>
          <w:iCs/>
        </w:rPr>
        <w:t xml:space="preserve">Psychological Methods</w:t>
      </w:r>
      <w:r>
        <w:t xml:space="preserve">,</w:t>
      </w:r>
      <w:r>
        <w:t xml:space="preserve"> </w:t>
      </w:r>
      <w:r>
        <w:rPr>
          <w:i/>
          <w:iCs/>
        </w:rPr>
        <w:t xml:space="preserve">14</w:t>
      </w:r>
      <w:r>
        <w:t xml:space="preserve">(2), 126–149.</w:t>
      </w:r>
      <w:r>
        <w:t xml:space="preserve"> </w:t>
      </w:r>
      <w:hyperlink r:id="rId307">
        <w:r>
          <w:rPr>
            <w:rStyle w:val="Hyperlink"/>
          </w:rPr>
          <w:t xml:space="preserve">https://doi.org/10.1037/a0015857</w:t>
        </w:r>
      </w:hyperlink>
    </w:p>
    <w:bookmarkEnd w:id="308"/>
    <w:bookmarkStart w:id="310" w:name="ref-McDaniel2023"/>
    <w:p>
      <w:pPr>
        <w:pStyle w:val="Bibliography"/>
      </w:pPr>
      <w:r>
        <w:t xml:space="preserve">McDaniel, H. L., Saavedra, L. M., Morgan-López, A. A., Bradshaw, C. P., Lochman, J. E., Kaihoi, C. A., Powell, N. P., Qu, L., &amp; Yaros, A. C. (2023). Harmonizing social, emotional, and behavioral constructs in prevention science:</w:t>
      </w:r>
      <w:r>
        <w:t xml:space="preserve"> </w:t>
      </w:r>
      <w:r>
        <w:t xml:space="preserve">Digging</w:t>
      </w:r>
      <w:r>
        <w:t xml:space="preserve"> </w:t>
      </w:r>
      <w:r>
        <w:t xml:space="preserve">into the weeds of aligning disparate measures.</w:t>
      </w:r>
      <w:r>
        <w:t xml:space="preserve"> </w:t>
      </w:r>
      <w:r>
        <w:rPr>
          <w:i/>
          <w:iCs/>
        </w:rPr>
        <w:t xml:space="preserve">Prevention Science</w:t>
      </w:r>
      <w:r>
        <w:t xml:space="preserve">.</w:t>
      </w:r>
      <w:r>
        <w:t xml:space="preserve"> </w:t>
      </w:r>
      <w:hyperlink r:id="rId309">
        <w:r>
          <w:rPr>
            <w:rStyle w:val="Hyperlink"/>
          </w:rPr>
          <w:t xml:space="preserve">https://doi.org/10.1007/s11121-022-01467-0</w:t>
        </w:r>
      </w:hyperlink>
    </w:p>
    <w:bookmarkEnd w:id="310"/>
    <w:bookmarkStart w:id="312" w:name="ref-McDermott2013"/>
    <w:p>
      <w:pPr>
        <w:pStyle w:val="Bibliography"/>
      </w:pPr>
      <w:r>
        <w:t xml:space="preserve">McDermott, P. A., Watkins, M. W., Rovine, M. J., &amp; Rikoon, S. H. (2013). Assessing changes in socioemotional adjustment across early school transitions―</w:t>
      </w:r>
      <w:r>
        <w:t xml:space="preserve">New</w:t>
      </w:r>
      <w:r>
        <w:t xml:space="preserve"> </w:t>
      </w:r>
      <w:r>
        <w:t xml:space="preserve">national scales for children at risk.</w:t>
      </w:r>
      <w:r>
        <w:t xml:space="preserve"> </w:t>
      </w:r>
      <w:r>
        <w:rPr>
          <w:i/>
          <w:iCs/>
        </w:rPr>
        <w:t xml:space="preserve">Journal of School Psychology</w:t>
      </w:r>
      <w:r>
        <w:t xml:space="preserve">,</w:t>
      </w:r>
      <w:r>
        <w:t xml:space="preserve"> </w:t>
      </w:r>
      <w:r>
        <w:rPr>
          <w:i/>
          <w:iCs/>
        </w:rPr>
        <w:t xml:space="preserve">51</w:t>
      </w:r>
      <w:r>
        <w:t xml:space="preserve">(1), 97–115.</w:t>
      </w:r>
      <w:r>
        <w:t xml:space="preserve"> </w:t>
      </w:r>
      <w:hyperlink r:id="rId311">
        <w:r>
          <w:rPr>
            <w:rStyle w:val="Hyperlink"/>
          </w:rPr>
          <w:t xml:space="preserve">https://doi.org/10.1016/j.jsp.2012.10.002</w:t>
        </w:r>
      </w:hyperlink>
    </w:p>
    <w:bookmarkEnd w:id="312"/>
    <w:bookmarkStart w:id="314" w:name="ref-Miller2009"/>
    <w:p>
      <w:pPr>
        <w:pStyle w:val="Bibliography"/>
      </w:pPr>
      <w:r>
        <w:t xml:space="preserve">Miller, J. L., Vaillancourt, T., &amp; Boyle, M. H. (2009). Examining the heterotypic continuity of aggression using teacher reports:</w:t>
      </w:r>
      <w:r>
        <w:t xml:space="preserve"> </w:t>
      </w:r>
      <w:r>
        <w:t xml:space="preserve">Results</w:t>
      </w:r>
      <w:r>
        <w:t xml:space="preserve"> </w:t>
      </w:r>
      <w:r>
        <w:t xml:space="preserve">from a national</w:t>
      </w:r>
      <w:r>
        <w:t xml:space="preserve"> </w:t>
      </w:r>
      <w:r>
        <w:t xml:space="preserve">Canadian</w:t>
      </w:r>
      <w:r>
        <w:t xml:space="preserve"> </w:t>
      </w:r>
      <w:r>
        <w:t xml:space="preserve">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313">
        <w:r>
          <w:rPr>
            <w:rStyle w:val="Hyperlink"/>
          </w:rPr>
          <w:t xml:space="preserve">https://doi.org/10.1111/j.1467-9507.2008.00480.x</w:t>
        </w:r>
      </w:hyperlink>
    </w:p>
    <w:bookmarkEnd w:id="314"/>
    <w:bookmarkStart w:id="315"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315"/>
    <w:bookmarkStart w:id="317"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316">
        <w:r>
          <w:rPr>
            <w:rStyle w:val="Hyperlink"/>
          </w:rPr>
          <w:t xml:space="preserve">https://news.harvard.edu/gazette/story/2017/04/over-nearly-80-years-harvard-study-has-been-showing-how-to-live-a-healthy-and-happy-life/</w:t>
        </w:r>
      </w:hyperlink>
    </w:p>
    <w:bookmarkEnd w:id="317"/>
    <w:bookmarkStart w:id="319" w:name="ref-Moeller2015"/>
    <w:p>
      <w:pPr>
        <w:pStyle w:val="Bibliography"/>
      </w:pPr>
      <w:r>
        <w:t xml:space="preserve">Moeller, J. (2015). A word on standardization in longitudinal studies:</w:t>
      </w:r>
      <w:r>
        <w:t xml:space="preserve"> </w:t>
      </w:r>
      <w:r>
        <w:t xml:space="preserve">Don’t</w:t>
      </w:r>
      <w:r>
        <w:t xml:space="preserve">.</w:t>
      </w:r>
      <w:r>
        <w:t xml:space="preserve"> </w:t>
      </w:r>
      <w:r>
        <w:rPr>
          <w:i/>
          <w:iCs/>
        </w:rPr>
        <w:t xml:space="preserve">Frontiers in Psychology</w:t>
      </w:r>
      <w:r>
        <w:t xml:space="preserve">,</w:t>
      </w:r>
      <w:r>
        <w:t xml:space="preserve"> </w:t>
      </w:r>
      <w:r>
        <w:rPr>
          <w:i/>
          <w:iCs/>
        </w:rPr>
        <w:t xml:space="preserve">6</w:t>
      </w:r>
      <w:r>
        <w:t xml:space="preserve">(1389), 1–4.</w:t>
      </w:r>
      <w:r>
        <w:t xml:space="preserve"> </w:t>
      </w:r>
      <w:hyperlink r:id="rId318">
        <w:r>
          <w:rPr>
            <w:rStyle w:val="Hyperlink"/>
          </w:rPr>
          <w:t xml:space="preserve">https://doi.org/10.3389/fpsyg.2015.01389</w:t>
        </w:r>
      </w:hyperlink>
    </w:p>
    <w:bookmarkEnd w:id="319"/>
    <w:bookmarkStart w:id="321" w:name="ref-Moffitt1993"/>
    <w:p>
      <w:pPr>
        <w:pStyle w:val="Bibliography"/>
      </w:pPr>
      <w:r>
        <w:t xml:space="preserve">Moffitt, T. E. (1993). Adolescence-limited and life-course-persistent antisocial behavior:</w:t>
      </w:r>
      <w:r>
        <w:t xml:space="preserve"> </w:t>
      </w:r>
      <w:r>
        <w:t xml:space="preserve">A</w:t>
      </w:r>
      <w:r>
        <w:t xml:space="preserve"> </w:t>
      </w:r>
      <w:r>
        <w:t xml:space="preserve">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320">
        <w:r>
          <w:rPr>
            <w:rStyle w:val="Hyperlink"/>
          </w:rPr>
          <w:t xml:space="preserve">https://doi.org/10.1037/0033-295X.100.4.674</w:t>
        </w:r>
      </w:hyperlink>
    </w:p>
    <w:bookmarkEnd w:id="321"/>
    <w:bookmarkStart w:id="32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322">
        <w:r>
          <w:rPr>
            <w:rStyle w:val="Hyperlink"/>
          </w:rPr>
          <w:t xml:space="preserve">https://doi.org/10.1073/pnas.1010076108</w:t>
        </w:r>
      </w:hyperlink>
    </w:p>
    <w:bookmarkEnd w:id="323"/>
    <w:bookmarkStart w:id="32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324">
        <w:r>
          <w:rPr>
            <w:rStyle w:val="Hyperlink"/>
          </w:rPr>
          <w:t xml:space="preserve">https://doi.org/10.1159/000270073</w:t>
        </w:r>
      </w:hyperlink>
    </w:p>
    <w:bookmarkEnd w:id="325"/>
    <w:bookmarkStart w:id="327" w:name="ref-Murayama2013"/>
    <w:p>
      <w:pPr>
        <w:pStyle w:val="Bibliography"/>
      </w:pPr>
      <w:r>
        <w:t xml:space="preserve">Murayama, K., Pekrun, R., Lichtenfeld, S., &amp; Hofe, R. vom. (2013). Predicting long-term growth in students’ mathematics achievement:</w:t>
      </w:r>
      <w:r>
        <w:t xml:space="preserve"> </w:t>
      </w:r>
      <w:r>
        <w:t xml:space="preserve">The</w:t>
      </w:r>
      <w:r>
        <w:t xml:space="preserve"> </w:t>
      </w:r>
      <w:r>
        <w:t xml:space="preserve">unique contributions of motivation and cognitive strategies.</w:t>
      </w:r>
      <w:r>
        <w:t xml:space="preserve"> </w:t>
      </w:r>
      <w:r>
        <w:rPr>
          <w:i/>
          <w:iCs/>
        </w:rPr>
        <w:t xml:space="preserve">Child Development</w:t>
      </w:r>
      <w:r>
        <w:t xml:space="preserve">,</w:t>
      </w:r>
      <w:r>
        <w:t xml:space="preserve"> </w:t>
      </w:r>
      <w:r>
        <w:rPr>
          <w:i/>
          <w:iCs/>
        </w:rPr>
        <w:t xml:space="preserve">84</w:t>
      </w:r>
      <w:r>
        <w:t xml:space="preserve">(4), 1475–1490.</w:t>
      </w:r>
      <w:r>
        <w:t xml:space="preserve"> </w:t>
      </w:r>
      <w:hyperlink r:id="rId326">
        <w:r>
          <w:rPr>
            <w:rStyle w:val="Hyperlink"/>
          </w:rPr>
          <w:t xml:space="preserve">https://doi.org/10.1111/cdev.12036</w:t>
        </w:r>
      </w:hyperlink>
    </w:p>
    <w:bookmarkEnd w:id="327"/>
    <w:bookmarkStart w:id="329"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328">
        <w:r>
          <w:rPr>
            <w:rStyle w:val="Hyperlink"/>
          </w:rPr>
          <w:t xml:space="preserve">https://doi.org/10.3389/fpsyg.2014.00978</w:t>
        </w:r>
      </w:hyperlink>
    </w:p>
    <w:bookmarkEnd w:id="329"/>
    <w:bookmarkStart w:id="331" w:name="ref-Nicholson2017"/>
    <w:p>
      <w:pPr>
        <w:pStyle w:val="Bibliography"/>
      </w:pPr>
      <w:r>
        <w:t xml:space="preserve">Nicholson, J. S., Deboeck, P. R., &amp; Howard, W. (2017). Attrition in developmental psychology:</w:t>
      </w:r>
      <w:r>
        <w:t xml:space="preserve"> </w:t>
      </w:r>
      <w:r>
        <w:t xml:space="preserve">A</w:t>
      </w:r>
      <w:r>
        <w:t xml:space="preserve"> </w:t>
      </w:r>
      <w:r>
        <w:t xml:space="preserve">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330">
        <w:r>
          <w:rPr>
            <w:rStyle w:val="Hyperlink"/>
          </w:rPr>
          <w:t xml:space="preserve">https://doi.org/10.1177/0165025415618275</w:t>
        </w:r>
      </w:hyperlink>
    </w:p>
    <w:bookmarkEnd w:id="331"/>
    <w:bookmarkStart w:id="333"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 559–586.</w:t>
      </w:r>
      <w:r>
        <w:t xml:space="preserve"> </w:t>
      </w:r>
      <w:hyperlink r:id="rId332">
        <w:r>
          <w:rPr>
            <w:rStyle w:val="Hyperlink"/>
          </w:rPr>
          <w:t xml:space="preserve">https://doi.org/10.1146/annurev-clinpsy-061324-073435</w:t>
        </w:r>
      </w:hyperlink>
    </w:p>
    <w:bookmarkEnd w:id="333"/>
    <w:bookmarkStart w:id="335" w:name="ref-Odgers2008"/>
    <w:p>
      <w:pPr>
        <w:pStyle w:val="Bibliography"/>
      </w:pPr>
      <w:r>
        <w:t xml:space="preserve">Odgers, C. L., Moffitt, T. E., Broadbent, J. M., Dickson, N., Hancox, R. J., Harrington, H., Poulton, R., Sears, M. R., Thomson, W. M., &amp; Caspi, A. (2008). Female and male antisocial trajectories:</w:t>
      </w:r>
      <w:r>
        <w:t xml:space="preserve"> </w:t>
      </w:r>
      <w:r>
        <w:t xml:space="preserve">From</w:t>
      </w:r>
      <w:r>
        <w:t xml:space="preserve"> </w:t>
      </w:r>
      <w:r>
        <w:t xml:space="preserve">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334">
        <w:r>
          <w:rPr>
            <w:rStyle w:val="Hyperlink"/>
          </w:rPr>
          <w:t xml:space="preserve">https://doi.org/10.1017/S0954579408000333</w:t>
        </w:r>
      </w:hyperlink>
    </w:p>
    <w:bookmarkEnd w:id="335"/>
    <w:bookmarkStart w:id="337" w:name="ref-Oleson2016"/>
    <w:p>
      <w:pPr>
        <w:pStyle w:val="Bibliography"/>
      </w:pPr>
      <w:r>
        <w:t xml:space="preserve">Oleson, J. J., Cavanaugh, J. E., Tomblin, J. B., Walker, E., &amp; Dunn, C. (2016). Combining growth curves when a longitudinal study switches measurement tools.</w:t>
      </w:r>
      <w:r>
        <w:t xml:space="preserve"> </w:t>
      </w:r>
      <w:r>
        <w:rPr>
          <w:i/>
          <w:iCs/>
        </w:rPr>
        <w:t xml:space="preserve">Statistical Methods in Medical Research</w:t>
      </w:r>
      <w:r>
        <w:t xml:space="preserve">,</w:t>
      </w:r>
      <w:r>
        <w:t xml:space="preserve"> </w:t>
      </w:r>
      <w:r>
        <w:rPr>
          <w:i/>
          <w:iCs/>
        </w:rPr>
        <w:t xml:space="preserve">25</w:t>
      </w:r>
      <w:r>
        <w:t xml:space="preserve">(6), 2925–2938.</w:t>
      </w:r>
      <w:r>
        <w:t xml:space="preserve"> </w:t>
      </w:r>
      <w:hyperlink r:id="rId336">
        <w:r>
          <w:rPr>
            <w:rStyle w:val="Hyperlink"/>
          </w:rPr>
          <w:t xml:space="preserve">https://doi.org/10.1177/0962280214534588</w:t>
        </w:r>
      </w:hyperlink>
    </w:p>
    <w:bookmarkEnd w:id="337"/>
    <w:bookmarkStart w:id="339"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338">
        <w:r>
          <w:rPr>
            <w:rStyle w:val="Hyperlink"/>
          </w:rPr>
          <w:t xml:space="preserve">https://doi.org/10.1023/a:1026254005632</w:t>
        </w:r>
      </w:hyperlink>
    </w:p>
    <w:bookmarkEnd w:id="339"/>
    <w:bookmarkStart w:id="341" w:name="ref-Paalman2013"/>
    <w:p>
      <w:pPr>
        <w:pStyle w:val="Bibliography"/>
      </w:pPr>
      <w:r>
        <w:t xml:space="preserve">Paalman, C. H., Terwee, C. B., Jansma, E. P., &amp; Jansen, L. M. C. (2013). Instruments measuring externalizing mental health problems in immigrant ethnic minority youths:</w:t>
      </w:r>
      <w:r>
        <w:t xml:space="preserve"> </w:t>
      </w:r>
      <w:r>
        <w:t xml:space="preserve">A</w:t>
      </w:r>
      <w:r>
        <w:t xml:space="preserve"> </w:t>
      </w:r>
      <w:r>
        <w:t xml:space="preserve">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340">
        <w:r>
          <w:rPr>
            <w:rStyle w:val="Hyperlink"/>
          </w:rPr>
          <w:t xml:space="preserve">https://doi.org/10.1371/journal.pone.0063109</w:t>
        </w:r>
      </w:hyperlink>
    </w:p>
    <w:bookmarkEnd w:id="341"/>
    <w:bookmarkStart w:id="343" w:name="ref-Patterson1993"/>
    <w:p>
      <w:pPr>
        <w:pStyle w:val="Bibliography"/>
      </w:pPr>
      <w:r>
        <w:t xml:space="preserve">Patterson, G. R. (1993). Orderly change in a stable world:</w:t>
      </w:r>
      <w:r>
        <w:t xml:space="preserve"> </w:t>
      </w:r>
      <w:r>
        <w:t xml:space="preserve">The</w:t>
      </w:r>
      <w:r>
        <w:t xml:space="preserve"> </w:t>
      </w:r>
      <w:r>
        <w:t xml:space="preserve">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342">
        <w:r>
          <w:rPr>
            <w:rStyle w:val="Hyperlink"/>
          </w:rPr>
          <w:t xml:space="preserve">https://doi.org/10.1037/0022-006X.61.6.911</w:t>
        </w:r>
      </w:hyperlink>
    </w:p>
    <w:bookmarkEnd w:id="343"/>
    <w:bookmarkStart w:id="345" w:name="ref-Pavlovich2026"/>
    <w:p>
      <w:pPr>
        <w:pStyle w:val="Bibliography"/>
      </w:pPr>
      <w:r>
        <w:t xml:space="preserve">Pavlovich, K., Tiego, J., Constable, T., Fornito, A., &amp; Imaging, M. B. (2026). Assessing the psychometric properties of the</w:t>
      </w:r>
      <w:r>
        <w:t xml:space="preserve"> </w:t>
      </w:r>
      <w:r>
        <w:t xml:space="preserve">Child Behavior Checklist</w:t>
      </w:r>
      <w:r>
        <w:t xml:space="preserve"> </w:t>
      </w:r>
      <w:r>
        <w:t xml:space="preserve">in the</w:t>
      </w:r>
      <w:r>
        <w:t xml:space="preserve"> </w:t>
      </w:r>
      <w:r>
        <w:t xml:space="preserve">ABCD Study</w:t>
      </w:r>
      <w:r>
        <w:t xml:space="preserve">.</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44">
        <w:r>
          <w:rPr>
            <w:rStyle w:val="Hyperlink"/>
          </w:rPr>
          <w:t xml:space="preserve">https://doi.org/10.1111/desc.70216</w:t>
        </w:r>
      </w:hyperlink>
    </w:p>
    <w:bookmarkEnd w:id="345"/>
    <w:bookmarkStart w:id="347" w:name="ref-Petersen2024"/>
    <w:p>
      <w:pPr>
        <w:pStyle w:val="Bibliography"/>
      </w:pPr>
      <w:r>
        <w:t xml:space="preserve">Petersen, I. T. (2024). Reexamining developmental continuity and discontinuity in the 21st century:</w:t>
      </w:r>
      <w:r>
        <w:t xml:space="preserve"> </w:t>
      </w:r>
      <w:r>
        <w:t xml:space="preserve">Better</w:t>
      </w:r>
      <w:r>
        <w:t xml:space="preserve"> </w:t>
      </w:r>
      <w:r>
        <w:t xml:space="preserve">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46">
        <w:r>
          <w:rPr>
            <w:rStyle w:val="Hyperlink"/>
          </w:rPr>
          <w:t xml:space="preserve">https://doi.org/10.1037/dev0001657</w:t>
        </w:r>
      </w:hyperlink>
    </w:p>
    <w:bookmarkEnd w:id="347"/>
    <w:bookmarkStart w:id="348" w:name="ref-PetersenPrinciplesPsychAssessment"/>
    <w:p>
      <w:pPr>
        <w:pStyle w:val="Bibliography"/>
      </w:pPr>
      <w:r>
        <w:t xml:space="preserve">Petersen, I. T. (2026).</w:t>
      </w:r>
      <w:r>
        <w:t xml:space="preserve"> </w:t>
      </w:r>
      <w:r>
        <w:rPr>
          <w:i/>
          <w:iCs/>
        </w:rPr>
        <w:t xml:space="preserve">Principles of psychological assessment:</w:t>
      </w:r>
      <w:r>
        <w:rPr>
          <w:i/>
          <w:iCs/>
        </w:rPr>
        <w:t xml:space="preserve"> </w:t>
      </w:r>
      <w:r>
        <w:rPr>
          <w:i/>
          <w:iCs/>
        </w:rPr>
        <w:t xml:space="preserve">With</w:t>
      </w:r>
      <w:r>
        <w:rPr>
          <w:i/>
          <w:iCs/>
        </w:rPr>
        <w:t xml:space="preserve"> </w:t>
      </w:r>
      <w:r>
        <w:rPr>
          <w:i/>
          <w:iCs/>
        </w:rPr>
        <w:t xml:space="preserve">applied examples in</w:t>
      </w:r>
      <w:r>
        <w:rPr>
          <w:i/>
          <w:iCs/>
        </w:rPr>
        <w:t xml:space="preserve"> </w:t>
      </w:r>
      <w:r>
        <w:rPr>
          <w:i/>
          <w:iCs/>
        </w:rPr>
        <w:t xml:space="preserve">R</w:t>
      </w:r>
      <w:r>
        <w:t xml:space="preserve">. University of Iowa Libraries.</w:t>
      </w:r>
      <w:r>
        <w:t xml:space="preserve"> </w:t>
      </w:r>
      <w:hyperlink r:id="rId123">
        <w:r>
          <w:rPr>
            <w:rStyle w:val="Hyperlink"/>
          </w:rPr>
          <w:t xml:space="preserve">https://doi.org/10.25820/work.007199</w:t>
        </w:r>
      </w:hyperlink>
    </w:p>
    <w:bookmarkEnd w:id="348"/>
    <w:bookmarkStart w:id="34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53">
        <w:r>
          <w:rPr>
            <w:rStyle w:val="Hyperlink"/>
          </w:rPr>
          <w:t xml:space="preserve">https://doi.org/10.1017/S0954579414000789</w:t>
        </w:r>
      </w:hyperlink>
    </w:p>
    <w:bookmarkEnd w:id="349"/>
    <w:bookmarkStart w:id="351" w:name="ref-Petersen2020"/>
    <w:p>
      <w:pPr>
        <w:pStyle w:val="Bibliography"/>
      </w:pPr>
      <w:r>
        <w:t xml:space="preserve">Petersen, I. T., Choe, D. E., &amp; LeBeau, B. (2020). Studying a moving target in development:</w:t>
      </w:r>
      <w:r>
        <w:t xml:space="preserve"> </w:t>
      </w:r>
      <w:r>
        <w:t xml:space="preserve">The</w:t>
      </w:r>
      <w:r>
        <w:t xml:space="preserve"> </w:t>
      </w:r>
      <w:r>
        <w:t xml:space="preserve">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50">
        <w:r>
          <w:rPr>
            <w:rStyle w:val="Hyperlink"/>
          </w:rPr>
          <w:t xml:space="preserve">https://doi.org/10.1016/j.dr.2020.100935</w:t>
        </w:r>
      </w:hyperlink>
    </w:p>
    <w:bookmarkEnd w:id="351"/>
    <w:bookmarkStart w:id="352" w:name="ref-Petersen2026b"/>
    <w:p>
      <w:pPr>
        <w:pStyle w:val="Bibliography"/>
      </w:pPr>
      <w:r>
        <w:t xml:space="preserve">Petersen, I. T., Demko, Z., Doebler, P., Sabel, L., Oleson, J. J., &amp; Krueger, R. F. (2026). How often is</w:t>
      </w:r>
      <w:r>
        <w:t xml:space="preserve"> </w:t>
      </w:r>
      <w:r>
        <w:t xml:space="preserve">“often”</w:t>
      </w:r>
      <w:r>
        <w:t xml:space="preserve">?</w:t>
      </w:r>
      <w:r>
        <w:t xml:space="preserve"> </w:t>
      </w:r>
      <w:r>
        <w:t xml:space="preserve">Improving</w:t>
      </w:r>
      <w:r>
        <w:t xml:space="preserve"> </w:t>
      </w:r>
      <w:r>
        <w:t xml:space="preserve">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8">
        <w:r>
          <w:rPr>
            <w:rStyle w:val="Hyperlink"/>
          </w:rPr>
          <w:t xml:space="preserve">https://doi.org/10.1037/pas0001441</w:t>
        </w:r>
      </w:hyperlink>
    </w:p>
    <w:bookmarkEnd w:id="352"/>
    <w:bookmarkStart w:id="353"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8">
        <w:r>
          <w:rPr>
            <w:rStyle w:val="Hyperlink"/>
          </w:rPr>
          <w:t xml:space="preserve">https://doi.org/10.1016/j.jaacop.2025.10.008</w:t>
        </w:r>
      </w:hyperlink>
    </w:p>
    <w:bookmarkEnd w:id="353"/>
    <w:bookmarkStart w:id="354"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4">
        <w:r>
          <w:rPr>
            <w:rStyle w:val="Hyperlink"/>
          </w:rPr>
          <w:t xml:space="preserve">https://doi.org/10.1037/edu0000461</w:t>
        </w:r>
      </w:hyperlink>
    </w:p>
    <w:bookmarkEnd w:id="354"/>
    <w:bookmarkStart w:id="356" w:name="ref-Petersen2022"/>
    <w:p>
      <w:pPr>
        <w:pStyle w:val="Bibliography"/>
      </w:pPr>
      <w:r>
        <w:t xml:space="preserve">Petersen, I. T., &amp; LeBeau, B. (2022). Creating a developmental scale to chart the development of psychopathology with different informants and measures across time.</w:t>
      </w:r>
      <w:r>
        <w:t xml:space="preserve"> </w:t>
      </w:r>
      <w:r>
        <w:rPr>
          <w:i/>
          <w:iCs/>
        </w:rPr>
        <w:t xml:space="preserve">Journal of Psychopathology and Clinical Science</w:t>
      </w:r>
      <w:r>
        <w:t xml:space="preserve">,</w:t>
      </w:r>
      <w:r>
        <w:t xml:space="preserve"> </w:t>
      </w:r>
      <w:r>
        <w:rPr>
          <w:i/>
          <w:iCs/>
        </w:rPr>
        <w:t xml:space="preserve">131</w:t>
      </w:r>
      <w:r>
        <w:t xml:space="preserve">(6), 611–625.</w:t>
      </w:r>
      <w:r>
        <w:t xml:space="preserve"> </w:t>
      </w:r>
      <w:hyperlink r:id="rId355">
        <w:r>
          <w:rPr>
            <w:rStyle w:val="Hyperlink"/>
          </w:rPr>
          <w:t xml:space="preserve">https://doi.org/10.1037/abn0000649</w:t>
        </w:r>
      </w:hyperlink>
    </w:p>
    <w:bookmarkEnd w:id="356"/>
    <w:bookmarkStart w:id="358" w:name="ref-Petersen2021a"/>
    <w:p>
      <w:pPr>
        <w:pStyle w:val="Bibliography"/>
      </w:pPr>
      <w:r>
        <w:t xml:space="preserve">Petersen, I. T., LeBeau, B., &amp; Choe, D. E. (2021). Creating a developmental scale to account for heterotypic continuity in development:</w:t>
      </w:r>
      <w:r>
        <w:t xml:space="preserve"> </w:t>
      </w:r>
      <w:r>
        <w:t xml:space="preserve">A</w:t>
      </w:r>
      <w:r>
        <w:t xml:space="preserve"> </w:t>
      </w:r>
      <w:r>
        <w:t xml:space="preserve">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57">
        <w:r>
          <w:rPr>
            <w:rStyle w:val="Hyperlink"/>
          </w:rPr>
          <w:t xml:space="preserve">https://doi.org/10.1111/cdev.13433</w:t>
        </w:r>
      </w:hyperlink>
    </w:p>
    <w:bookmarkEnd w:id="358"/>
    <w:bookmarkStart w:id="360" w:name="ref-Petersen2018"/>
    <w:p>
      <w:pPr>
        <w:pStyle w:val="Bibliography"/>
      </w:pPr>
      <w:r>
        <w:t xml:space="preserve">Petersen, I. T., Lindhiem, O., LeBeau, B., Bates, J. E., Pettit, G. S., Lansford, J. E., &amp; Dodge, K. A. (2018). Development of internalizing problems from adolescence to emerging adulthood:</w:t>
      </w:r>
      <w:r>
        <w:t xml:space="preserve"> </w:t>
      </w:r>
      <w:r>
        <w:t xml:space="preserve">Accounting</w:t>
      </w:r>
      <w:r>
        <w:t xml:space="preserve"> </w:t>
      </w:r>
      <w:r>
        <w:t xml:space="preserve">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59">
        <w:r>
          <w:rPr>
            <w:rStyle w:val="Hyperlink"/>
          </w:rPr>
          <w:t xml:space="preserve">https://doi.org/10.1037/dev0000449</w:t>
        </w:r>
      </w:hyperlink>
    </w:p>
    <w:bookmarkEnd w:id="360"/>
    <w:bookmarkStart w:id="362" w:name="ref-Petscher2018"/>
    <w:p>
      <w:pPr>
        <w:pStyle w:val="Bibliography"/>
      </w:pPr>
      <w:r>
        <w:t xml:space="preserve">Petscher, Y., Justice, L. M., &amp; Hogan, T. (2018). Modeling the early language trajectory of language development when the measures change and its relation to poor reading comprehension.</w:t>
      </w:r>
      <w:r>
        <w:t xml:space="preserve"> </w:t>
      </w:r>
      <w:r>
        <w:rPr>
          <w:i/>
          <w:iCs/>
        </w:rPr>
        <w:t xml:space="preserve">Child Development</w:t>
      </w:r>
      <w:r>
        <w:t xml:space="preserve">,</w:t>
      </w:r>
      <w:r>
        <w:t xml:space="preserve"> </w:t>
      </w:r>
      <w:r>
        <w:rPr>
          <w:i/>
          <w:iCs/>
        </w:rPr>
        <w:t xml:space="preserve">89</w:t>
      </w:r>
      <w:r>
        <w:t xml:space="preserve">(6), 2136–2156.</w:t>
      </w:r>
      <w:r>
        <w:t xml:space="preserve"> </w:t>
      </w:r>
      <w:hyperlink r:id="rId361">
        <w:r>
          <w:rPr>
            <w:rStyle w:val="Hyperlink"/>
          </w:rPr>
          <w:t xml:space="preserve">https://doi.org/10.1111/cdev.12880</w:t>
        </w:r>
      </w:hyperlink>
    </w:p>
    <w:bookmarkEnd w:id="362"/>
    <w:bookmarkStart w:id="364" w:name="ref-Podsakoff2012"/>
    <w:p>
      <w:pPr>
        <w:pStyle w:val="Bibliography"/>
      </w:pPr>
      <w:r>
        <w:t xml:space="preserve">Podsakoff, P. M., MacKenzie, S. B., &amp; Podsakoff, N. P. (2012). Sources of method bias in social science research and recommendations on how to control it.</w:t>
      </w:r>
      <w:r>
        <w:t xml:space="preserve"> </w:t>
      </w:r>
      <w:r>
        <w:rPr>
          <w:i/>
          <w:iCs/>
        </w:rPr>
        <w:t xml:space="preserve">Annual Review of Psychology</w:t>
      </w:r>
      <w:r>
        <w:t xml:space="preserve">,</w:t>
      </w:r>
      <w:r>
        <w:t xml:space="preserve"> </w:t>
      </w:r>
      <w:r>
        <w:rPr>
          <w:i/>
          <w:iCs/>
        </w:rPr>
        <w:t xml:space="preserve">63</w:t>
      </w:r>
      <w:r>
        <w:t xml:space="preserve">(1), 539–569.</w:t>
      </w:r>
      <w:r>
        <w:t xml:space="preserve"> </w:t>
      </w:r>
      <w:hyperlink r:id="rId363">
        <w:r>
          <w:rPr>
            <w:rStyle w:val="Hyperlink"/>
          </w:rPr>
          <w:t xml:space="preserve">https://doi.org/10.1146/annurev-psych-120710-100452</w:t>
        </w:r>
      </w:hyperlink>
    </w:p>
    <w:bookmarkEnd w:id="364"/>
    <w:bookmarkStart w:id="366" w:name="ref-Poulton2015"/>
    <w:p>
      <w:pPr>
        <w:pStyle w:val="Bibliography"/>
      </w:pPr>
      <w:r>
        <w:t xml:space="preserve">Poulton, R., Moffitt, T. E., &amp; Silva, P. A. (2015). The</w:t>
      </w:r>
      <w:r>
        <w:t xml:space="preserve"> </w:t>
      </w:r>
      <w:r>
        <w:t xml:space="preserve">Dunedin Multidisciplinary Health and Development Study</w:t>
      </w:r>
      <w:r>
        <w:t xml:space="preserve">:</w:t>
      </w:r>
      <w:r>
        <w:t xml:space="preserve"> </w:t>
      </w:r>
      <w:r>
        <w:t xml:space="preserve">Overview</w:t>
      </w:r>
      <w:r>
        <w:t xml:space="preserve"> </w:t>
      </w:r>
      <w:r>
        <w:t xml:space="preserve">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65">
        <w:r>
          <w:rPr>
            <w:rStyle w:val="Hyperlink"/>
          </w:rPr>
          <w:t xml:space="preserve">https://doi.org/10.1007/s00127-015-1048-8</w:t>
        </w:r>
      </w:hyperlink>
    </w:p>
    <w:bookmarkEnd w:id="366"/>
    <w:bookmarkStart w:id="368"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w:t>
      </w:r>
      <w:r>
        <w:t xml:space="preserve"> </w:t>
      </w:r>
      <w:r>
        <w:t xml:space="preserve">A</w:t>
      </w:r>
      <w:r>
        <w:t xml:space="preserve"> </w:t>
      </w:r>
      <w:r>
        <w:t xml:space="preserve">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67">
        <w:r>
          <w:rPr>
            <w:rStyle w:val="Hyperlink"/>
          </w:rPr>
          <w:t xml:space="preserve">https://doi.org/10.1037/pas0000754</w:t>
        </w:r>
      </w:hyperlink>
    </w:p>
    <w:bookmarkEnd w:id="368"/>
    <w:bookmarkStart w:id="370"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69">
        <w:r>
          <w:rPr>
            <w:rStyle w:val="Hyperlink"/>
          </w:rPr>
          <w:t xml:space="preserve">https://doi.org/10.1080/10705511.2023.2191292</w:t>
        </w:r>
      </w:hyperlink>
    </w:p>
    <w:bookmarkEnd w:id="370"/>
    <w:bookmarkStart w:id="371" w:name="ref-Roche1992"/>
    <w:p>
      <w:pPr>
        <w:pStyle w:val="Bibliography"/>
      </w:pPr>
      <w:r>
        <w:t xml:space="preserve">Roche, A. F. (1992).</w:t>
      </w:r>
      <w:r>
        <w:t xml:space="preserve"> </w:t>
      </w:r>
      <w:r>
        <w:rPr>
          <w:i/>
          <w:iCs/>
        </w:rPr>
        <w:t xml:space="preserve">Growth, maturation, and body composition:</w:t>
      </w:r>
      <w:r>
        <w:rPr>
          <w:i/>
          <w:iCs/>
        </w:rPr>
        <w:t xml:space="preserve"> </w:t>
      </w:r>
      <w:r>
        <w:rPr>
          <w:i/>
          <w:iCs/>
        </w:rPr>
        <w:t xml:space="preserve">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71"/>
    <w:bookmarkStart w:id="373"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72">
        <w:r>
          <w:rPr>
            <w:rStyle w:val="Hyperlink"/>
          </w:rPr>
          <w:t xml:space="preserve">https://doi.org/10.1177/25152459251342750</w:t>
        </w:r>
      </w:hyperlink>
    </w:p>
    <w:bookmarkEnd w:id="373"/>
    <w:bookmarkStart w:id="37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74">
        <w:r>
          <w:rPr>
            <w:rStyle w:val="Hyperlink"/>
          </w:rPr>
          <w:t xml:space="preserve">https://doi.org/10.1111/j.1469-7610.2006.01614.x</w:t>
        </w:r>
      </w:hyperlink>
    </w:p>
    <w:bookmarkEnd w:id="375"/>
    <w:bookmarkStart w:id="377" w:name="ref-SacuInPress"/>
    <w:p>
      <w:pPr>
        <w:pStyle w:val="Bibliography"/>
      </w:pPr>
      <w:r>
        <w:t xml:space="preserve">Sacu, S., Streit, F., Witt, S. H., Banaschewski, T., Holz, N. E., &amp; Schultebraucks, K. (in press). Predicting psychopathology symptom trajectories using machine learning:</w:t>
      </w:r>
      <w:r>
        <w:t xml:space="preserve"> </w:t>
      </w:r>
      <w:r>
        <w:t xml:space="preserve">A</w:t>
      </w:r>
      <w:r>
        <w:t xml:space="preserve"> </w:t>
      </w:r>
      <w:r>
        <w:t xml:space="preserve">33-year prospective study.</w:t>
      </w:r>
      <w:r>
        <w:t xml:space="preserve"> </w:t>
      </w:r>
      <w:r>
        <w:rPr>
          <w:i/>
          <w:iCs/>
        </w:rPr>
        <w:t xml:space="preserve">Journal of Child Psychology and Psychiatry</w:t>
      </w:r>
      <w:r>
        <w:t xml:space="preserve">.</w:t>
      </w:r>
      <w:r>
        <w:t xml:space="preserve"> </w:t>
      </w:r>
      <w:hyperlink r:id="rId376">
        <w:r>
          <w:rPr>
            <w:rStyle w:val="Hyperlink"/>
          </w:rPr>
          <w:t xml:space="preserve">https://doi.org/10.1111/jcpp.70180</w:t>
        </w:r>
      </w:hyperlink>
    </w:p>
    <w:bookmarkEnd w:id="377"/>
    <w:bookmarkStart w:id="379" w:name="ref-Schaefer2017"/>
    <w:p>
      <w:pPr>
        <w:pStyle w:val="Bibliography"/>
      </w:pPr>
      <w:r>
        <w:t xml:space="preserve">Schaefer, J. D., Caspi, A., Belsky, D. W., Harrington, H., Houts, R., Horwood, L. J., Hussong, A., Ramrakha, S., Poulton, R., &amp; Moffitt, T. E. (2017). Enduring mental health:</w:t>
      </w:r>
      <w:r>
        <w:t xml:space="preserve"> </w:t>
      </w:r>
      <w:r>
        <w:t xml:space="preserve">Prevalence</w:t>
      </w:r>
      <w:r>
        <w:t xml:space="preserve"> </w:t>
      </w:r>
      <w:r>
        <w:t xml:space="preserve">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78">
        <w:r>
          <w:rPr>
            <w:rStyle w:val="Hyperlink"/>
          </w:rPr>
          <w:t xml:space="preserve">https://doi.org/10.1037/abn0000232</w:t>
        </w:r>
      </w:hyperlink>
    </w:p>
    <w:bookmarkEnd w:id="379"/>
    <w:bookmarkStart w:id="381" w:name="ref-Schaeffer1991"/>
    <w:p>
      <w:pPr>
        <w:pStyle w:val="Bibliography"/>
      </w:pPr>
      <w:r>
        <w:t xml:space="preserve">Schaeffer, N. C. (1991). Hardly ever or constantly?</w:t>
      </w:r>
      <w:r>
        <w:t xml:space="preserve"> </w:t>
      </w:r>
      <w:r>
        <w:t xml:space="preserve">Group</w:t>
      </w:r>
      <w:r>
        <w:t xml:space="preserve"> </w:t>
      </w:r>
      <w:r>
        <w:t xml:space="preserve">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80">
        <w:r>
          <w:rPr>
            <w:rStyle w:val="Hyperlink"/>
          </w:rPr>
          <w:t xml:space="preserve">https://doi.org/10.1086/269270</w:t>
        </w:r>
      </w:hyperlink>
    </w:p>
    <w:bookmarkEnd w:id="381"/>
    <w:bookmarkStart w:id="382" w:name="ref-Schaie2005"/>
    <w:p>
      <w:pPr>
        <w:pStyle w:val="Bibliography"/>
      </w:pPr>
      <w:r>
        <w:t xml:space="preserve">Schaie, K. W. (2005).</w:t>
      </w:r>
      <w:r>
        <w:t xml:space="preserve"> </w:t>
      </w:r>
      <w:r>
        <w:rPr>
          <w:i/>
          <w:iCs/>
        </w:rPr>
        <w:t xml:space="preserve">Developmental influences on adult intelligence:</w:t>
      </w:r>
      <w:r>
        <w:rPr>
          <w:i/>
          <w:iCs/>
        </w:rPr>
        <w:t xml:space="preserve"> </w:t>
      </w:r>
      <w:r>
        <w:rPr>
          <w:i/>
          <w:iCs/>
        </w:rPr>
        <w:t xml:space="preserve">The</w:t>
      </w:r>
      <w:r>
        <w:rPr>
          <w:i/>
          <w:iCs/>
        </w:rPr>
        <w:t xml:space="preserve"> </w:t>
      </w:r>
      <w:r>
        <w:rPr>
          <w:i/>
          <w:iCs/>
        </w:rPr>
        <w:t xml:space="preserve">Seattle Longitudinal Study</w:t>
      </w:r>
      <w:r>
        <w:t xml:space="preserve">. Oxford University Press.</w:t>
      </w:r>
    </w:p>
    <w:bookmarkEnd w:id="382"/>
    <w:bookmarkStart w:id="384" w:name="ref-Schwarz1999"/>
    <w:p>
      <w:pPr>
        <w:pStyle w:val="Bibliography"/>
      </w:pPr>
      <w:r>
        <w:t xml:space="preserve">Schwarz, N. (1999). Self-reports:</w:t>
      </w:r>
      <w:r>
        <w:t xml:space="preserve"> </w:t>
      </w:r>
      <w:r>
        <w:t xml:space="preserve">How</w:t>
      </w:r>
      <w:r>
        <w:t xml:space="preserve"> </w:t>
      </w:r>
      <w:r>
        <w:t xml:space="preserve">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83">
        <w:r>
          <w:rPr>
            <w:rStyle w:val="Hyperlink"/>
          </w:rPr>
          <w:t xml:space="preserve">https://doi.org/10.1037/0003-066X.54.2.93</w:t>
        </w:r>
      </w:hyperlink>
    </w:p>
    <w:bookmarkEnd w:id="384"/>
    <w:bookmarkStart w:id="386" w:name="ref-Seddig2018"/>
    <w:p>
      <w:pPr>
        <w:pStyle w:val="Bibliography"/>
      </w:pPr>
      <w:r>
        <w:t xml:space="preserve">Seddig, D., &amp; Leitgöb, H. (2018). Approximate measurement invariance and longitudinal confirmatory factor analysis:</w:t>
      </w:r>
      <w:r>
        <w:t xml:space="preserve"> </w:t>
      </w:r>
      <w:r>
        <w:t xml:space="preserve">Concept</w:t>
      </w:r>
      <w:r>
        <w:t xml:space="preserve"> </w:t>
      </w:r>
      <w:r>
        <w:t xml:space="preserve">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85">
        <w:r>
          <w:rPr>
            <w:rStyle w:val="Hyperlink"/>
          </w:rPr>
          <w:t xml:space="preserve">https://doi.org/10.18148/srm/2018.v12i1.7210</w:t>
        </w:r>
      </w:hyperlink>
    </w:p>
    <w:bookmarkEnd w:id="386"/>
    <w:bookmarkStart w:id="388"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87">
        <w:r>
          <w:rPr>
            <w:rStyle w:val="Hyperlink"/>
          </w:rPr>
          <w:t xml:space="preserve">https://doi.org/10.1037/abn0000171</w:t>
        </w:r>
      </w:hyperlink>
    </w:p>
    <w:bookmarkEnd w:id="388"/>
    <w:bookmarkStart w:id="390" w:name="ref-Shi2020"/>
    <w:p>
      <w:pPr>
        <w:pStyle w:val="Bibliography"/>
      </w:pPr>
      <w:r>
        <w:t xml:space="preserve">Shi, Q., Ettekal, I., Deutz, M. H. F., &amp; Woltering, S. (2020). Trajectories of pure and co-occurring internalizing and externalizing problems from early childhood to adolescence:</w:t>
      </w:r>
      <w:r>
        <w:t xml:space="preserve"> </w:t>
      </w:r>
      <w:r>
        <w:t xml:space="preserve">Associations</w:t>
      </w:r>
      <w:r>
        <w:t xml:space="preserve"> </w:t>
      </w:r>
      <w:r>
        <w:t xml:space="preserve">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89">
        <w:r>
          <w:rPr>
            <w:rStyle w:val="Hyperlink"/>
          </w:rPr>
          <w:t xml:space="preserve">https://doi.org/10.1037/dev0001095</w:t>
        </w:r>
      </w:hyperlink>
    </w:p>
    <w:bookmarkEnd w:id="390"/>
    <w:bookmarkStart w:id="392"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91">
        <w:r>
          <w:rPr>
            <w:rStyle w:val="Hyperlink"/>
          </w:rPr>
          <w:t xml:space="preserve">https://doi.org/10.1037/pas0000648</w:t>
        </w:r>
      </w:hyperlink>
    </w:p>
    <w:bookmarkEnd w:id="392"/>
    <w:bookmarkStart w:id="393" w:name="ref-Sivertsson2024"/>
    <w:p>
      <w:pPr>
        <w:pStyle w:val="Bibliography"/>
      </w:pPr>
      <w:r>
        <w:t xml:space="preserve">Sivertsson, F., Carlsson, C., Almquist, Y. B., &amp; Brännström, L. (2024). Offending trajectories from childhood to retirement age:</w:t>
      </w:r>
      <w:r>
        <w:t xml:space="preserve"> </w:t>
      </w:r>
      <w:r>
        <w:t xml:space="preserve">Findings</w:t>
      </w:r>
      <w:r>
        <w:t xml:space="preserve"> </w:t>
      </w:r>
      <w:r>
        <w:t xml:space="preserve">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52">
        <w:r>
          <w:rPr>
            <w:rStyle w:val="Hyperlink"/>
          </w:rPr>
          <w:t xml:space="preserve">https://doi.org/10.1016/j.jcrimjus.2024.102155</w:t>
        </w:r>
      </w:hyperlink>
    </w:p>
    <w:bookmarkEnd w:id="393"/>
    <w:bookmarkStart w:id="395" w:name="ref-Speyer2022"/>
    <w:p>
      <w:pPr>
        <w:pStyle w:val="Bibliography"/>
      </w:pPr>
      <w:r>
        <w:t xml:space="preserve">Speyer, L. G., Neaves, S., Hall, H. A., Hemani, G., Lombardo, M. V., Murray, A. L., Auyeung, B., &amp; Luciano, M. (2022). Polygenic risks for joint developmental trajectories of internalizing and externalizing problems:</w:t>
      </w:r>
      <w:r>
        <w:t xml:space="preserve"> </w:t>
      </w:r>
      <w:r>
        <w:t xml:space="preserve">Findings</w:t>
      </w:r>
      <w:r>
        <w:t xml:space="preserve"> </w:t>
      </w:r>
      <w:r>
        <w:t xml:space="preserve">from the</w:t>
      </w:r>
      <w:r>
        <w:t xml:space="preserve"> </w:t>
      </w:r>
      <w:r>
        <w:t xml:space="preserve">ALSPAC</w:t>
      </w:r>
      <w:r>
        <w:t xml:space="preserve"> </w:t>
      </w:r>
      <w:r>
        <w:t xml:space="preserve">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94">
        <w:r>
          <w:rPr>
            <w:rStyle w:val="Hyperlink"/>
          </w:rPr>
          <w:t xml:space="preserve">https://doi.org/10.1111/jcpp.13549</w:t>
        </w:r>
      </w:hyperlink>
    </w:p>
    <w:bookmarkEnd w:id="395"/>
    <w:bookmarkStart w:id="396"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96"/>
    <w:bookmarkStart w:id="398"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97">
        <w:r>
          <w:rPr>
            <w:rStyle w:val="Hyperlink"/>
          </w:rPr>
          <w:t xml:space="preserve">https://doi.org/10.1146/annurev-criminol-111523-122451</w:t>
        </w:r>
      </w:hyperlink>
    </w:p>
    <w:bookmarkEnd w:id="398"/>
    <w:bookmarkStart w:id="400" w:name="ref-Sterba2007"/>
    <w:p>
      <w:pPr>
        <w:pStyle w:val="Bibliography"/>
      </w:pPr>
      <w:r>
        <w:t xml:space="preserve">Sterba, S. K., Prinstein, M. J., &amp; Cox, M. J. (2007). Trajectories of internalizing problems across childhood:</w:t>
      </w:r>
      <w:r>
        <w:t xml:space="preserve"> </w:t>
      </w:r>
      <w:r>
        <w:t xml:space="preserve">Heterogeneity</w:t>
      </w:r>
      <w:r>
        <w:t xml:space="preserve">,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99">
        <w:r>
          <w:rPr>
            <w:rStyle w:val="Hyperlink"/>
          </w:rPr>
          <w:t xml:space="preserve">https://doi.org/10.1017/S0954579407070174</w:t>
        </w:r>
      </w:hyperlink>
    </w:p>
    <w:bookmarkEnd w:id="400"/>
    <w:bookmarkStart w:id="402" w:name="ref-Sterner2026"/>
    <w:p>
      <w:pPr>
        <w:pStyle w:val="Bibliography"/>
      </w:pPr>
      <w:r>
        <w:t xml:space="preserve">Sterner, P., Pargent, F., &amp; Goretzko, D. (2026). Don’t let</w:t>
      </w:r>
      <w:r>
        <w:t xml:space="preserve"> </w:t>
      </w:r>
      <w:r>
        <w:t xml:space="preserve">MI</w:t>
      </w:r>
      <w:r>
        <w:t xml:space="preserve"> </w:t>
      </w:r>
      <w:r>
        <w:t xml:space="preserve">be misunderstood:</w:t>
      </w:r>
      <w:r>
        <w:t xml:space="preserve"> </w:t>
      </w:r>
      <w:r>
        <w:t xml:space="preserve">A</w:t>
      </w:r>
      <w:r>
        <w:t xml:space="preserve"> </w:t>
      </w:r>
      <w:r>
        <w:t xml:space="preserve">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401">
        <w:r>
          <w:rPr>
            <w:rStyle w:val="Hyperlink"/>
          </w:rPr>
          <w:t xml:space="preserve">https://doi.org/10.1016/j.cresp.2025.100261</w:t>
        </w:r>
      </w:hyperlink>
    </w:p>
    <w:bookmarkEnd w:id="402"/>
    <w:bookmarkStart w:id="404"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403">
        <w:r>
          <w:rPr>
            <w:rStyle w:val="Hyperlink"/>
          </w:rPr>
          <w:t xml:space="preserve">https://doi.org/10.1177/1362361320908972</w:t>
        </w:r>
      </w:hyperlink>
    </w:p>
    <w:bookmarkEnd w:id="404"/>
    <w:bookmarkStart w:id="406" w:name="ref-Student2025"/>
    <w:p>
      <w:pPr>
        <w:pStyle w:val="Bibliography"/>
      </w:pPr>
      <w:r>
        <w:t xml:space="preserve">Student, S. R. (2025). Vertical scaling with moderated nonlinear factor analysis.</w:t>
      </w:r>
      <w:r>
        <w:t xml:space="preserve"> </w:t>
      </w:r>
      <w:r>
        <w:rPr>
          <w:i/>
          <w:iCs/>
        </w:rPr>
        <w:t xml:space="preserve">Journal of Educational Measurement</w:t>
      </w:r>
      <w:r>
        <w:t xml:space="preserve">,</w:t>
      </w:r>
      <w:r>
        <w:t xml:space="preserve"> </w:t>
      </w:r>
      <w:r>
        <w:rPr>
          <w:i/>
          <w:iCs/>
        </w:rPr>
        <w:t xml:space="preserve">62</w:t>
      </w:r>
      <w:r>
        <w:t xml:space="preserve">(4), 929–958.</w:t>
      </w:r>
      <w:r>
        <w:t xml:space="preserve"> </w:t>
      </w:r>
      <w:hyperlink r:id="rId405">
        <w:r>
          <w:rPr>
            <w:rStyle w:val="Hyperlink"/>
          </w:rPr>
          <w:t xml:space="preserve">https://doi.org/10.1111/jedm.70019</w:t>
        </w:r>
      </w:hyperlink>
    </w:p>
    <w:bookmarkEnd w:id="406"/>
    <w:bookmarkStart w:id="408" w:name="ref-Tackett2022"/>
    <w:p>
      <w:pPr>
        <w:pStyle w:val="Bibliography"/>
      </w:pPr>
      <w:r>
        <w:t xml:space="preserve">Tackett, J. L., &amp; Hallquist, M. (2022). The need to grow:</w:t>
      </w:r>
      <w:r>
        <w:t xml:space="preserve"> </w:t>
      </w:r>
      <w:r>
        <w:t xml:space="preserve">Developmental</w:t>
      </w:r>
      <w:r>
        <w:t xml:space="preserve"> </w:t>
      </w:r>
      <w:r>
        <w:t xml:space="preserve">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407">
        <w:r>
          <w:rPr>
            <w:rStyle w:val="Hyperlink"/>
          </w:rPr>
          <w:t xml:space="preserve">https://doi.org/10.1037/abn0000751</w:t>
        </w:r>
      </w:hyperlink>
    </w:p>
    <w:bookmarkEnd w:id="408"/>
    <w:bookmarkStart w:id="41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409">
        <w:r>
          <w:rPr>
            <w:rStyle w:val="Hyperlink"/>
          </w:rPr>
          <w:t xml:space="preserve">https://doi.org/10.1038/s44220-023-00057-5</w:t>
        </w:r>
      </w:hyperlink>
    </w:p>
    <w:bookmarkEnd w:id="410"/>
    <w:bookmarkStart w:id="412" w:name="ref-Tyrell2019"/>
    <w:p>
      <w:pPr>
        <w:pStyle w:val="Bibliography"/>
      </w:pPr>
      <w:r>
        <w:t xml:space="preserve">Tyrell, F. A., Yates, T. M., Widaman, K. F., Reynolds, C. A., &amp; Fabricius, W. V. (2019). Data harmonization:</w:t>
      </w:r>
      <w:r>
        <w:t xml:space="preserve"> </w:t>
      </w:r>
      <w:r>
        <w:t xml:space="preserve">Establishing</w:t>
      </w:r>
      <w:r>
        <w:t xml:space="preserve"> </w:t>
      </w:r>
      <w:r>
        <w:t xml:space="preserve">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411">
        <w:r>
          <w:rPr>
            <w:rStyle w:val="Hyperlink"/>
          </w:rPr>
          <w:t xml:space="preserve">https://doi.org/10.1080/15374416.2019.1622124</w:t>
        </w:r>
      </w:hyperlink>
    </w:p>
    <w:bookmarkEnd w:id="412"/>
    <w:bookmarkStart w:id="414" w:name="ref-Vaillant2012"/>
    <w:p>
      <w:pPr>
        <w:pStyle w:val="Bibliography"/>
      </w:pPr>
      <w:r>
        <w:t xml:space="preserve">Vaillant, G. E. (2012).</w:t>
      </w:r>
      <w:r>
        <w:t xml:space="preserve"> </w:t>
      </w:r>
      <w:r>
        <w:rPr>
          <w:i/>
          <w:iCs/>
        </w:rPr>
        <w:t xml:space="preserve">Triumphs of experience:</w:t>
      </w:r>
      <w:r>
        <w:rPr>
          <w:i/>
          <w:iCs/>
        </w:rPr>
        <w:t xml:space="preserve"> </w:t>
      </w:r>
      <w:r>
        <w:rPr>
          <w:i/>
          <w:iCs/>
        </w:rPr>
        <w:t xml:space="preserve">The</w:t>
      </w:r>
      <w:r>
        <w:rPr>
          <w:i/>
          <w:iCs/>
        </w:rPr>
        <w:t xml:space="preserve"> </w:t>
      </w:r>
      <w:r>
        <w:rPr>
          <w:i/>
          <w:iCs/>
        </w:rPr>
        <w:t xml:space="preserve">men of the</w:t>
      </w:r>
      <w:r>
        <w:rPr>
          <w:i/>
          <w:iCs/>
        </w:rPr>
        <w:t xml:space="preserve"> </w:t>
      </w:r>
      <w:r>
        <w:rPr>
          <w:i/>
          <w:iCs/>
        </w:rPr>
        <w:t xml:space="preserve">Harvard Grant Study</w:t>
      </w:r>
      <w:r>
        <w:t xml:space="preserve">. Harvard University Press.</w:t>
      </w:r>
      <w:r>
        <w:t xml:space="preserve"> </w:t>
      </w:r>
      <w:hyperlink r:id="rId413">
        <w:r>
          <w:rPr>
            <w:rStyle w:val="Hyperlink"/>
          </w:rPr>
          <w:t xml:space="preserve">https://doi.org/10.2307/j.ctt2jbxs1</w:t>
        </w:r>
      </w:hyperlink>
    </w:p>
    <w:bookmarkEnd w:id="414"/>
    <w:bookmarkStart w:id="41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w:t>
      </w:r>
      <w:r>
        <w:t xml:space="preserve"> </w:t>
      </w:r>
      <w:r>
        <w:t xml:space="preserve">A</w:t>
      </w:r>
      <w:r>
        <w:t xml:space="preserve"> </w:t>
      </w:r>
      <w:r>
        <w:t xml:space="preserve">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415">
        <w:r>
          <w:rPr>
            <w:rStyle w:val="Hyperlink"/>
          </w:rPr>
          <w:t xml:space="preserve">https://doi.org/10.3389/fpsyg.2013.00770</w:t>
        </w:r>
      </w:hyperlink>
    </w:p>
    <w:bookmarkEnd w:id="416"/>
    <w:bookmarkStart w:id="41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417">
        <w:r>
          <w:rPr>
            <w:rStyle w:val="Hyperlink"/>
          </w:rPr>
          <w:t xml:space="preserve">https://doi.org/10.1016/j.jaac.2013.10.011</w:t>
        </w:r>
      </w:hyperlink>
    </w:p>
    <w:bookmarkEnd w:id="418"/>
    <w:bookmarkStart w:id="42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w:t>
      </w:r>
      <w:r>
        <w:t xml:space="preserve"> </w:t>
      </w:r>
      <w:r>
        <w:t xml:space="preserve">A</w:t>
      </w:r>
      <w:r>
        <w:t xml:space="preserve"> </w:t>
      </w:r>
      <w:r>
        <w:t xml:space="preserve">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419">
        <w:r>
          <w:rPr>
            <w:rStyle w:val="Hyperlink"/>
          </w:rPr>
          <w:t xml:space="preserve">https://doi.org/10.1080/15374416.2018.1561296</w:t>
        </w:r>
      </w:hyperlink>
    </w:p>
    <w:bookmarkEnd w:id="420"/>
    <w:bookmarkStart w:id="422" w:name="ref-Walters2011"/>
    <w:p>
      <w:pPr>
        <w:pStyle w:val="Bibliography"/>
      </w:pPr>
      <w:r>
        <w:t xml:space="preserve">Walters, G. D. (2011). The latent structure of life-course-persistent antisocial behavior:</w:t>
      </w:r>
      <w:r>
        <w:t xml:space="preserve"> </w:t>
      </w:r>
      <w:r>
        <w:t xml:space="preserve">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421">
        <w:r>
          <w:rPr>
            <w:rStyle w:val="Hyperlink"/>
          </w:rPr>
          <w:t xml:space="preserve">https://doi.org/10.1037/a0021519</w:t>
        </w:r>
      </w:hyperlink>
    </w:p>
    <w:bookmarkEnd w:id="422"/>
    <w:bookmarkStart w:id="424" w:name="ref-Walters2012"/>
    <w:p>
      <w:pPr>
        <w:pStyle w:val="Bibliography"/>
      </w:pPr>
      <w:r>
        <w:t xml:space="preserve">Walters, G. D. (2012). Developmental trajectories of delinquent behavior:</w:t>
      </w:r>
      <w:r>
        <w:t xml:space="preserve"> </w:t>
      </w:r>
      <w:r>
        <w:t xml:space="preserve">One</w:t>
      </w:r>
      <w:r>
        <w:t xml:space="preserve"> </w:t>
      </w:r>
      <w:r>
        <w:t xml:space="preserve">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423">
        <w:r>
          <w:rPr>
            <w:rStyle w:val="Hyperlink"/>
          </w:rPr>
          <w:t xml:space="preserve">https://doi.org/10.1177/0093854812443645</w:t>
        </w:r>
      </w:hyperlink>
    </w:p>
    <w:bookmarkEnd w:id="424"/>
    <w:bookmarkStart w:id="42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425">
        <w:r>
          <w:rPr>
            <w:rStyle w:val="Hyperlink"/>
          </w:rPr>
          <w:t xml:space="preserve">https://doi.org/10.1007/s12103-013-9235-1</w:t>
        </w:r>
      </w:hyperlink>
    </w:p>
    <w:bookmarkEnd w:id="426"/>
    <w:bookmarkStart w:id="428" w:name="ref-Walters2015"/>
    <w:p>
      <w:pPr>
        <w:pStyle w:val="Bibliography"/>
      </w:pPr>
      <w:r>
        <w:t xml:space="preserve">Walters, G. D. (2015). The latent structure of criminal persistence:</w:t>
      </w:r>
      <w:r>
        <w:t xml:space="preserve"> </w:t>
      </w:r>
      <w:r>
        <w:t xml:space="preserve">A</w:t>
      </w:r>
      <w:r>
        <w:t xml:space="preserve"> </w:t>
      </w:r>
      <w:r>
        <w:t xml:space="preserve">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427">
        <w:r>
          <w:rPr>
            <w:rStyle w:val="Hyperlink"/>
          </w:rPr>
          <w:t xml:space="preserve">https://doi.org/10.1007/s12103-014-9272-4</w:t>
        </w:r>
      </w:hyperlink>
    </w:p>
    <w:bookmarkEnd w:id="428"/>
    <w:bookmarkStart w:id="430" w:name="ref-Walters2013"/>
    <w:p>
      <w:pPr>
        <w:pStyle w:val="Bibliography"/>
      </w:pPr>
      <w:r>
        <w:t xml:space="preserve">Walters, G. D., &amp; Ruscio, J. (2013). Trajectories of youthful antisocial behavior:</w:t>
      </w:r>
      <w:r>
        <w:t xml:space="preserve"> </w:t>
      </w:r>
      <w:r>
        <w:t xml:space="preserve">Categories</w:t>
      </w:r>
      <w:r>
        <w:t xml:space="preserve"> </w:t>
      </w:r>
      <w:r>
        <w:t xml:space="preserve">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429">
        <w:r>
          <w:rPr>
            <w:rStyle w:val="Hyperlink"/>
          </w:rPr>
          <w:t xml:space="preserve">https://doi.org/10.1007/s10802-012-9700-1</w:t>
        </w:r>
      </w:hyperlink>
    </w:p>
    <w:bookmarkEnd w:id="430"/>
    <w:bookmarkStart w:id="432" w:name="ref-Walton2011"/>
    <w:p>
      <w:pPr>
        <w:pStyle w:val="Bibliography"/>
      </w:pPr>
      <w:r>
        <w:t xml:space="preserve">Walton, K. E., Ormel, J., &amp; Krueger, R. F. (2011). The dimensional nature of externalizing behaviors in adolescence:</w:t>
      </w:r>
      <w:r>
        <w:t xml:space="preserve"> </w:t>
      </w:r>
      <w:r>
        <w:t xml:space="preserve">Evidence</w:t>
      </w:r>
      <w:r>
        <w:t xml:space="preserve"> </w:t>
      </w:r>
      <w:r>
        <w:t xml:space="preserve">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431">
        <w:r>
          <w:rPr>
            <w:rStyle w:val="Hyperlink"/>
          </w:rPr>
          <w:t xml:space="preserve">https://doi.org/10.1007/s10802-010-9478-y</w:t>
        </w:r>
      </w:hyperlink>
    </w:p>
    <w:bookmarkEnd w:id="432"/>
    <w:bookmarkStart w:id="434" w:name="ref-Ward2022"/>
    <w:p>
      <w:pPr>
        <w:pStyle w:val="Bibliography"/>
      </w:pPr>
      <w:r>
        <w:t xml:space="preserve">Ward, C., Oleson, J., Tomblin, J. B., &amp; Walker, E. (2022). Modeling population and subject-specific growth in a latent trait measured by multiple instruments over time using a hierarchical</w:t>
      </w:r>
      <w:r>
        <w:t xml:space="preserve"> </w:t>
      </w:r>
      <w:r>
        <w:t xml:space="preserve">Bayesian</w:t>
      </w:r>
      <w:r>
        <w:t xml:space="preserve"> </w:t>
      </w:r>
      <w:r>
        <w:t xml:space="preserve">framework.</w:t>
      </w:r>
      <w:r>
        <w:t xml:space="preserve"> </w:t>
      </w:r>
      <w:r>
        <w:rPr>
          <w:i/>
          <w:iCs/>
        </w:rPr>
        <w:t xml:space="preserve">Journal of Applied Statistics</w:t>
      </w:r>
      <w:r>
        <w:t xml:space="preserve">,</w:t>
      </w:r>
      <w:r>
        <w:t xml:space="preserve"> </w:t>
      </w:r>
      <w:r>
        <w:rPr>
          <w:i/>
          <w:iCs/>
        </w:rPr>
        <w:t xml:space="preserve">49</w:t>
      </w:r>
      <w:r>
        <w:t xml:space="preserve">(2), 449–465.</w:t>
      </w:r>
      <w:r>
        <w:t xml:space="preserve"> </w:t>
      </w:r>
      <w:hyperlink r:id="rId433">
        <w:r>
          <w:rPr>
            <w:rStyle w:val="Hyperlink"/>
          </w:rPr>
          <w:t xml:space="preserve">https://doi.org/10.1080/02664763.2020.1817346</w:t>
        </w:r>
      </w:hyperlink>
    </w:p>
    <w:bookmarkEnd w:id="434"/>
    <w:bookmarkStart w:id="436" w:name="ref-Weeks2018"/>
    <w:p>
      <w:pPr>
        <w:pStyle w:val="Bibliography"/>
      </w:pPr>
      <w:r>
        <w:t xml:space="preserve">Weeks, J. P. (2018). An application of multidimensional vertical scaling.</w:t>
      </w:r>
      <w:r>
        <w:t xml:space="preserve"> </w:t>
      </w:r>
      <w:r>
        <w:rPr>
          <w:i/>
          <w:iCs/>
        </w:rPr>
        <w:t xml:space="preserve">Measurement: Interdisciplinary Research and Perspectives</w:t>
      </w:r>
      <w:r>
        <w:t xml:space="preserve">,</w:t>
      </w:r>
      <w:r>
        <w:t xml:space="preserve"> </w:t>
      </w:r>
      <w:r>
        <w:rPr>
          <w:i/>
          <w:iCs/>
        </w:rPr>
        <w:t xml:space="preserve">16</w:t>
      </w:r>
      <w:r>
        <w:t xml:space="preserve">(3), 139–154.</w:t>
      </w:r>
      <w:r>
        <w:t xml:space="preserve"> </w:t>
      </w:r>
      <w:hyperlink r:id="rId435">
        <w:r>
          <w:rPr>
            <w:rStyle w:val="Hyperlink"/>
          </w:rPr>
          <w:t xml:space="preserve">https://doi.org/10.1080/15366367.2018.1502005</w:t>
        </w:r>
      </w:hyperlink>
    </w:p>
    <w:bookmarkEnd w:id="436"/>
    <w:bookmarkStart w:id="438"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437">
        <w:r>
          <w:rPr>
            <w:rStyle w:val="Hyperlink"/>
          </w:rPr>
          <w:t xml:space="preserve">https://doi.org/10.1016/j.dr.2008.01.001</w:t>
        </w:r>
      </w:hyperlink>
    </w:p>
    <w:bookmarkEnd w:id="438"/>
    <w:bookmarkStart w:id="440"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439">
        <w:r>
          <w:rPr>
            <w:rStyle w:val="Hyperlink"/>
          </w:rPr>
          <w:t xml:space="preserve">https://doi.org/10.1017/S0954579403000221</w:t>
        </w:r>
      </w:hyperlink>
    </w:p>
    <w:bookmarkEnd w:id="440"/>
    <w:bookmarkStart w:id="442" w:name="ref-Welzel2023a"/>
    <w:p>
      <w:pPr>
        <w:pStyle w:val="Bibliography"/>
      </w:pPr>
      <w:r>
        <w:t xml:space="preserve">Welzel, C., Brunkert, L., Kruse, S., &amp; Inglehart, R. F. (2023). Non-invariance?</w:t>
      </w:r>
      <w:r>
        <w:t xml:space="preserve"> </w:t>
      </w:r>
      <w:r>
        <w:t xml:space="preserve">An</w:t>
      </w:r>
      <w:r>
        <w:t xml:space="preserve"> </w:t>
      </w:r>
      <w:r>
        <w:t xml:space="preserve">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441">
        <w:r>
          <w:rPr>
            <w:rStyle w:val="Hyperlink"/>
          </w:rPr>
          <w:t xml:space="preserve">https://doi.org/10.1177/0049124121995521</w:t>
        </w:r>
      </w:hyperlink>
    </w:p>
    <w:bookmarkEnd w:id="442"/>
    <w:bookmarkStart w:id="444" w:name="ref-Welzel2023b"/>
    <w:p>
      <w:pPr>
        <w:pStyle w:val="Bibliography"/>
      </w:pPr>
      <w:r>
        <w:t xml:space="preserve">Welzel, C., Kruse, S., &amp; Brunkert, L. (2023). Against the mainstream:</w:t>
      </w:r>
      <w:r>
        <w:t xml:space="preserve"> </w:t>
      </w:r>
      <w:r>
        <w:t xml:space="preserve">On</w:t>
      </w:r>
      <w:r>
        <w:t xml:space="preserve"> </w:t>
      </w:r>
      <w:r>
        <w:t xml:space="preserve">the limitations of non-invariance diagnostics:</w:t>
      </w:r>
      <w:r>
        <w:t xml:space="preserve"> </w:t>
      </w:r>
      <w:r>
        <w:t xml:space="preserve">Response</w:t>
      </w:r>
      <w:r>
        <w:t xml:space="preserve"> </w:t>
      </w:r>
      <w:r>
        <w:t xml:space="preserve">to</w:t>
      </w:r>
      <w:r>
        <w:t xml:space="preserve"> </w:t>
      </w:r>
      <w:r>
        <w:t xml:space="preserve">Fischer</w:t>
      </w:r>
      <w:r>
        <w:t xml:space="preserve"> </w:t>
      </w:r>
      <w:r>
        <w:t xml:space="preserve">et al. And</w:t>
      </w:r>
      <w:r>
        <w:t xml:space="preserve"> </w:t>
      </w:r>
      <w:r>
        <w:t xml:space="preserve">Meuleman</w:t>
      </w:r>
      <w:r>
        <w:t xml:space="preserve"> </w:t>
      </w:r>
      <w:r>
        <w:t xml:space="preserve">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443">
        <w:r>
          <w:rPr>
            <w:rStyle w:val="Hyperlink"/>
          </w:rPr>
          <w:t xml:space="preserve">https://doi.org/10.1177/00491241221091754</w:t>
        </w:r>
      </w:hyperlink>
    </w:p>
    <w:bookmarkEnd w:id="444"/>
    <w:bookmarkStart w:id="445"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445"/>
    <w:bookmarkStart w:id="447" w:name="ref-Widaman2010"/>
    <w:p>
      <w:pPr>
        <w:pStyle w:val="Bibliography"/>
      </w:pPr>
      <w:r>
        <w:t xml:space="preserve">Widaman, K. F., Ferrer, E., &amp; Conger, R. D. (2010). Factorial invariance within longitudinal structural equation models:</w:t>
      </w:r>
      <w:r>
        <w:t xml:space="preserve"> </w:t>
      </w:r>
      <w:r>
        <w:t xml:space="preserve">Measuring</w:t>
      </w:r>
      <w:r>
        <w:t xml:space="preserve"> </w:t>
      </w:r>
      <w:r>
        <w:t xml:space="preserve">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446">
        <w:r>
          <w:rPr>
            <w:rStyle w:val="Hyperlink"/>
          </w:rPr>
          <w:t xml:space="preserve">https://doi.org/10.1111/j.1750-8606.2009.00110.x</w:t>
        </w:r>
      </w:hyperlink>
    </w:p>
    <w:bookmarkEnd w:id="447"/>
    <w:bookmarkStart w:id="449"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448">
        <w:r>
          <w:rPr>
            <w:rStyle w:val="Hyperlink"/>
          </w:rPr>
          <w:t xml:space="preserve">https://doi.org/10.1177/0165025419880610</w:t>
        </w:r>
      </w:hyperlink>
    </w:p>
    <w:bookmarkEnd w:id="449"/>
    <w:bookmarkStart w:id="451"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450">
        <w:r>
          <w:rPr>
            <w:rStyle w:val="Hyperlink"/>
          </w:rPr>
          <w:t xml:space="preserve">https://icd.who.int</w:t>
        </w:r>
      </w:hyperlink>
    </w:p>
    <w:bookmarkEnd w:id="451"/>
    <w:bookmarkStart w:id="453" w:name="ref-Wright2013"/>
    <w:p>
      <w:pPr>
        <w:pStyle w:val="Bibliography"/>
      </w:pPr>
      <w:r>
        <w:t xml:space="preserve">Wright, A. G. C., Krueger, R. F., Hobbs, M. J., Markon, K. E., Eaton, N. R., &amp; Slade, T. (2013). The structure of psychopathology:</w:t>
      </w:r>
      <w:r>
        <w:t xml:space="preserve"> </w:t>
      </w:r>
      <w:r>
        <w:t xml:space="preserve">Toward</w:t>
      </w:r>
      <w:r>
        <w:t xml:space="preserve"> </w:t>
      </w:r>
      <w:r>
        <w:t xml:space="preserve">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452">
        <w:r>
          <w:rPr>
            <w:rStyle w:val="Hyperlink"/>
          </w:rPr>
          <w:t xml:space="preserve">https://doi.org/10.1037/a0030133</w:t>
        </w:r>
      </w:hyperlink>
    </w:p>
    <w:bookmarkEnd w:id="453"/>
    <w:bookmarkStart w:id="454" w:name="ref-Yang2013"/>
    <w:p>
      <w:pPr>
        <w:pStyle w:val="Bibliography"/>
      </w:pPr>
      <w:r>
        <w:t xml:space="preserve">Yang, Y., &amp; Land, K. C. (2013).</w:t>
      </w:r>
      <w:r>
        <w:t xml:space="preserve"> </w:t>
      </w:r>
      <w:r>
        <w:rPr>
          <w:i/>
          <w:iCs/>
        </w:rPr>
        <w:t xml:space="preserve">Age-period-cohort analysis:</w:t>
      </w:r>
      <w:r>
        <w:rPr>
          <w:i/>
          <w:iCs/>
        </w:rPr>
        <w:t xml:space="preserve"> </w:t>
      </w:r>
      <w:r>
        <w:rPr>
          <w:i/>
          <w:iCs/>
        </w:rPr>
        <w:t xml:space="preserve">New</w:t>
      </w:r>
      <w:r>
        <w:rPr>
          <w:i/>
          <w:iCs/>
        </w:rPr>
        <w:t xml:space="preserve"> </w:t>
      </w:r>
      <w:r>
        <w:rPr>
          <w:i/>
          <w:iCs/>
        </w:rPr>
        <w:t xml:space="preserve">models, methods, and empirical applications</w:t>
      </w:r>
      <w:r>
        <w:t xml:space="preserve">. Taylor &amp; Francis.</w:t>
      </w:r>
    </w:p>
    <w:bookmarkEnd w:id="454"/>
    <w:bookmarkStart w:id="456" w:name="ref-Zhai2026"/>
    <w:p>
      <w:pPr>
        <w:pStyle w:val="Bibliography"/>
      </w:pPr>
      <w:r>
        <w:t xml:space="preserve">Zhai, R., Zhang, L., &amp; Cheng, G. (2026). Developmental trajectories of emotional and behavioral dysregulation from ages 3 to 17:</w:t>
      </w:r>
      <w:r>
        <w:t xml:space="preserve"> </w:t>
      </w:r>
      <w:r>
        <w:t xml:space="preserve">Early</w:t>
      </w:r>
      <w:r>
        <w:t xml:space="preserve"> </w:t>
      </w:r>
      <w:r>
        <w:t xml:space="preserve">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55">
        <w:r>
          <w:rPr>
            <w:rStyle w:val="Hyperlink"/>
          </w:rPr>
          <w:t xml:space="preserve">https://doi.org/10.1016/j.jad.2026.121556</w:t>
        </w:r>
      </w:hyperlink>
    </w:p>
    <w:bookmarkEnd w:id="456"/>
    <w:bookmarkEnd w:id="457"/>
    <w:bookmarkEnd w:id="458"/>
    <w:sectPr w:rsidR="007868AB" w:rsidRPr="005528BA">
      <w:headerReference r:id="rId8" w:type="even"/>
      <w:headerReference r:id="rId9" w:type="default"/>
      <w:footerReference r:id="rId10" w:type="even"/>
      <w:footerReference r:id="rId11" w:type="default"/>
      <w:headerReference r:id="rId12" w:type="first"/>
      <w:footerReference r:id="rId13" w:type="first"/>
      <w:pgSz w:code="1"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8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symptoms are required for older adolescents and adults (aged 17 or over).</w:t>
      </w:r>
      <w:r>
        <w:t xml:space="preserve"> </w:t>
      </w:r>
      <w:r>
        <w:t xml:space="preserve">However, the symptoms for defining ODD and ADHD do not differ across development.</w:t>
      </w:r>
    </w:p>
  </w:footnote>
  <w:footnote w:id="8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“is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4">
    <w:p>
      <w:pPr>
        <w:pStyle w:val="FootnoteText"/>
      </w:pPr>
      <w:r>
        <w:rPr>
          <w:rStyle w:val="FootnoteReference"/>
        </w:rPr>
        <w:footnoteRef/>
      </w:r>
      <w:r>
        <w:t xml:space="preserve"> </w:t>
      </w:r>
      <w:r>
        <w:t xml:space="preserve">For simplicity and brevity, we refer to birth age as a proxy for developmental time.</w:t>
      </w:r>
    </w:p>
  </w:footnote>
  <w:footnote w:id="10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0">
    <w:p>
      <w:pPr>
        <w:pStyle w:val="FootnoteText"/>
      </w:pPr>
      <w:r>
        <w:rPr>
          <w:rStyle w:val="FootnoteReference"/>
        </w:rPr>
        <w:footnoteRef/>
      </w:r>
      <w:r>
        <w:t xml:space="preserve"> </w:t>
      </w:r>
      <w:r>
        <w:t xml:space="preserve">Factorial invariance is also called measurement invariance.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A480" w14:textId="1597A47F" w:rsidR="00340B9E" w:rsidRPr="000D23CF" w:rsidRDefault="00000000" w:rsidP="000D23CF">
    <w:pPr>
      <w:tabs>
        <w:tab w:val="right" w:pos="9360"/>
      </w:tabs>
    </w:pPr>
    <!-- apaquarto-original-runninghead: <w:sdt><w:sdtPr><w:alias w:val="Comments"/><w:tag w:val=""/><w:id w:val="411821190"/><w:placeholder><w:docPart w:val="0C02FC99099648D19246354A6487E13A"/></w:placeholder><w:showingPlcHdr/><w:dataBinding w:prefixMappings="xmlns:ns0='http://purl.org/dc/elements/1.1/' xmlns:ns1='http://schemas.openxmlformats.org/package/2006/metadata/core-properties' " w:xpath="/ns1:coreProperties[1]/ns0:description[1]" w:storeItemID="{6C3C8BC8-F283-45AE-878A-BAB7291924A1}"/><w:text w:multiLine="1"/></w:sdtPr><w:sdtContent><w:r w:rsidR="00780A8B" w:rsidRPr="00361F1C"><w:rPr><w:rStyle w:val="PlaceholderText"/></w:rPr><w:t>[Comments]</w:t></w:r></w:sdtContent></w:sdt> -->
    <w:sdt>
      <w:sdtPr>
        <w:alias w:val="Comments"/>
        <w:tag w:val=""/>
        <w:id w:val="411821190"/>
        <w:placeholder>
          <w:docPart w:val="0C02FC99099648D19246354A6487E13A"/>
        </w:placeholder>
        <w:dataBinding w:prefixMappings="xmlns:ns0='http://purl.org/dc/elements/1.1/' xmlns:ns1='http://schemas.openxmlformats.org/package/2006/metadata/core-properties' " w:xpath="/ns1:coreProperties[1]/ns0:description[1]" w:storeItemID="{6C3C8BC8-F283-45AE-878A-BAB7291924A1}"/>
        <w:text w:multiLine="1"/>
      </w:sdtPr>
      <w:sdtContent>
        <w:r>
          <w:t xml:space="preserve">PSYCHOPATHOLOGY DEVELOPMENT ACROSS LIFESPAN</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36EDA"/>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2E7A3C"/>
    <w:rsid w:val="002F6820"/>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007C"/>
    <w:rsid w:val="00565B1E"/>
    <w:rsid w:val="005665F3"/>
    <w:rsid w:val="00586C23"/>
    <w:rsid w:val="00602337"/>
    <w:rsid w:val="006122FA"/>
    <w:rsid w:val="00633291"/>
    <w:rsid w:val="00661B64"/>
    <w:rsid w:val="006A7CEE"/>
    <w:rsid w:val="006D3C7F"/>
    <w:rsid w:val="006F54D0"/>
    <w:rsid w:val="00717963"/>
    <w:rsid w:val="00772034"/>
    <w:rsid w:val="00780A8B"/>
    <w:rsid w:val="007868AB"/>
    <w:rsid w:val="007A1B2A"/>
    <w:rsid w:val="007C4E27"/>
    <w:rsid w:val="007E2A5D"/>
    <w:rsid w:val="00801C81"/>
    <w:rsid w:val="0083560B"/>
    <w:rsid w:val="00852D8C"/>
    <w:rsid w:val="0086288E"/>
    <w:rsid w:val="0088292B"/>
    <w:rsid w:val="008F27BE"/>
    <w:rsid w:val="009057F5"/>
    <w:rsid w:val="00932B9C"/>
    <w:rsid w:val="009638C5"/>
    <w:rsid w:val="009B29FD"/>
    <w:rsid w:val="009B41AF"/>
    <w:rsid w:val="00A072AF"/>
    <w:rsid w:val="00A16B10"/>
    <w:rsid w:val="00A46245"/>
    <w:rsid w:val="00A82821"/>
    <w:rsid w:val="00A946AC"/>
    <w:rsid w:val="00AA1F29"/>
    <w:rsid w:val="00AA6B78"/>
    <w:rsid w:val="00AC3115"/>
    <w:rsid w:val="00AC58E4"/>
    <w:rsid w:val="00AE4D7A"/>
    <w:rsid w:val="00AE5BBA"/>
    <w:rsid w:val="00AF36CA"/>
    <w:rsid w:val="00B02682"/>
    <w:rsid w:val="00B12CE3"/>
    <w:rsid w:val="00B21373"/>
    <w:rsid w:val="00B42EBE"/>
    <w:rsid w:val="00B617FB"/>
    <w:rsid w:val="00B830DE"/>
    <w:rsid w:val="00B83793"/>
    <w:rsid w:val="00B94715"/>
    <w:rsid w:val="00BB3FEC"/>
    <w:rsid w:val="00BB5C76"/>
    <w:rsid w:val="00BD022F"/>
    <w:rsid w:val="00BD5312"/>
    <w:rsid w:val="00C23682"/>
    <w:rsid w:val="00C304F7"/>
    <w:rsid w:val="00C4693A"/>
    <w:rsid w:val="00C84525"/>
    <w:rsid w:val="00CA071F"/>
    <w:rsid w:val="00CB7758"/>
    <w:rsid w:val="00CE01EB"/>
    <w:rsid w:val="00D11429"/>
    <w:rsid w:val="00D25C5B"/>
    <w:rsid w:val="00D630B7"/>
    <w:rsid w:val="00D807FA"/>
    <w:rsid w:val="00D936AF"/>
    <w:rsid w:val="00DA752F"/>
    <w:rsid w:val="00DB4D47"/>
    <w:rsid w:val="00DE772F"/>
    <w:rsid w:val="00E37D61"/>
    <w:rsid w:val="00E401D3"/>
    <w:rsid w:val="00E401FC"/>
    <w:rsid w:val="00E528E7"/>
    <w:rsid w:val="00E71E11"/>
    <w:rsid w:val="00E868AE"/>
    <w:rsid w:val="00E90878"/>
    <w:rsid w:val="00EA4191"/>
    <w:rsid w:val="00EA785F"/>
    <w:rsid w:val="00EA7B31"/>
    <w:rsid w:val="00F13DD4"/>
    <w:rsid w:val="00F300A8"/>
    <w:rsid w:val="00F3598F"/>
    <w:rsid w:val="00F57810"/>
    <w:rsid w:val="00F774FD"/>
    <w:rsid w:val="00F87745"/>
    <w:rsid w:val="00F92DA2"/>
    <w:rsid w:val="00FC515E"/>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56007C"/>
    <w:pPr>
      <w:ind w:firstLine="0" w:left="720"/>
    </w:pPr>
  </w:style>
  <w:style w:styleId="FootnoteText" w:type="paragraph">
    <w:name w:val="footnote text"/>
    <w:basedOn w:val="Normal"/>
    <w:uiPriority w:val="9"/>
    <w:unhideWhenUsed/>
    <w:qFormat/>
    <w:rsid w:val="00780A8B"/>
    <w:pPr>
      <w:spacing w:line="240" w:lineRule="auto"/>
    </w:pPr>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sid w:val="00036EDA"/>
    <w:rPr>
      <w:i w:val="0"/>
      <w:shd w:color="auto" w:fill="F1F3F5" w:val="clear"/>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rsid w:val="00036EDA"/>
    <w:pPr>
      <w:shd w:color="auto" w:fill="F1F3F5" w:val="clear"/>
      <w:wordWrap w:val="0"/>
      <w:spacing w:after="240" w:line="240" w:lineRule="auto"/>
      <w:contextualSpacing/>
    </w:pPr>
  </w:style>
  <w:style w:customStyle="1" w:styleId="KeywordTok" w:type="character">
    <w:name w:val="KeywordTok"/>
    <w:basedOn w:val="VerbatimChar"/>
    <w:rPr>
      <w:rFonts w:ascii="Consolas" w:hAnsi="Consolas"/>
      <w:i w:val="0"/>
      <w:color w:val="003B4F"/>
      <w:sz w:val="22"/>
      <w:shd w:color="auto" w:fill="F1F3F5" w:val="clear"/>
    </w:rPr>
  </w:style>
  <w:style w:customStyle="1" w:styleId="DataTypeTok" w:type="character">
    <w:name w:val="DataTypeTok"/>
    <w:basedOn w:val="VerbatimChar"/>
    <w:rPr>
      <w:rFonts w:ascii="Consolas" w:hAnsi="Consolas"/>
      <w:i w:val="0"/>
      <w:color w:val="AD0000"/>
      <w:sz w:val="22"/>
      <w:shd w:color="auto" w:fill="F1F3F5" w:val="clear"/>
    </w:rPr>
  </w:style>
  <w:style w:customStyle="1" w:styleId="DecValTok" w:type="character">
    <w:name w:val="DecValTok"/>
    <w:basedOn w:val="VerbatimChar"/>
    <w:rPr>
      <w:rFonts w:ascii="Consolas" w:hAnsi="Consolas"/>
      <w:i w:val="0"/>
      <w:color w:val="AD0000"/>
      <w:sz w:val="22"/>
      <w:shd w:color="auto" w:fill="F1F3F5" w:val="clear"/>
    </w:rPr>
  </w:style>
  <w:style w:customStyle="1" w:styleId="BaseNTok" w:type="character">
    <w:name w:val="BaseNTok"/>
    <w:basedOn w:val="VerbatimChar"/>
    <w:rPr>
      <w:rFonts w:ascii="Consolas" w:hAnsi="Consolas"/>
      <w:i w:val="0"/>
      <w:color w:val="AD0000"/>
      <w:sz w:val="22"/>
      <w:shd w:color="auto" w:fill="F1F3F5" w:val="clear"/>
    </w:rPr>
  </w:style>
  <w:style w:customStyle="1" w:styleId="FloatTok" w:type="character">
    <w:name w:val="FloatTok"/>
    <w:basedOn w:val="VerbatimChar"/>
    <w:rPr>
      <w:rFonts w:ascii="Consolas" w:hAnsi="Consolas"/>
      <w:i w:val="0"/>
      <w:color w:val="AD0000"/>
      <w:sz w:val="22"/>
      <w:shd w:color="auto" w:fill="F1F3F5" w:val="clear"/>
    </w:rPr>
  </w:style>
  <w:style w:customStyle="1" w:styleId="ConstantTok" w:type="character">
    <w:name w:val="ConstantTok"/>
    <w:basedOn w:val="VerbatimChar"/>
    <w:rPr>
      <w:rFonts w:ascii="Consolas" w:hAnsi="Consolas"/>
      <w:i w:val="0"/>
      <w:color w:val="8F5902"/>
      <w:sz w:val="22"/>
      <w:shd w:color="auto" w:fill="F1F3F5" w:val="clear"/>
    </w:rPr>
  </w:style>
  <w:style w:customStyle="1" w:styleId="CharTok" w:type="character">
    <w:name w:val="CharTok"/>
    <w:basedOn w:val="VerbatimChar"/>
    <w:rPr>
      <w:rFonts w:ascii="Consolas" w:hAnsi="Consolas"/>
      <w:i w:val="0"/>
      <w:color w:val="20794D"/>
      <w:sz w:val="22"/>
      <w:shd w:color="auto" w:fill="F1F3F5" w:val="clear"/>
    </w:rPr>
  </w:style>
  <w:style w:customStyle="1" w:styleId="SpecialCharTok" w:type="character">
    <w:name w:val="SpecialCharTok"/>
    <w:basedOn w:val="VerbatimChar"/>
    <w:rPr>
      <w:rFonts w:ascii="Consolas" w:hAnsi="Consolas"/>
      <w:i w:val="0"/>
      <w:color w:val="5E5E5E"/>
      <w:sz w:val="22"/>
      <w:shd w:color="auto" w:fill="F1F3F5" w:val="clear"/>
    </w:rPr>
  </w:style>
  <w:style w:customStyle="1" w:styleId="StringTok" w:type="character">
    <w:name w:val="StringTok"/>
    <w:basedOn w:val="VerbatimChar"/>
    <w:rPr>
      <w:rFonts w:ascii="Consolas" w:hAnsi="Consolas"/>
      <w:i w:val="0"/>
      <w:color w:val="20794D"/>
      <w:sz w:val="22"/>
      <w:shd w:color="auto" w:fill="F1F3F5" w:val="clear"/>
    </w:rPr>
  </w:style>
  <w:style w:customStyle="1" w:styleId="VerbatimStringTok" w:type="character">
    <w:name w:val="VerbatimStringTok"/>
    <w:basedOn w:val="VerbatimChar"/>
    <w:rPr>
      <w:rFonts w:ascii="Consolas" w:hAnsi="Consolas"/>
      <w:i w:val="0"/>
      <w:color w:val="20794D"/>
      <w:sz w:val="22"/>
      <w:shd w:color="auto" w:fill="F1F3F5" w:val="clear"/>
    </w:rPr>
  </w:style>
  <w:style w:customStyle="1" w:styleId="SpecialStringTok" w:type="character">
    <w:name w:val="SpecialStringTok"/>
    <w:basedOn w:val="VerbatimChar"/>
    <w:rPr>
      <w:rFonts w:ascii="Consolas" w:hAnsi="Consolas"/>
      <w:i w:val="0"/>
      <w:color w:val="20794D"/>
      <w:sz w:val="22"/>
      <w:shd w:color="auto" w:fill="F1F3F5" w:val="clear"/>
    </w:rPr>
  </w:style>
  <w:style w:customStyle="1" w:styleId="ImportTok" w:type="character">
    <w:name w:val="ImportTok"/>
    <w:basedOn w:val="VerbatimChar"/>
    <w:rPr>
      <w:rFonts w:ascii="Consolas" w:hAnsi="Consolas"/>
      <w:i w:val="0"/>
      <w:color w:val="00769E"/>
      <w:sz w:val="22"/>
      <w:shd w:color="auto" w:fill="F1F3F5" w:val="clear"/>
    </w:rPr>
  </w:style>
  <w:style w:customStyle="1" w:styleId="CommentTok" w:type="character">
    <w:name w:val="CommentTok"/>
    <w:basedOn w:val="VerbatimChar"/>
    <w:rPr>
      <w:rFonts w:ascii="Consolas" w:hAnsi="Consolas"/>
      <w:i w:val="0"/>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i w:val="0"/>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i w:val="0"/>
      <w:color w:val="003B4F"/>
      <w:sz w:val="22"/>
      <w:shd w:color="auto" w:fill="F1F3F5" w:val="clear"/>
    </w:rPr>
  </w:style>
  <w:style w:customStyle="1" w:styleId="FunctionTok" w:type="character">
    <w:name w:val="FunctionTok"/>
    <w:basedOn w:val="VerbatimChar"/>
    <w:rPr>
      <w:rFonts w:ascii="Consolas" w:hAnsi="Consolas"/>
      <w:i w:val="0"/>
      <w:color w:val="4758AB"/>
      <w:sz w:val="22"/>
      <w:shd w:color="auto" w:fill="F1F3F5" w:val="clear"/>
    </w:rPr>
  </w:style>
  <w:style w:customStyle="1" w:styleId="VariableTok" w:type="character">
    <w:name w:val="VariableTok"/>
    <w:basedOn w:val="VerbatimChar"/>
    <w:rPr>
      <w:rFonts w:ascii="Consolas" w:hAnsi="Consolas"/>
      <w:i w:val="0"/>
      <w:color w:val="111111"/>
      <w:sz w:val="22"/>
      <w:shd w:color="auto" w:fill="F1F3F5" w:val="clear"/>
    </w:rPr>
  </w:style>
  <w:style w:customStyle="1" w:styleId="ControlFlowTok" w:type="character">
    <w:name w:val="ControlFlowTok"/>
    <w:basedOn w:val="VerbatimChar"/>
    <w:rPr>
      <w:rFonts w:ascii="Consolas" w:hAnsi="Consolas"/>
      <w:i w:val="0"/>
      <w:color w:val="003B4F"/>
      <w:sz w:val="22"/>
      <w:shd w:color="auto" w:fill="F1F3F5" w:val="clear"/>
    </w:rPr>
  </w:style>
  <w:style w:customStyle="1" w:styleId="OperatorTok" w:type="character">
    <w:name w:val="OperatorTok"/>
    <w:basedOn w:val="VerbatimChar"/>
    <w:rPr>
      <w:rFonts w:ascii="Consolas" w:hAnsi="Consolas"/>
      <w:i w:val="0"/>
      <w:color w:val="5E5E5E"/>
      <w:sz w:val="22"/>
      <w:shd w:color="auto" w:fill="F1F3F5" w:val="clear"/>
    </w:rPr>
  </w:style>
  <w:style w:customStyle="1" w:styleId="BuiltInTok" w:type="character">
    <w:name w:val="BuiltInTok"/>
    <w:basedOn w:val="VerbatimChar"/>
    <w:rPr>
      <w:rFonts w:ascii="Consolas" w:hAnsi="Consolas"/>
      <w:i w:val="0"/>
      <w:color w:val="003B4F"/>
      <w:sz w:val="22"/>
      <w:shd w:color="auto" w:fill="F1F3F5" w:val="clear"/>
    </w:rPr>
  </w:style>
  <w:style w:customStyle="1" w:styleId="ExtensionTok" w:type="character">
    <w:name w:val="ExtensionTok"/>
    <w:basedOn w:val="VerbatimChar"/>
    <w:rPr>
      <w:rFonts w:ascii="Consolas" w:hAnsi="Consolas"/>
      <w:i w:val="0"/>
      <w:color w:val="003B4F"/>
      <w:sz w:val="22"/>
      <w:shd w:color="auto" w:fill="F1F3F5" w:val="clear"/>
    </w:rPr>
  </w:style>
  <w:style w:customStyle="1" w:styleId="PreprocessorTok" w:type="character">
    <w:name w:val="PreprocessorTok"/>
    <w:basedOn w:val="VerbatimChar"/>
    <w:rPr>
      <w:rFonts w:ascii="Consolas" w:hAnsi="Consolas"/>
      <w:i w:val="0"/>
      <w:color w:val="AD0000"/>
      <w:sz w:val="22"/>
      <w:shd w:color="auto" w:fill="F1F3F5" w:val="clear"/>
    </w:rPr>
  </w:style>
  <w:style w:customStyle="1" w:styleId="AttributeTok" w:type="character">
    <w:name w:val="AttributeTok"/>
    <w:basedOn w:val="VerbatimChar"/>
    <w:rPr>
      <w:rFonts w:ascii="Consolas" w:hAnsi="Consolas"/>
      <w:i w:val="0"/>
      <w:color w:val="657422"/>
      <w:sz w:val="22"/>
      <w:shd w:color="auto" w:fill="F1F3F5" w:val="clear"/>
    </w:rPr>
  </w:style>
  <w:style w:customStyle="1" w:styleId="RegionMarkerTok" w:type="character">
    <w:name w:val="RegionMarkerTok"/>
    <w:basedOn w:val="VerbatimChar"/>
    <w:rPr>
      <w:rFonts w:ascii="Consolas" w:hAnsi="Consolas"/>
      <w:i w:val="0"/>
      <w:color w:val="003B4F"/>
      <w:sz w:val="22"/>
      <w:shd w:color="auto" w:fill="F1F3F5" w:val="clear"/>
    </w:rPr>
  </w:style>
  <w:style w:customStyle="1" w:styleId="InformationTok" w:type="character">
    <w:name w:val="InformationTok"/>
    <w:basedOn w:val="VerbatimChar"/>
    <w:rPr>
      <w:rFonts w:ascii="Consolas" w:hAnsi="Consolas"/>
      <w:i w:val="0"/>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i w:val="0"/>
      <w:color w:val="AD0000"/>
      <w:sz w:val="22"/>
      <w:shd w:color="auto" w:fill="F1F3F5" w:val="clear"/>
    </w:rPr>
  </w:style>
  <w:style w:customStyle="1" w:styleId="ErrorTok" w:type="character">
    <w:name w:val="ErrorTok"/>
    <w:basedOn w:val="VerbatimChar"/>
    <w:rPr>
      <w:rFonts w:ascii="Consolas" w:hAnsi="Consolas"/>
      <w:i w:val="0"/>
      <w:color w:val="AD0000"/>
      <w:sz w:val="22"/>
      <w:shd w:color="auto" w:fill="F1F3F5" w:val="clear"/>
    </w:rPr>
  </w:style>
  <w:style w:customStyle="1" w:styleId="NormalTok" w:type="character">
    <w:name w:val="NormalTok"/>
    <w:basedOn w:val="VerbatimChar"/>
    <w:rPr>
      <w:rFonts w:ascii="Consolas" w:hAnsi="Consolas"/>
      <w:i w:val="0"/>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before="552" w:line="480" w:lineRule="auto"/>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after="552" w:before="60"/>
      <w:ind w:firstLine="0"/>
      <w:contextualSpacing/>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552"/>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552"/>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56007C"/>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 w:customStyle="1" w:styleId="SubPanelNote" w:type="paragraph">
    <w:name w:val="SubPanelNote"/>
    <w:basedOn w:val="FigureNote"/>
    <w:link w:val="SubPanelNoteChar"/>
    <w:qFormat/>
    <w:rsid w:val="00BD5312"/>
    <w:pPr>
      <w:jc w:val="center"/>
    </w:pPr>
  </w:style>
  <w:style w:customStyle="1" w:styleId="SubPanelNoteChar" w:type="character">
    <w:name w:val="SubPanelNote Char"/>
    <w:basedOn w:val="FigureNoteChar"/>
    <w:link w:val="SubPanelNote"/>
    <w:rsid w:val="00BD5312"/>
  </w:style>
  <w:style w:customStyle="1" w:styleId="ApaUnlistedHeading1" w:type="paragraph">
    <w:name w:val="Apa Unlisted Heading 1"/>
    <w:basedOn w:val="Heading1"/>
    <w:qFormat/>
    <w:pPr>
      <w:outlineLvl w:val="9"/>
    </w:pPr>
  </w:style>
  <w:style w:customStyle="1" w:styleId="ApaUnlistedHeading2" w:type="paragraph">
    <w:name w:val="Apa Unlisted Heading 2"/>
    <w:basedOn w:val="Heading2"/>
    <w:qFormat/>
    <w:pPr>
      <w:outlineLvl w:val="9"/>
    </w:pPr>
  </w:style>
  <w:style w:customStyle="1" w:styleId="ApaUnlistedHeading3" w:type="paragraph">
    <w:name w:val="Apa Unlisted Heading 3"/>
    <w:basedOn w:val="Heading3"/>
    <w:qFormat/>
    <w:pPr>
      <w:outlineLvl w:val="9"/>
    </w:pPr>
  </w:style>
  <w:style w:customStyle="1" w:styleId="ApaUnlistedHeading4" w:type="paragraph">
    <w:name w:val="Apa Unlisted Heading 4"/>
    <w:basedOn w:val="Heading4"/>
    <w:qFormat/>
    <w:pPr>
      <w:outlineLvl w:val="9"/>
    </w:pPr>
  </w:style>
  <w:style w:customStyle="1" w:styleId="ApaUnlistedHeading5" w:type="paragraph">
    <w:name w:val="Apa Unlisted Heading 5"/>
    <w:basedOn w:val="Heading5"/>
    <w:qFormat/>
    <w:pPr>
      <w:outlineLvl w:val="9"/>
    </w:pPr>
  </w:style>
  <w:style w:customStyle="1" w:styleId="ApaUnlistedHeading6" w:type="paragraph">
    <w:name w:val="Apa Unlisted Heading 6"/>
    <w:basedOn w:val="Heading6"/>
    <w:qFormat/>
    <w:pPr>
      <w:outlineLvl w:val="9"/>
    </w:pPr>
  </w:style>
  <w:style w:customStyle="1" w:styleId="QuoteAttribution" w:type="paragraph">
    <w:name w:val="QuoteAttribution"/>
    <w:basedOn w:val="BlockText"/>
    <w:pPr>
      <w:jc w:val="righ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11" Target="media/rId111.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5" Target="media/rId85.jpg" /><Relationship Type="http://schemas.openxmlformats.org/officeDocument/2006/relationships/image" Id="rId102" Target="media/rId102.png" /><Relationship Type="http://schemas.openxmlformats.org/officeDocument/2006/relationships/image" Id="rId120" Target="media/rId120.png" /><Relationship Type="http://schemas.openxmlformats.org/officeDocument/2006/relationships/image" Id="rId22" Target="media/rId22.svg" /><Relationship Type="http://schemas.openxmlformats.org/officeDocument/2006/relationships/image" Id="rId49" Target="media/rId49.png" /><Relationship Type="http://schemas.openxmlformats.org/officeDocument/2006/relationships/image" Id="rId42" Target="media/rId42.png" /><Relationship Type="http://schemas.openxmlformats.org/officeDocument/2006/relationships/image" Id="rId68" Target="media/rId68.png" /><Relationship Type="http://schemas.openxmlformats.org/officeDocument/2006/relationships/image" Id="rId57" Target="media/rId57.png"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35" Target="media/rId35.png" /><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_rels/footnotes.xml.rels><?xml version="1.0" encoding="UTF-8"?><Relationships xmlns="http://schemas.openxmlformats.org/package/2006/relationships"><Relationship Type="http://schemas.openxmlformats.org/officeDocument/2006/relationships/hyperlink" Id="rId55" Target="https://DevPsyLab.github.io/studying-psychopathology-development-lifespan/notebooks/analyses-preview.html#cell-fig-externalizing-by-age" TargetMode="External" /><Relationship Type="http://schemas.openxmlformats.org/officeDocument/2006/relationships/hyperlink" Id="rId48" Target="https://DevPsyLab.github.io/studying-psychopathology-development-lifespan/notebooks/analyses-preview.html#cell-fig-lifespancognitivetrajectories" TargetMode="External" /><Relationship Type="http://schemas.openxmlformats.org/officeDocument/2006/relationships/hyperlink" Id="rId72" Target="https://DevPsyLab.github.io/studying-psychopathology-development-lifespan/notebooks/analyses-preview.html#cell-fig-longitudinal-externalizing-studies" TargetMode="External" /><Relationship Type="http://schemas.openxmlformats.org/officeDocument/2006/relationships/hyperlink" Id="rId61" Target="https://DevPsyLab.github.io/studying-psychopathology-development-lifespan/notebooks/analyses-preview.html#cell-fig-longitudinalstudies" TargetMode="External" /><Relationship Type="http://schemas.openxmlformats.org/officeDocument/2006/relationships/hyperlink" Id="rId97" Target="https://DevPsyLab.github.io/studying-psychopathology-development-lifespan/notebooks/analyses-preview.html#cell-tbl-externalizingfacets" TargetMode="External" /><Relationship Type="http://schemas.openxmlformats.org/officeDocument/2006/relationships/hyperlink" Id="rId281" Target="https://doi.org/10.1001/archgenpsychiatry.2010.188" TargetMode="External" /><Relationship Type="http://schemas.openxmlformats.org/officeDocument/2006/relationships/hyperlink" Id="rId302" Target="https://doi.org/10.1001/archpsyc.62.12.1352" TargetMode="External" /><Relationship Type="http://schemas.openxmlformats.org/officeDocument/2006/relationships/hyperlink" Id="rId175" Target="https://doi.org/10.1001/jamanetworkopen.2020.3221" TargetMode="External" /><Relationship Type="http://schemas.openxmlformats.org/officeDocument/2006/relationships/hyperlink" Id="rId179" Target="https://doi.org/10.1002/9780470147658.chpsy0306" TargetMode="External" /><Relationship Type="http://schemas.openxmlformats.org/officeDocument/2006/relationships/hyperlink" Id="rId165" Target="https://doi.org/10.1002/9781119125556.devpsy101" TargetMode="External" /><Relationship Type="http://schemas.openxmlformats.org/officeDocument/2006/relationships/hyperlink" Id="rId260" Target="https://doi.org/10.1002/cbm.708" TargetMode="External" /><Relationship Type="http://schemas.openxmlformats.org/officeDocument/2006/relationships/hyperlink" Id="rId144" Target="https://doi.org/10.1002/jcv2.70043" TargetMode="External" /><Relationship Type="http://schemas.openxmlformats.org/officeDocument/2006/relationships/hyperlink" Id="rId279" Target="https://doi.org/10.1002/wps.20844" TargetMode="External" /><Relationship Type="http://schemas.openxmlformats.org/officeDocument/2006/relationships/hyperlink" Id="rId218" Target="https://doi.org/10.1007/978-1-0716-3335-9_5" TargetMode="External" /><Relationship Type="http://schemas.openxmlformats.org/officeDocument/2006/relationships/hyperlink" Id="rId150" Target="https://doi.org/10.1007/978-1-4614-9608-3_16" TargetMode="External" /><Relationship Type="http://schemas.openxmlformats.org/officeDocument/2006/relationships/hyperlink" Id="rId270" Target="https://doi.org/10.1007/978-1-4939-0317-7" TargetMode="External" /><Relationship Type="http://schemas.openxmlformats.org/officeDocument/2006/relationships/hyperlink" Id="rId295" Target="https://doi.org/10.1007/978-3-030-68429-7" TargetMode="External" /><Relationship Type="http://schemas.openxmlformats.org/officeDocument/2006/relationships/hyperlink" Id="rId298" Target="https://doi.org/10.1007/978-3-031-80549-3" TargetMode="External" /><Relationship Type="http://schemas.openxmlformats.org/officeDocument/2006/relationships/hyperlink" Id="rId365" Target="https://doi.org/10.1007/s00127-015-1048-8" TargetMode="External" /><Relationship Type="http://schemas.openxmlformats.org/officeDocument/2006/relationships/hyperlink" Id="rId229" Target="https://doi.org/10.1007/s00234-020-02562-1" TargetMode="External" /><Relationship Type="http://schemas.openxmlformats.org/officeDocument/2006/relationships/hyperlink" Id="rId431" Target="https://doi.org/10.1007/s10802-010-9478-y" TargetMode="External" /><Relationship Type="http://schemas.openxmlformats.org/officeDocument/2006/relationships/hyperlink" Id="rId167" Target="https://doi.org/10.1007/s10802-012-9669-9" TargetMode="External" /><Relationship Type="http://schemas.openxmlformats.org/officeDocument/2006/relationships/hyperlink" Id="rId429" Target="https://doi.org/10.1007/s10802-012-9700-1" TargetMode="External" /><Relationship Type="http://schemas.openxmlformats.org/officeDocument/2006/relationships/hyperlink" Id="rId264" Target="https://doi.org/10.1007/s10802-017-0383-5" TargetMode="External" /><Relationship Type="http://schemas.openxmlformats.org/officeDocument/2006/relationships/hyperlink" Id="rId266" Target="https://doi.org/10.1007/s10802-021-00885-y" TargetMode="External" /><Relationship Type="http://schemas.openxmlformats.org/officeDocument/2006/relationships/hyperlink" Id="rId141" Target="https://doi.org/10.1007/s10802-023-01119-z" TargetMode="External" /><Relationship Type="http://schemas.openxmlformats.org/officeDocument/2006/relationships/hyperlink" Id="rId251" Target="https://doi.org/10.1007/s10826-018-1272-4" TargetMode="External" /><Relationship Type="http://schemas.openxmlformats.org/officeDocument/2006/relationships/hyperlink" Id="rId309" Target="https://doi.org/10.1007/s11121-022-01467-0" TargetMode="External" /><Relationship Type="http://schemas.openxmlformats.org/officeDocument/2006/relationships/hyperlink" Id="rId425" Target="https://doi.org/10.1007/s12103-013-9235-1" TargetMode="External" /><Relationship Type="http://schemas.openxmlformats.org/officeDocument/2006/relationships/hyperlink" Id="rId427" Target="https://doi.org/10.1007/s12103-014-9272-4" TargetMode="External" /><Relationship Type="http://schemas.openxmlformats.org/officeDocument/2006/relationships/hyperlink" Id="rId181" Target="https://doi.org/10.1007/s40865-015-0012-3" TargetMode="External" /><Relationship Type="http://schemas.openxmlformats.org/officeDocument/2006/relationships/hyperlink" Id="rId289" Target="https://doi.org/10.1016/S0005-7967(02)00016-5" TargetMode="External" /><Relationship Type="http://schemas.openxmlformats.org/officeDocument/2006/relationships/hyperlink" Id="rId46" Target="https://doi.org/10.1016/j.arr.2026.103102" TargetMode="External" /><Relationship Type="http://schemas.openxmlformats.org/officeDocument/2006/relationships/hyperlink" Id="rId173" Target="https://doi.org/10.1016/j.cpr.2012.02.006" TargetMode="External" /><Relationship Type="http://schemas.openxmlformats.org/officeDocument/2006/relationships/hyperlink" Id="rId401" Target="https://doi.org/10.1016/j.cresp.2025.100261" TargetMode="External" /><Relationship Type="http://schemas.openxmlformats.org/officeDocument/2006/relationships/hyperlink" Id="rId304" Target="https://doi.org/10.1016/j.dr.2004.04.002" TargetMode="External" /><Relationship Type="http://schemas.openxmlformats.org/officeDocument/2006/relationships/hyperlink" Id="rId437" Target="https://doi.org/10.1016/j.dr.2008.01.001" TargetMode="External" /><Relationship Type="http://schemas.openxmlformats.org/officeDocument/2006/relationships/hyperlink" Id="rId350" Target="https://doi.org/10.1016/j.dr.2020.100935" TargetMode="External" /><Relationship Type="http://schemas.openxmlformats.org/officeDocument/2006/relationships/hyperlink" Id="rId417" Target="https://doi.org/10.1016/j.jaac.2013.10.011" TargetMode="External" /><Relationship Type="http://schemas.openxmlformats.org/officeDocument/2006/relationships/hyperlink" Id="rId160" Target="https://doi.org/10.1016/j.jaac.2017.05.019" TargetMode="External" /><Relationship Type="http://schemas.openxmlformats.org/officeDocument/2006/relationships/hyperlink" Id="rId88" Target="https://doi.org/10.1016/j.jaacop.2025.10.008" TargetMode="External" /><Relationship Type="http://schemas.openxmlformats.org/officeDocument/2006/relationships/hyperlink" Id="rId455" Target="https://doi.org/10.1016/j.jad.2026.121556" TargetMode="External" /><Relationship Type="http://schemas.openxmlformats.org/officeDocument/2006/relationships/hyperlink" Id="rId52" Target="https://doi.org/10.1016/j.jcrimjus.2024.102155" TargetMode="External" /><Relationship Type="http://schemas.openxmlformats.org/officeDocument/2006/relationships/hyperlink" Id="rId148" Target="https://doi.org/10.1016/j.jpsychires.2013.08.016" TargetMode="External" /><Relationship Type="http://schemas.openxmlformats.org/officeDocument/2006/relationships/hyperlink" Id="rId311" Target="https://doi.org/10.1016/j.jsp.2012.10.002" TargetMode="External" /><Relationship Type="http://schemas.openxmlformats.org/officeDocument/2006/relationships/hyperlink" Id="rId241" Target="https://doi.org/10.1017/S0033291711001966" TargetMode="External" /><Relationship Type="http://schemas.openxmlformats.org/officeDocument/2006/relationships/hyperlink" Id="rId243" Target="https://doi.org/10.1017/S003329172000183X" TargetMode="External" /><Relationship Type="http://schemas.openxmlformats.org/officeDocument/2006/relationships/hyperlink" Id="rId439" Target="https://doi.org/10.1017/S0954579403000221" TargetMode="External" /><Relationship Type="http://schemas.openxmlformats.org/officeDocument/2006/relationships/hyperlink" Id="rId399" Target="https://doi.org/10.1017/S0954579407070174" TargetMode="External" /><Relationship Type="http://schemas.openxmlformats.org/officeDocument/2006/relationships/hyperlink" Id="rId334" Target="https://doi.org/10.1017/S0954579408000333" TargetMode="External" /><Relationship Type="http://schemas.openxmlformats.org/officeDocument/2006/relationships/hyperlink" Id="rId293" Target="https://doi.org/10.1017/S0954579410000301" TargetMode="External" /><Relationship Type="http://schemas.openxmlformats.org/officeDocument/2006/relationships/hyperlink" Id="rId53" Target="https://doi.org/10.1017/S0954579414000789" TargetMode="External" /><Relationship Type="http://schemas.openxmlformats.org/officeDocument/2006/relationships/hyperlink" Id="rId222" Target="https://doi.org/10.1017/S0954579416000651" TargetMode="External" /><Relationship Type="http://schemas.openxmlformats.org/officeDocument/2006/relationships/hyperlink" Id="rId231" Target="https://doi.org/10.1017/S0954579421001772" TargetMode="External" /><Relationship Type="http://schemas.openxmlformats.org/officeDocument/2006/relationships/hyperlink" Id="rId158" Target="https://doi.org/10.1017/S0954579423001505" TargetMode="External" /><Relationship Type="http://schemas.openxmlformats.org/officeDocument/2006/relationships/hyperlink" Id="rId239" Target="https://doi.org/10.1017/S0954579424000713" TargetMode="External" /><Relationship Type="http://schemas.openxmlformats.org/officeDocument/2006/relationships/hyperlink" Id="rId338" Target="https://doi.org/10.1023/a:1026254005632" TargetMode="External" /><Relationship Type="http://schemas.openxmlformats.org/officeDocument/2006/relationships/hyperlink" Id="rId171" Target="https://doi.org/10.1027/1015-5759.17.1.25" TargetMode="External" /><Relationship Type="http://schemas.openxmlformats.org/officeDocument/2006/relationships/hyperlink" Id="rId383" Target="https://doi.org/10.1037/0003-066X.54.2.93" TargetMode="External" /><Relationship Type="http://schemas.openxmlformats.org/officeDocument/2006/relationships/hyperlink" Id="rId169" Target="https://doi.org/10.1037/0012-1649.39.2.222" TargetMode="External" /><Relationship Type="http://schemas.openxmlformats.org/officeDocument/2006/relationships/hyperlink" Id="rId197" Target="https://doi.org/10.1037/0012-1649.44.2.365" TargetMode="External" /><Relationship Type="http://schemas.openxmlformats.org/officeDocument/2006/relationships/hyperlink" Id="rId283" Target="https://doi.org/10.1037/0021-843X.116.4.645" TargetMode="External" /><Relationship Type="http://schemas.openxmlformats.org/officeDocument/2006/relationships/hyperlink" Id="rId285" Target="https://doi.org/10.1037/0021-843x.114.4.537" TargetMode="External" /><Relationship Type="http://schemas.openxmlformats.org/officeDocument/2006/relationships/hyperlink" Id="rId342" Target="https://doi.org/10.1037/0022-006X.61.6.911" TargetMode="External" /><Relationship Type="http://schemas.openxmlformats.org/officeDocument/2006/relationships/hyperlink" Id="rId189" Target="https://doi.org/10.1037/0022-006X.70.1.6" TargetMode="External" /><Relationship Type="http://schemas.openxmlformats.org/officeDocument/2006/relationships/hyperlink" Id="rId320" Target="https://doi.org/10.1037/0033-295X.100.4.674" TargetMode="External" /><Relationship Type="http://schemas.openxmlformats.org/officeDocument/2006/relationships/hyperlink" Id="rId245" Target="https://doi.org/10.1037/0882-7974.18.4.639" TargetMode="External" /><Relationship Type="http://schemas.openxmlformats.org/officeDocument/2006/relationships/hyperlink" Id="rId220" Target="https://doi.org/10.1037/0882-7974.19.2.243" TargetMode="External" /><Relationship Type="http://schemas.openxmlformats.org/officeDocument/2006/relationships/hyperlink" Id="rId287" Target="https://doi.org/10.1037/1040-3590.16.2.107" TargetMode="External" /><Relationship Type="http://schemas.openxmlformats.org/officeDocument/2006/relationships/hyperlink" Id="rId256" Target="https://doi.org/10.1037/13129-000" TargetMode="External" /><Relationship Type="http://schemas.openxmlformats.org/officeDocument/2006/relationships/hyperlink" Id="rId137" Target="https://doi.org/10.1037/14048-008" TargetMode="External" /><Relationship Type="http://schemas.openxmlformats.org/officeDocument/2006/relationships/hyperlink" Id="rId307" Target="https://doi.org/10.1037/a0015857" TargetMode="External" /><Relationship Type="http://schemas.openxmlformats.org/officeDocument/2006/relationships/hyperlink" Id="rId421" Target="https://doi.org/10.1037/a0021519" TargetMode="External" /><Relationship Type="http://schemas.openxmlformats.org/officeDocument/2006/relationships/hyperlink" Id="rId300" Target="https://doi.org/10.1037/a0023678" TargetMode="External" /><Relationship Type="http://schemas.openxmlformats.org/officeDocument/2006/relationships/hyperlink" Id="rId452" Target="https://doi.org/10.1037/a0030133" TargetMode="External" /><Relationship Type="http://schemas.openxmlformats.org/officeDocument/2006/relationships/hyperlink" Id="rId154" Target="https://doi.org/10.1037/a0032475" TargetMode="External" /><Relationship Type="http://schemas.openxmlformats.org/officeDocument/2006/relationships/hyperlink" Id="rId387" Target="https://doi.org/10.1037/abn0000171" TargetMode="External" /><Relationship Type="http://schemas.openxmlformats.org/officeDocument/2006/relationships/hyperlink" Id="rId378" Target="https://doi.org/10.1037/abn0000232" TargetMode="External" /><Relationship Type="http://schemas.openxmlformats.org/officeDocument/2006/relationships/hyperlink" Id="rId273" Target="https://doi.org/10.1037/abn0000258" TargetMode="External" /><Relationship Type="http://schemas.openxmlformats.org/officeDocument/2006/relationships/hyperlink" Id="rId355" Target="https://doi.org/10.1037/abn0000649" TargetMode="External" /><Relationship Type="http://schemas.openxmlformats.org/officeDocument/2006/relationships/hyperlink" Id="rId407" Target="https://doi.org/10.1037/abn0000751" TargetMode="External" /><Relationship Type="http://schemas.openxmlformats.org/officeDocument/2006/relationships/hyperlink" Id="rId201" Target="https://doi.org/10.1037/abn0001084" TargetMode="External" /><Relationship Type="http://schemas.openxmlformats.org/officeDocument/2006/relationships/hyperlink" Id="rId359" Target="https://doi.org/10.1037/dev0000449" TargetMode="External" /><Relationship Type="http://schemas.openxmlformats.org/officeDocument/2006/relationships/hyperlink" Id="rId389" Target="https://doi.org/10.1037/dev0001095" TargetMode="External" /><Relationship Type="http://schemas.openxmlformats.org/officeDocument/2006/relationships/hyperlink" Id="rId346" Target="https://doi.org/10.1037/dev0001657" TargetMode="External" /><Relationship Type="http://schemas.openxmlformats.org/officeDocument/2006/relationships/hyperlink" Id="rId114" Target="https://doi.org/10.1037/edu0000461" TargetMode="External" /><Relationship Type="http://schemas.openxmlformats.org/officeDocument/2006/relationships/hyperlink" Id="rId152" Target="https://doi.org/10.1037/met0000077" TargetMode="External" /><Relationship Type="http://schemas.openxmlformats.org/officeDocument/2006/relationships/hyperlink" Id="rId214" Target="https://doi.org/10.1037/met0000563" TargetMode="External" /><Relationship Type="http://schemas.openxmlformats.org/officeDocument/2006/relationships/hyperlink" Id="rId185" Target="https://doi.org/10.1037/met0000685" TargetMode="External" /><Relationship Type="http://schemas.openxmlformats.org/officeDocument/2006/relationships/hyperlink" Id="rId391" Target="https://doi.org/10.1037/pas0000648" TargetMode="External" /><Relationship Type="http://schemas.openxmlformats.org/officeDocument/2006/relationships/hyperlink" Id="rId367" Target="https://doi.org/10.1037/pas0000754" TargetMode="External" /><Relationship Type="http://schemas.openxmlformats.org/officeDocument/2006/relationships/hyperlink" Id="rId78" Target="https://doi.org/10.1037/pas0001441" TargetMode="External" /><Relationship Type="http://schemas.openxmlformats.org/officeDocument/2006/relationships/hyperlink" Id="rId409" Target="https://doi.org/10.1038/s44220-023-00057-5" TargetMode="External" /><Relationship Type="http://schemas.openxmlformats.org/officeDocument/2006/relationships/hyperlink" Id="rId322" Target="https://doi.org/10.1073/pnas.1010076108" TargetMode="External" /><Relationship Type="http://schemas.openxmlformats.org/officeDocument/2006/relationships/hyperlink" Id="rId199" Target="https://doi.org/10.1080/00273171.2014.889594" TargetMode="External" /><Relationship Type="http://schemas.openxmlformats.org/officeDocument/2006/relationships/hyperlink" Id="rId291" Target="https://doi.org/10.1080/00273171.2021.1941730" TargetMode="External" /><Relationship Type="http://schemas.openxmlformats.org/officeDocument/2006/relationships/hyperlink" Id="rId183" Target="https://doi.org/10.1080/00273171.2026.2640576" TargetMode="External" /><Relationship Type="http://schemas.openxmlformats.org/officeDocument/2006/relationships/hyperlink" Id="rId433" Target="https://doi.org/10.1080/02664763.2020.1817346" TargetMode="External" /><Relationship Type="http://schemas.openxmlformats.org/officeDocument/2006/relationships/hyperlink" Id="rId369" Target="https://doi.org/10.1080/10705511.2023.2191292" TargetMode="External" /><Relationship Type="http://schemas.openxmlformats.org/officeDocument/2006/relationships/hyperlink" Id="rId435" Target="https://doi.org/10.1080/15366367.2018.1502005" TargetMode="External" /><Relationship Type="http://schemas.openxmlformats.org/officeDocument/2006/relationships/hyperlink" Id="rId419" Target="https://doi.org/10.1080/15374416.2018.1561296" TargetMode="External" /><Relationship Type="http://schemas.openxmlformats.org/officeDocument/2006/relationships/hyperlink" Id="rId411" Target="https://doi.org/10.1080/15374416.2019.1622124" TargetMode="External" /><Relationship Type="http://schemas.openxmlformats.org/officeDocument/2006/relationships/hyperlink" Id="rId203" Target="https://doi.org/10.1080/15374416.2025.2484813" TargetMode="External" /><Relationship Type="http://schemas.openxmlformats.org/officeDocument/2006/relationships/hyperlink" Id="rId380" Target="https://doi.org/10.1086/269270" TargetMode="External" /><Relationship Type="http://schemas.openxmlformats.org/officeDocument/2006/relationships/hyperlink" Id="rId209" Target="https://doi.org/10.1108/978-1-61735-891-320251015" TargetMode="External" /><Relationship Type="http://schemas.openxmlformats.org/officeDocument/2006/relationships/hyperlink" Id="rId139" Target="https://doi.org/10.1111/acer.13525" TargetMode="External" /><Relationship Type="http://schemas.openxmlformats.org/officeDocument/2006/relationships/hyperlink" Id="rId326" Target="https://doi.org/10.1111/cdev.12036" TargetMode="External" /><Relationship Type="http://schemas.openxmlformats.org/officeDocument/2006/relationships/hyperlink" Id="rId361" Target="https://doi.org/10.1111/cdev.12880" TargetMode="External" /><Relationship Type="http://schemas.openxmlformats.org/officeDocument/2006/relationships/hyperlink" Id="rId357" Target="https://doi.org/10.1111/cdev.13433" TargetMode="External" /><Relationship Type="http://schemas.openxmlformats.org/officeDocument/2006/relationships/hyperlink" Id="rId247" Target="https://doi.org/10.1111/desc.13280" TargetMode="External" /><Relationship Type="http://schemas.openxmlformats.org/officeDocument/2006/relationships/hyperlink" Id="rId344" Target="https://doi.org/10.1111/desc.70216" TargetMode="External" /><Relationship Type="http://schemas.openxmlformats.org/officeDocument/2006/relationships/hyperlink" Id="rId162" Target="https://doi.org/10.1111/j.1467-8624.2004.00755.x" TargetMode="External" /><Relationship Type="http://schemas.openxmlformats.org/officeDocument/2006/relationships/hyperlink" Id="rId313" Target="https://doi.org/10.1111/j.1467-9507.2008.00480.x" TargetMode="External" /><Relationship Type="http://schemas.openxmlformats.org/officeDocument/2006/relationships/hyperlink" Id="rId374" Target="https://doi.org/10.1111/j.1469-7610.2006.01614.x" TargetMode="External" /><Relationship Type="http://schemas.openxmlformats.org/officeDocument/2006/relationships/hyperlink" Id="rId193" Target="https://doi.org/10.1111/j.1469-7610.2011.02511.x" TargetMode="External" /><Relationship Type="http://schemas.openxmlformats.org/officeDocument/2006/relationships/hyperlink" Id="rId258" Target="https://doi.org/10.1111/j.1469-7610.2012.02585.x" TargetMode="External" /><Relationship Type="http://schemas.openxmlformats.org/officeDocument/2006/relationships/hyperlink" Id="rId446" Target="https://doi.org/10.1111/j.1750-8606.2009.00110.x" TargetMode="External" /><Relationship Type="http://schemas.openxmlformats.org/officeDocument/2006/relationships/hyperlink" Id="rId268" Target="https://doi.org/10.1111/j.1750-8606.2009.00112.x" TargetMode="External" /><Relationship Type="http://schemas.openxmlformats.org/officeDocument/2006/relationships/hyperlink" Id="rId216" Target="https://doi.org/10.1111/jcpp.12102" TargetMode="External" /><Relationship Type="http://schemas.openxmlformats.org/officeDocument/2006/relationships/hyperlink" Id="rId394" Target="https://doi.org/10.1111/jcpp.13549" TargetMode="External" /><Relationship Type="http://schemas.openxmlformats.org/officeDocument/2006/relationships/hyperlink" Id="rId156" Target="https://doi.org/10.1111/jcpp.70057" TargetMode="External" /><Relationship Type="http://schemas.openxmlformats.org/officeDocument/2006/relationships/hyperlink" Id="rId376" Target="https://doi.org/10.1111/jcpp.70180" TargetMode="External" /><Relationship Type="http://schemas.openxmlformats.org/officeDocument/2006/relationships/hyperlink" Id="rId405" Target="https://doi.org/10.1111/jedm.70019" TargetMode="External" /><Relationship Type="http://schemas.openxmlformats.org/officeDocument/2006/relationships/hyperlink" Id="rId262" Target="https://doi.org/10.1111/jora.12252" TargetMode="External" /><Relationship Type="http://schemas.openxmlformats.org/officeDocument/2006/relationships/hyperlink" Id="rId277" Target="https://doi.org/10.1111/psyp.12551" TargetMode="External" /><Relationship Type="http://schemas.openxmlformats.org/officeDocument/2006/relationships/hyperlink" Id="rId207" Target="https://doi.org/10.1126/science.2270481" TargetMode="External" /><Relationship Type="http://schemas.openxmlformats.org/officeDocument/2006/relationships/hyperlink" Id="rId205" Target="https://doi.org/10.1146/annurev-clinpsy-050212-185617" TargetMode="External" /><Relationship Type="http://schemas.openxmlformats.org/officeDocument/2006/relationships/hyperlink" Id="rId332" Target="https://doi.org/10.1146/annurev-clinpsy-061324-073435" TargetMode="External" /><Relationship Type="http://schemas.openxmlformats.org/officeDocument/2006/relationships/hyperlink" Id="rId397" Target="https://doi.org/10.1146/annurev-criminol-111523-122451" TargetMode="External" /><Relationship Type="http://schemas.openxmlformats.org/officeDocument/2006/relationships/hyperlink" Id="rId363" Target="https://doi.org/10.1146/annurev-psych-120710-100452" TargetMode="External" /><Relationship Type="http://schemas.openxmlformats.org/officeDocument/2006/relationships/hyperlink" Id="rId324" Target="https://doi.org/10.1159/000270073" TargetMode="External" /><Relationship Type="http://schemas.openxmlformats.org/officeDocument/2006/relationships/hyperlink" Id="rId275" Target="https://doi.org/10.1176/appi.ajp.160.9.1566" TargetMode="External" /><Relationship Type="http://schemas.openxmlformats.org/officeDocument/2006/relationships/hyperlink" Id="rId249" Target="https://doi.org/10.1176/appi.ajp.2008.08030366" TargetMode="External" /><Relationship Type="http://schemas.openxmlformats.org/officeDocument/2006/relationships/hyperlink" Id="rId441" Target="https://doi.org/10.1177/0049124121995521" TargetMode="External" /><Relationship Type="http://schemas.openxmlformats.org/officeDocument/2006/relationships/hyperlink" Id="rId443" Target="https://doi.org/10.1177/00491241221091754" TargetMode="External" /><Relationship Type="http://schemas.openxmlformats.org/officeDocument/2006/relationships/hyperlink" Id="rId423" Target="https://doi.org/10.1177/0093854812443645" TargetMode="External" /><Relationship Type="http://schemas.openxmlformats.org/officeDocument/2006/relationships/hyperlink" Id="rId195" Target="https://doi.org/10.1177/0146621612470210" TargetMode="External" /><Relationship Type="http://schemas.openxmlformats.org/officeDocument/2006/relationships/hyperlink" Id="rId330" Target="https://doi.org/10.1177/0165025415618275" TargetMode="External" /><Relationship Type="http://schemas.openxmlformats.org/officeDocument/2006/relationships/hyperlink" Id="rId448" Target="https://doi.org/10.1177/0165025419880610" TargetMode="External" /><Relationship Type="http://schemas.openxmlformats.org/officeDocument/2006/relationships/hyperlink" Id="rId146" Target="https://doi.org/10.1177/0269758014537147" TargetMode="External" /><Relationship Type="http://schemas.openxmlformats.org/officeDocument/2006/relationships/hyperlink" Id="rId226" Target="https://doi.org/10.1177/08902070241228338" TargetMode="External" /><Relationship Type="http://schemas.openxmlformats.org/officeDocument/2006/relationships/hyperlink" Id="rId336" Target="https://doi.org/10.1177/0962280214534588" TargetMode="External" /><Relationship Type="http://schemas.openxmlformats.org/officeDocument/2006/relationships/hyperlink" Id="rId403" Target="https://doi.org/10.1177/1362361320908972" TargetMode="External" /><Relationship Type="http://schemas.openxmlformats.org/officeDocument/2006/relationships/hyperlink" Id="rId177" Target="https://doi.org/10.1177/2167702613497473" TargetMode="External" /><Relationship Type="http://schemas.openxmlformats.org/officeDocument/2006/relationships/hyperlink" Id="rId372" Target="https://doi.org/10.1177/25152459251342750" TargetMode="External" /><Relationship Type="http://schemas.openxmlformats.org/officeDocument/2006/relationships/hyperlink" Id="rId224" Target="https://doi.org/10.1207/S15374424JCCP3301_6" TargetMode="External" /><Relationship Type="http://schemas.openxmlformats.org/officeDocument/2006/relationships/hyperlink" Id="rId340" Target="https://doi.org/10.1371/journal.pone.0063109" TargetMode="External" /><Relationship Type="http://schemas.openxmlformats.org/officeDocument/2006/relationships/hyperlink" Id="rId233" Target="https://doi.org/10.1378/chest.116.5.1208" TargetMode="External" /><Relationship Type="http://schemas.openxmlformats.org/officeDocument/2006/relationships/hyperlink" Id="rId187" Target="https://doi.org/10.14283/jfa.2012.9" TargetMode="External" /><Relationship Type="http://schemas.openxmlformats.org/officeDocument/2006/relationships/hyperlink" Id="rId45" Target="https://doi.org/10.1590/1980-57642018dn12-030001" TargetMode="External" /><Relationship Type="http://schemas.openxmlformats.org/officeDocument/2006/relationships/hyperlink" Id="rId385" Target="https://doi.org/10.18148/srm/2018.v12i1.7210" TargetMode="External" /><Relationship Type="http://schemas.openxmlformats.org/officeDocument/2006/relationships/hyperlink" Id="rId235" Target="https://doi.org/10.22237/jmasm/1209614640" TargetMode="External" /><Relationship Type="http://schemas.openxmlformats.org/officeDocument/2006/relationships/hyperlink" Id="rId211" Target="https://doi.org/10.2307/2095245" TargetMode="External" /><Relationship Type="http://schemas.openxmlformats.org/officeDocument/2006/relationships/hyperlink" Id="rId413" Target="https://doi.org/10.2307/j.ctt2jbxs1" TargetMode="External" /><Relationship Type="http://schemas.openxmlformats.org/officeDocument/2006/relationships/hyperlink" Id="rId123" Target="https://doi.org/10.25820/work.007199" TargetMode="External" /><Relationship Type="http://schemas.openxmlformats.org/officeDocument/2006/relationships/hyperlink" Id="rId415" Target="https://doi.org/10.3389/fpsyg.2013.00770" TargetMode="External" /><Relationship Type="http://schemas.openxmlformats.org/officeDocument/2006/relationships/hyperlink" Id="rId328" Target="https://doi.org/10.3389/fpsyg.2014.00978" TargetMode="External" /><Relationship Type="http://schemas.openxmlformats.org/officeDocument/2006/relationships/hyperlink" Id="rId191" Target="https://doi.org/10.3389/fpsyg.2014.00982" TargetMode="External" /><Relationship Type="http://schemas.openxmlformats.org/officeDocument/2006/relationships/hyperlink" Id="rId318" Target="https://doi.org/10.3389/fpsyg.2015.01389" TargetMode="External" /><Relationship Type="http://schemas.openxmlformats.org/officeDocument/2006/relationships/hyperlink" Id="rId38" Target="https://github.com/DevPsyLab/studying-psychopathology-development-lifespan" TargetMode="External" /><Relationship Type="http://schemas.openxmlformats.org/officeDocument/2006/relationships/hyperlink" Id="rId450" Target="https://icd.who.int" TargetMode="External" /><Relationship Type="http://schemas.openxmlformats.org/officeDocument/2006/relationships/hyperlink" Id="rId316" Target="https://news.harvard.edu/gazette/story/2017/04/over-nearly-80-years-harvard-study-has-been-showing-how-to-live-a-healthy-and-happy-life/" TargetMode="External" /><Relationship Type="http://schemas.openxmlformats.org/officeDocument/2006/relationships/hyperlink" Id="rId32" Target="https://orcid.org/0000-0002-5717-6205" TargetMode="External" /><Relationship Type="http://schemas.openxmlformats.org/officeDocument/2006/relationships/hyperlink" Id="rId27" Target="https://orcid.org/0000-0003-3072-6673" TargetMode="External" /><Relationship Type="http://schemas.openxmlformats.org/officeDocument/2006/relationships/hyperlink" Id="rId37" Target="https://orcid.org/0009-0009-5488-6541" TargetMode="External" /><Relationship Type="http://schemas.openxmlformats.org/officeDocument/2006/relationships/hyperlink" Id="rId39" Target="https://osf.io/t3zf9" TargetMode="External" /><Relationship Type="http://schemas.openxmlformats.org/officeDocument/2006/relationships/hyperlink" Id="rId237" Target="https://quantitudepod.org/latent-means/ (archived at: https://perma.cc/5JL3-YUPA)" TargetMode="External" /><Relationship Type="http://schemas.openxmlformats.org/officeDocument/2006/relationships/hyperlink" Id="rId40" Target="mailto:isaac-t-petersen@uiowa.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212</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2026-10-08T03:20:14Z</dcterms:created>
  <dcterms:modified xsi:type="dcterms:W3CDTF">2026-10-08T03:20:14Z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ppendix-count">
    <vt:lpwstr>0</vt:lpwstr>
  </property>
  <property fmtid="{D5CDD505-2E9C-101B-9397-08002B2CF9AE}" pid="5" name="apa-quote-attribution">
    <vt:lpwstr>True</vt:lpwstr>
  </property>
  <property fmtid="{D5CDD505-2E9C-101B-9397-08002B2CF9AE}" pid="6"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7" name="apaauthor">
    <vt:lpwstr/>
  </property>
  <property fmtid="{D5CDD505-2E9C-101B-9397-08002B2CF9AE}" pid="8" name="apadate">
    <vt:lpwstr>2026-10-08</vt:lpwstr>
  </property>
  <property fmtid="{D5CDD505-2E9C-101B-9397-08002B2CF9AE}" pid="9" name="apatitle">
    <vt:lpwstr>Studying Development of Psychopathology Across the Lifespan</vt:lpwstr>
  </property>
  <property fmtid="{D5CDD505-2E9C-101B-9397-08002B2CF9AE}" pid="10" name="apatitledisplay">
    <vt:lpwstr>Studying Development of Psychopathology Across the Lifespan</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lank-lines-above-author-note">
    <vt:lpwstr>2</vt:lpwstr>
  </property>
  <property fmtid="{D5CDD505-2E9C-101B-9397-08002B2CF9AE}" pid="15" name="blank-lines-above-title">
    <vt:lpwstr>2</vt:lpwstr>
  </property>
  <property fmtid="{D5CDD505-2E9C-101B-9397-08002B2CF9AE}" pid="16" name="by-affiliation">
    <vt:lpwstr/>
  </property>
  <property fmtid="{D5CDD505-2E9C-101B-9397-08002B2CF9AE}" pid="17" name="by-author">
    <vt:lpwstr/>
  </property>
  <property fmtid="{D5CDD505-2E9C-101B-9397-08002B2CF9AE}" pid="18" name="cap-location">
    <vt:lpwstr>top</vt:lpwstr>
  </property>
  <property fmtid="{D5CDD505-2E9C-101B-9397-08002B2CF9AE}" pid="19" name="citation">
    <vt:lpwstr/>
  </property>
  <property fmtid="{D5CDD505-2E9C-101B-9397-08002B2CF9AE}" pid="20" name="clear-hidden-classes">
    <vt:lpwstr>none</vt:lpwstr>
  </property>
  <property fmtid="{D5CDD505-2E9C-101B-9397-08002B2CF9AE}" pid="21" name="crossref">
    <vt:lpwstr/>
  </property>
  <property fmtid="{D5CDD505-2E9C-101B-9397-08002B2CF9AE}" pid="22" name="csl">
    <vt:lpwstr>_extensions/wjschne/apaquarto/apa.csl</vt:lpwstr>
  </property>
  <property fmtid="{D5CDD505-2E9C-101B-9397-08002B2CF9AE}" pid="23" name="documentmode">
    <vt:lpwstr>man</vt:lpwstr>
  </property>
  <property fmtid="{D5CDD505-2E9C-101B-9397-08002B2CF9AE}" pid="24" name="fig-cap-location">
    <vt:lpwstr>top</vt:lpwstr>
  </property>
  <property fmtid="{D5CDD505-2E9C-101B-9397-08002B2CF9AE}" pid="25" name="floatsintext">
    <vt:lpwstr>True</vt:lpwstr>
  </property>
  <property fmtid="{D5CDD505-2E9C-101B-9397-08002B2CF9AE}" pid="26" name="google-scholar">
    <vt:lpwstr>True</vt:lpwstr>
  </property>
  <property fmtid="{D5CDD505-2E9C-101B-9397-08002B2CF9AE}" pid="27" name="header-includes">
    <vt:lpwstr/>
  </property>
  <property fmtid="{D5CDD505-2E9C-101B-9397-08002B2CF9AE}" pid="28" name="impact-statement">
    <vt:lpwstr/>
  </property>
  <property fmtid="{D5CDD505-2E9C-101B-9397-08002B2CF9AE}" pid="29" name="include-after">
    <vt:lpwstr/>
  </property>
  <property fmtid="{D5CDD505-2E9C-101B-9397-08002B2CF9AE}" pid="30" name="include-before">
    <vt:lpwstr/>
  </property>
  <property fmtid="{D5CDD505-2E9C-101B-9397-08002B2CF9AE}" pid="31" name="jou-running-authors">
    <vt:lpwstr>Petersen, Demko, &amp; Schumer</vt:lpwstr>
  </property>
  <property fmtid="{D5CDD505-2E9C-101B-9397-08002B2CF9AE}" pid="32" name="knitr">
    <vt:lpwstr/>
  </property>
  <property fmtid="{D5CDD505-2E9C-101B-9397-08002B2CF9AE}" pid="33" name="labels">
    <vt:lpwstr/>
  </property>
  <property fmtid="{D5CDD505-2E9C-101B-9397-08002B2CF9AE}" pid="34" name="language">
    <vt:lpwstr/>
  </property>
  <property fmtid="{D5CDD505-2E9C-101B-9397-08002B2CF9AE}" pid="35" name="lightbox">
    <vt:lpwstr>auto</vt:lpwstr>
  </property>
  <property fmtid="{D5CDD505-2E9C-101B-9397-08002B2CF9AE}" pid="36" name="link-citations">
    <vt:lpwstr>True</vt:lpwstr>
  </property>
  <property fmtid="{D5CDD505-2E9C-101B-9397-08002B2CF9AE}" pid="37" name="manuscript">
    <vt:lpwstr/>
  </property>
  <property fmtid="{D5CDD505-2E9C-101B-9397-08002B2CF9AE}" pid="38" name="mask">
    <vt:lpwstr>False</vt:lpwstr>
  </property>
  <property fmtid="{D5CDD505-2E9C-101B-9397-08002B2CF9AE}" pid="39" name="meta-analysis">
    <vt:lpwstr>False</vt:lpwstr>
  </property>
  <property fmtid="{D5CDD505-2E9C-101B-9397-08002B2CF9AE}" pid="40" name="no-ampersand-parenthetical">
    <vt:lpwstr>False</vt:lpwstr>
  </property>
  <property fmtid="{D5CDD505-2E9C-101B-9397-08002B2CF9AE}" pid="41" name="nocite">
    <vt:lpwstr>@Borelli2018, @Abrous2026, @Sivertsson2024, @Steffensmeier2025</vt:lpwstr>
  </property>
  <property fmtid="{D5CDD505-2E9C-101B-9397-08002B2CF9AE}" pid="42" name="notebook-preview-options">
    <vt:lpwstr/>
  </property>
  <property fmtid="{D5CDD505-2E9C-101B-9397-08002B2CF9AE}" pid="43" name="number-depth">
    <vt:lpwstr>3</vt:lpwstr>
  </property>
  <property fmtid="{D5CDD505-2E9C-101B-9397-08002B2CF9AE}" pid="44" name="numbered-lines">
    <vt:lpwstr>False</vt:lpwstr>
  </property>
  <property fmtid="{D5CDD505-2E9C-101B-9397-08002B2CF9AE}" pid="45" name="numbersections">
    <vt:lpwstr>False</vt:lpwstr>
  </property>
  <property fmtid="{D5CDD505-2E9C-101B-9397-08002B2CF9AE}" pid="46" name="quarto-internal">
    <vt:lpwstr/>
  </property>
  <property fmtid="{D5CDD505-2E9C-101B-9397-08002B2CF9AE}" pid="47" name="references">
    <vt:lpwstr/>
  </property>
  <property fmtid="{D5CDD505-2E9C-101B-9397-08002B2CF9AE}" pid="48" name="remove-hidden">
    <vt:lpwstr>all</vt:lpwstr>
  </property>
  <property fmtid="{D5CDD505-2E9C-101B-9397-08002B2CF9AE}" pid="49" name="revealjs-plugins">
    <vt:lpwstr/>
  </property>
  <property fmtid="{D5CDD505-2E9C-101B-9397-08002B2CF9AE}" pid="50" name="shorttitle">
    <vt:lpwstr>PSYCHOPATHOLOGY DEVELOPMENT ACROSS LIFESPAN</vt:lpwstr>
  </property>
  <property fmtid="{D5CDD505-2E9C-101B-9397-08002B2CF9AE}" pid="51" name="suppress-abstract">
    <vt:lpwstr>False</vt:lpwstr>
  </property>
  <property fmtid="{D5CDD505-2E9C-101B-9397-08002B2CF9AE}" pid="52" name="suppress-affiliation">
    <vt:lpwstr>False</vt:lpwstr>
  </property>
  <property fmtid="{D5CDD505-2E9C-101B-9397-08002B2CF9AE}" pid="53" name="suppress-author">
    <vt:lpwstr>False</vt:lpwstr>
  </property>
  <property fmtid="{D5CDD505-2E9C-101B-9397-08002B2CF9AE}" pid="54" name="suppress-author-note">
    <vt:lpwstr>False</vt:lpwstr>
  </property>
  <property fmtid="{D5CDD505-2E9C-101B-9397-08002B2CF9AE}" pid="55" name="suppress-corresponding-address">
    <vt:lpwstr>False</vt:lpwstr>
  </property>
  <property fmtid="{D5CDD505-2E9C-101B-9397-08002B2CF9AE}" pid="56" name="suppress-corresponding-affiliation-name">
    <vt:lpwstr>False</vt:lpwstr>
  </property>
  <property fmtid="{D5CDD505-2E9C-101B-9397-08002B2CF9AE}" pid="57" name="suppress-corresponding-city">
    <vt:lpwstr>False</vt:lpwstr>
  </property>
  <property fmtid="{D5CDD505-2E9C-101B-9397-08002B2CF9AE}" pid="58" name="suppress-corresponding-country">
    <vt:lpwstr>False</vt:lpwstr>
  </property>
  <property fmtid="{D5CDD505-2E9C-101B-9397-08002B2CF9AE}" pid="59" name="suppress-corresponding-department">
    <vt:lpwstr>False</vt:lpwstr>
  </property>
  <property fmtid="{D5CDD505-2E9C-101B-9397-08002B2CF9AE}" pid="60" name="suppress-corresponding-email">
    <vt:lpwstr>False</vt:lpwstr>
  </property>
  <property fmtid="{D5CDD505-2E9C-101B-9397-08002B2CF9AE}" pid="61" name="suppress-corresponding-group">
    <vt:lpwstr>False</vt:lpwstr>
  </property>
  <property fmtid="{D5CDD505-2E9C-101B-9397-08002B2CF9AE}" pid="62" name="suppress-corresponding-paragraph">
    <vt:lpwstr>False</vt:lpwstr>
  </property>
  <property fmtid="{D5CDD505-2E9C-101B-9397-08002B2CF9AE}" pid="63" name="suppress-corresponding-postal-code">
    <vt:lpwstr>False</vt:lpwstr>
  </property>
  <property fmtid="{D5CDD505-2E9C-101B-9397-08002B2CF9AE}" pid="64" name="suppress-corresponding-region">
    <vt:lpwstr>False</vt:lpwstr>
  </property>
  <property fmtid="{D5CDD505-2E9C-101B-9397-08002B2CF9AE}" pid="65" name="suppress-credit-statement">
    <vt:lpwstr>False</vt:lpwstr>
  </property>
  <property fmtid="{D5CDD505-2E9C-101B-9397-08002B2CF9AE}" pid="66" name="suppress-disclosures-paragraph">
    <vt:lpwstr>False</vt:lpwstr>
  </property>
  <property fmtid="{D5CDD505-2E9C-101B-9397-08002B2CF9AE}" pid="67" name="suppress-impact-statement">
    <vt:lpwstr>False</vt:lpwstr>
  </property>
  <property fmtid="{D5CDD505-2E9C-101B-9397-08002B2CF9AE}" pid="68" name="suppress-keywords">
    <vt:lpwstr>False</vt:lpwstr>
  </property>
  <property fmtid="{D5CDD505-2E9C-101B-9397-08002B2CF9AE}" pid="69" name="suppress-orcid">
    <vt:lpwstr>False</vt:lpwstr>
  </property>
  <property fmtid="{D5CDD505-2E9C-101B-9397-08002B2CF9AE}" pid="70" name="suppress-short-title">
    <vt:lpwstr>False</vt:lpwstr>
  </property>
  <property fmtid="{D5CDD505-2E9C-101B-9397-08002B2CF9AE}" pid="71" name="suppress-status-change-paragraph">
    <vt:lpwstr>False</vt:lpwstr>
  </property>
  <property fmtid="{D5CDD505-2E9C-101B-9397-08002B2CF9AE}" pid="72" name="suppress-supplemental-materials">
    <vt:lpwstr>False</vt:lpwstr>
  </property>
  <property fmtid="{D5CDD505-2E9C-101B-9397-08002B2CF9AE}" pid="73" name="suppress-title">
    <vt:lpwstr>False</vt:lpwstr>
  </property>
  <property fmtid="{D5CDD505-2E9C-101B-9397-08002B2CF9AE}" pid="74" name="suppress-title-introduction">
    <vt:lpwstr>False</vt:lpwstr>
  </property>
  <property fmtid="{D5CDD505-2E9C-101B-9397-08002B2CF9AE}" pid="75" name="suppress-title-page">
    <vt:lpwstr>False</vt:lpwstr>
  </property>
  <property fmtid="{D5CDD505-2E9C-101B-9397-08002B2CF9AE}" pid="76" name="suppress-title-page-number">
    <vt:lpwstr>False</vt:lpwstr>
  </property>
  <property fmtid="{D5CDD505-2E9C-101B-9397-08002B2CF9AE}" pid="77" name="tbl-cap-location">
    <vt:lpwstr>top</vt:lpwstr>
  </property>
  <property fmtid="{D5CDD505-2E9C-101B-9397-08002B2CF9AE}" pid="78" name="template-partials">
    <vt:lpwstr/>
  </property>
  <property fmtid="{D5CDD505-2E9C-101B-9397-08002B2CF9AE}" pid="79" name="theme">
    <vt:lpwstr>cosmo</vt:lpwstr>
  </property>
  <property fmtid="{D5CDD505-2E9C-101B-9397-08002B2CF9AE}" pid="80" name="title-block-style">
    <vt:lpwstr>manuscript</vt:lpwstr>
  </property>
  <property fmtid="{D5CDD505-2E9C-101B-9397-08002B2CF9AE}" pid="81" name="toc-title">
    <vt:lpwstr>Table of contents</vt:lpwstr>
  </property>
  <property fmtid="{D5CDD505-2E9C-101B-9397-08002B2CF9AE}" pid="82" name="unroll-markdown-cells">
    <vt:lpwstr>True</vt:lpwstr>
  </property>
  <property fmtid="{D5CDD505-2E9C-101B-9397-08002B2CF9AE}" pid="83" name="word-count">
    <vt:lpwstr>False</vt:lpwstr>
  </property>
  <property fmtid="{D5CDD505-2E9C-101B-9397-08002B2CF9AE}" pid="84" name="wordn">
    <vt:lpwstr>12504</vt:lpwstr>
  </property>
  <property fmtid="{D5CDD505-2E9C-101B-9397-08002B2CF9AE}" pid="85" name="zerocitations">
    <vt:lpwstr>False</vt:lpwstr>
  </property>
</Properties>
</file>