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07.png" ContentType="image/png"/>
  <Override PartName="/word/media/rId71.png" ContentType="image/png"/>
  <Override PartName="/word/media/rId88.png" ContentType="image/png"/>
  <Override PartName="/word/media/rId81.jpg" ContentType="image/jpeg"/>
  <Override PartName="/word/media/rId98.png" ContentType="image/png"/>
  <Override PartName="/word/media/rId116.png" ContentType="image/png"/>
  <Override PartName="/word/media/rId23.svg" ContentType="image/svg+xml"/>
  <Override PartName="/word/media/rId47.png" ContentType="image/png"/>
  <Override PartName="/word/media/rId42.png" ContentType="image/png"/>
  <Override PartName="/word/media/rId64.png" ContentType="image/png"/>
  <Override PartName="/word/media/rId53.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52"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45" w:name="fig-lifespancognitivetrajectories"/>
    <w:p>
      <w:pPr>
        <w:pStyle w:val="FigureTitle"/>
      </w:pPr>
      <w:r>
        <w:t xml:space="preserve">Figure 1</w:t>
      </w:r>
    </w:p>
    <w:p>
      <w:pPr>
        <w:pStyle w:val="Caption"/>
      </w:pPr>
      <w:r>
        <w:t xml:space="preserve">Different Cognitive Trajectories of Aging</w:t>
      </w:r>
    </w:p>
    <w:p>
      <w:pPr>
        <w:pStyle w:val="FigureWithoutNote"/>
      </w:pPr>
      <w:r>
        <w:drawing>
          <wp:inline>
            <wp:extent cx="5943600" cy="2476500"/>
            <wp:effectExtent b="0" l="0" r="0" t="0"/>
            <wp:docPr descr="" title="" id="43" name="Picture"/>
            <a:graphic>
              <a:graphicData uri="http://schemas.openxmlformats.org/drawingml/2006/picture">
                <pic:pic>
                  <pic:nvPicPr>
                    <pic:cNvPr descr="index_files/figure-docx/notebooks-analyses-fig-lifespancognitivetrajectories-output-1.png" id="44" name="Picture"/>
                    <pic:cNvPicPr>
                      <a:picLocks noChangeArrowheads="1" noChangeAspect="1"/>
                    </pic:cNvPicPr>
                  </pic:nvPicPr>
                  <pic:blipFill>
                    <a:blip r:embed="rId42"/>
                    <a:stretch>
                      <a:fillRect/>
                    </a:stretch>
                  </pic:blipFill>
                  <pic:spPr bwMode="auto">
                    <a:xfrm>
                      <a:off x="0" y="0"/>
                      <a:ext cx="5943600" cy="2476500"/>
                    </a:xfrm>
                    <a:prstGeom prst="rect">
                      <a:avLst/>
                    </a:prstGeom>
                    <a:noFill/>
                    <a:ln w="9525">
                      <a:noFill/>
                      <a:headEnd/>
                      <a:tailEnd/>
                    </a:ln>
                  </pic:spPr>
                </pic:pic>
              </a:graphicData>
            </a:graphic>
          </wp:inline>
        </w:drawing>
      </w:r>
    </w:p>
    <w:bookmarkEnd w:id="45"/>
    <w:p>
      <w:pPr>
        <w:pStyle w:val="FigureWithoutNote"/>
      </w:pPr>
      <w:r>
        <w:rPr>
          <w:vertAlign w:val="subscript"/>
        </w:rPr>
        <w:t xml:space="preserve">Source:</w:t>
      </w:r>
      <w:r>
        <w:rPr>
          <w:vertAlign w:val="subscript"/>
        </w:rPr>
        <w:t xml:space="preserve"> </w:t>
      </w:r>
      <w:hyperlink r:id="rId46">
        <w:r>
          <w:rPr>
            <w:rStyle w:val="Hyperlink"/>
            <w:vertAlign w:val="subscript"/>
          </w:rPr>
          <w:t xml:space="preserve">Analyses</w:t>
        </w:r>
      </w:hyperlink>
    </w:p>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externalizingbyage">
        <w:r>
          <w:rPr>
            <w:rStyle w:val="Hyperlink"/>
          </w:rPr>
          <w:t xml:space="preserve">Figure 2</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externalizingbyage">
        <w:r>
          <w:rPr>
            <w:rStyle w:val="Hyperlink"/>
          </w:rPr>
          <w:t xml:space="preserve">Figure 2</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ernalizingbyage">
        <w:r>
          <w:rPr>
            <w:rStyle w:val="Hyperlink"/>
          </w:rPr>
          <w:t xml:space="preserve">Figure 2</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50" w:name="fig-externalizingbyage"/>
    <w:p>
      <w:pPr>
        <w:pStyle w:val="FigureTitle"/>
      </w:pPr>
      <w:r>
        <w:t xml:space="preserve">Figure 2</w:t>
      </w:r>
    </w:p>
    <w:p>
      <w:pPr>
        <w:pStyle w:val="Caption"/>
      </w:pPr>
      <w:r>
        <w:t xml:space="preserve">Externalizing Behavior Across Development</w:t>
      </w:r>
    </w:p>
    <w:p>
      <w:pPr>
        <w:pStyle w:val="FigureWithoutNote"/>
      </w:pPr>
      <w:r>
        <w:drawing>
          <wp:inline>
            <wp:extent cx="5943600" cy="3962400"/>
            <wp:effectExtent b="0" l="0" r="0" t="0"/>
            <wp:docPr descr="" title="" id="48" name="Picture"/>
            <a:graphic>
              <a:graphicData uri="http://schemas.openxmlformats.org/drawingml/2006/picture">
                <pic:pic>
                  <pic:nvPicPr>
                    <pic:cNvPr descr="index_files/figure-docx/notebooks-analyses-fig-externalizingbyage-output-1.png" id="49" name="Picture"/>
                    <pic:cNvPicPr>
                      <a:picLocks noChangeArrowheads="1" noChangeAspect="1"/>
                    </pic:cNvPicPr>
                  </pic:nvPicPr>
                  <pic:blipFill>
                    <a:blip r:embed="rId47"/>
                    <a:stretch>
                      <a:fillRect/>
                    </a:stretch>
                  </pic:blipFill>
                  <pic:spPr bwMode="auto">
                    <a:xfrm>
                      <a:off x="0" y="0"/>
                      <a:ext cx="5943600" cy="3962400"/>
                    </a:xfrm>
                    <a:prstGeom prst="rect">
                      <a:avLst/>
                    </a:prstGeom>
                    <a:noFill/>
                    <a:ln w="9525">
                      <a:noFill/>
                      <a:headEnd/>
                      <a:tailEnd/>
                    </a:ln>
                  </pic:spPr>
                </pic:pic>
              </a:graphicData>
            </a:graphic>
          </wp:inline>
        </w:drawing>
      </w:r>
    </w:p>
    <w:bookmarkEnd w:id="50"/>
    <w:p>
      <w:pPr>
        <w:pStyle w:val="FigureWithoutNote"/>
      </w:pPr>
      <w:r>
        <w:rPr>
          <w:vertAlign w:val="subscript"/>
        </w:rPr>
        <w:t xml:space="preserve">Source:</w:t>
      </w:r>
      <w:r>
        <w:rPr>
          <w:vertAlign w:val="subscript"/>
        </w:rPr>
        <w:t xml:space="preserve"> </w:t>
      </w:r>
      <w:hyperlink r:id="rId51">
        <w:r>
          <w:rPr>
            <w:rStyle w:val="Hyperlink"/>
            <w:vertAlign w:val="subscript"/>
          </w:rPr>
          <w:t xml:space="preserve">Analyses</w:t>
        </w:r>
      </w:hyperlink>
    </w:p>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52"/>
    <w:bookmarkStart w:id="70"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r>
        <w:t xml:space="preserve"> </w:t>
      </w:r>
      <w:r>
        <w:t xml:space="preserve">We overview some of the seminal longitudinal studies covering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56" w:name="fig-longitudinalstudies"/>
    <w:p>
      <w:pPr>
        <w:pStyle w:val="FigureTitle"/>
      </w:pPr>
      <w:r>
        <w:t xml:space="preserve">Figure 3</w:t>
      </w:r>
    </w:p>
    <w:p>
      <w:pPr>
        <w:pStyle w:val="Caption"/>
      </w:pPr>
      <w:r>
        <w:t xml:space="preserve">(Approximate) Ages Spanned by Various Lengthy Longitudinal Studies</w:t>
      </w:r>
    </w:p>
    <w:p>
      <w:pPr>
        <w:pStyle w:val="FigureWithoutNote"/>
      </w:pPr>
      <w:r>
        <w:drawing>
          <wp:inline>
            <wp:extent cx="5943600" cy="6792685"/>
            <wp:effectExtent b="0" l="0" r="0" t="0"/>
            <wp:docPr descr="" title="" id="54" name="Picture"/>
            <a:graphic>
              <a:graphicData uri="http://schemas.openxmlformats.org/drawingml/2006/picture">
                <pic:pic>
                  <pic:nvPicPr>
                    <pic:cNvPr descr="index_files/figure-docx/notebooks-analyses-fig-longitudinalstudies-output-1.png" id="55" name="Picture"/>
                    <pic:cNvPicPr>
                      <a:picLocks noChangeArrowheads="1" noChangeAspect="1"/>
                    </pic:cNvPicPr>
                  </pic:nvPicPr>
                  <pic:blipFill>
                    <a:blip r:embed="rId53"/>
                    <a:stretch>
                      <a:fillRect/>
                    </a:stretch>
                  </pic:blipFill>
                  <pic:spPr bwMode="auto">
                    <a:xfrm>
                      <a:off x="0" y="0"/>
                      <a:ext cx="5943600" cy="6792685"/>
                    </a:xfrm>
                    <a:prstGeom prst="rect">
                      <a:avLst/>
                    </a:prstGeom>
                    <a:noFill/>
                    <a:ln w="9525">
                      <a:noFill/>
                      <a:headEnd/>
                      <a:tailEnd/>
                    </a:ln>
                  </pic:spPr>
                </pic:pic>
              </a:graphicData>
            </a:graphic>
          </wp:inline>
        </w:drawing>
      </w:r>
    </w:p>
    <w:bookmarkEnd w:id="56"/>
    <w:p>
      <w:pPr>
        <w:pStyle w:val="FigureWithoutNote"/>
      </w:pPr>
      <w:r>
        <w:rPr>
          <w:vertAlign w:val="subscript"/>
        </w:rPr>
        <w:t xml:space="preserve">Source:</w:t>
      </w:r>
      <w:r>
        <w:rPr>
          <w:vertAlign w:val="subscript"/>
        </w:rPr>
        <w:t xml:space="preserve"> </w:t>
      </w:r>
      <w:hyperlink r:id="rId57">
        <w:r>
          <w:rPr>
            <w:rStyle w:val="Hyperlink"/>
            <w:vertAlign w:val="subscript"/>
          </w:rPr>
          <w:t xml:space="preserve">Analyses</w:t>
        </w:r>
      </w:hyperlink>
    </w:p>
    <w:bookmarkStart w:id="62" w:name="seminal-longitudinal-studies"/>
    <w:p>
      <w:pPr>
        <w:pStyle w:val="Heading2"/>
      </w:pPr>
      <w:r>
        <w:t xml:space="preserve">Seminal Longitudinal Studies</w:t>
      </w:r>
    </w:p>
    <w:bookmarkStart w:id="58"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58"/>
    <w:bookmarkStart w:id="59"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59"/>
    <w:bookmarkStart w:id="60"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60"/>
    <w:bookmarkStart w:id="61"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61"/>
    <w:bookmarkEnd w:id="62"/>
    <w:bookmarkStart w:id="69"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w:t>
      </w:r>
      <w:r>
        <w:t xml:space="preserve"> </w:t>
      </w:r>
      <w:r>
        <w:t xml:space="preserve">(e.g.,</w:t>
      </w:r>
      <w:r>
        <w:t xml:space="preserve"> </w:t>
      </w:r>
      <w:hyperlink w:anchor="ref-Kim2009">
        <w:r>
          <w:rPr>
            <w:rStyle w:val="Hyperlink"/>
          </w:rPr>
          <w:t xml:space="preserve">Kim et al., 2009</w:t>
        </w:r>
      </w:hyperlink>
      <w:r>
        <w:t xml:space="preserve">)</w:t>
      </w:r>
      <w:r>
        <w:t xml:space="preserve">.</w:t>
      </w:r>
      <w:r>
        <w:t xml:space="preserve"> </w:t>
      </w:r>
      <w:r>
        <w:t xml:space="preserve">However, relatively few longitudinal studies attempt to assess people’s</w:t>
      </w:r>
      <w:r>
        <w:t xml:space="preserve"> </w:t>
      </w:r>
      <w:r>
        <w:rPr>
          <w:i/>
          <w:iCs/>
        </w:rPr>
        <w:t xml:space="preserve">change</w:t>
      </w:r>
      <w:r>
        <w:t xml:space="preserve"> </w:t>
      </w:r>
      <w:r>
        <w:t xml:space="preserve">in a given psychopathology construct over a long period.</w:t>
      </w:r>
      <w:r>
        <w:t xml:space="preserve"> </w:t>
      </w:r>
      <w:r>
        <w:t xml:space="preserve">Here, we focus on studies that have examined trajectories of externalizing behavior.</w:t>
      </w:r>
      <w:r>
        <w:rPr>
          <w:rStyle w:val="FootnoteReference"/>
        </w:rPr>
        <w:footnoteReference w:id="63"/>
      </w:r>
    </w:p>
    <w:p>
      <w:pPr>
        <w:pStyle w:val="BodyText"/>
      </w:pPr>
      <w:r>
        <w:t xml:space="preserve">A depiction of the ages spanned by various longitudinal studies is in</w:t>
      </w:r>
      <w:r>
        <w:t xml:space="preserve"> </w:t>
      </w:r>
      <w:hyperlink w:anchor="fig-longitudinalexternalizingstudies">
        <w:r>
          <w:rPr>
            <w:rStyle w:val="Hyperlink"/>
          </w:rPr>
          <w:t xml:space="preserve">Figure 4</w:t>
        </w:r>
      </w:hyperlink>
      <w:r>
        <w:t xml:space="preserve">.</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In the Mannheim Study of Children at Risk,</w:t>
      </w:r>
      <w:r>
        <w:t xml:space="preserve"> </w:t>
      </w:r>
      <w:r>
        <w:t xml:space="preserve">Sacu et al. (</w:t>
      </w:r>
      <w:hyperlink w:anchor="ref-SacuInPress">
        <w:r>
          <w:rPr>
            <w:rStyle w:val="Hyperlink"/>
          </w:rPr>
          <w:t xml:space="preserve">in press</w:t>
        </w:r>
      </w:hyperlink>
      <w:r>
        <w:t xml:space="preserve">)</w:t>
      </w:r>
      <w:r>
        <w:t xml:space="preserve"> </w:t>
      </w:r>
      <w:r>
        <w:t xml:space="preserve">examined trajectories of externalizing behavior from ages 8–33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12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4–18 spanning 13 differing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r>
        <w:t xml:space="preserve"> </w:t>
      </w:r>
      <w:r>
        <w:t xml:space="preserve">Studies have also examined trajectories of delinquency from ages 7–19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Demonstrating an analytic method (moderated nonlinear factor analysis) to link scores across measures onto the same scale,</w:t>
      </w:r>
      <w:r>
        <w:t xml:space="preserve"> </w:t>
      </w:r>
      <w:r>
        <w:t xml:space="preserve">S. M. Chen and Bauer (</w:t>
      </w:r>
      <w:hyperlink w:anchor="ref-ChenPM">
        <w:r>
          <w:rPr>
            <w:rStyle w:val="Hyperlink"/>
          </w:rPr>
          <w:t xml:space="preserve">in pressb</w:t>
        </w:r>
      </w:hyperlink>
      <w:r>
        <w:t xml:space="preserve">)</w:t>
      </w:r>
      <w:r>
        <w:t xml:space="preserve"> </w:t>
      </w:r>
      <w:r>
        <w:t xml:space="preserve">examined trajectories of delinquency from ages 12–26 with 3 measurement occasions in the National Longitudinal Study of Adolescent to Adult Health (Add Health), and</w:t>
      </w:r>
      <w:r>
        <w:t xml:space="preserve"> </w:t>
      </w:r>
      <w:r>
        <w:t xml:space="preserve">S. M. Chen and Bauer (</w:t>
      </w:r>
      <w:hyperlink w:anchor="ref-ChenMBR">
        <w:r>
          <w:rPr>
            <w:rStyle w:val="Hyperlink"/>
          </w:rPr>
          <w:t xml:space="preserve">in pressa</w:t>
        </w:r>
      </w:hyperlink>
      <w:r>
        <w:t xml:space="preserve">)</w:t>
      </w:r>
      <w:r>
        <w:t xml:space="preserve"> </w:t>
      </w:r>
      <w:r>
        <w:t xml:space="preserve">examined trajectories of externalizing behavior from ages 5–12 with 3 measurement occasions in the National Longitudinal Survey of Youth 1979 Child and Young Adult (NLSCYA).</w:t>
      </w:r>
      <w:r>
        <w:t xml:space="preserve"> </w:t>
      </w:r>
      <w:r>
        <w:t xml:space="preserve">Studies have also leveraged registry data to examine trajectories of offending from ages 8–61</w:t>
      </w:r>
      <w:r>
        <w:t xml:space="preserve"> </w:t>
      </w:r>
      <w:r>
        <w:t xml:space="preserve">(</w:t>
      </w:r>
      <w:hyperlink w:anchor="ref-LeBlanc2021">
        <w:r>
          <w:rPr>
            <w:rStyle w:val="Hyperlink"/>
          </w:rPr>
          <w:t xml:space="preserve">Le Blanc, 2021</w:t>
        </w:r>
      </w:hyperlink>
      <w:r>
        <w:t xml:space="preserve">)</w:t>
      </w:r>
      <w:r>
        <w:t xml:space="preserve">, from ages 10–61</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r>
        <w:t xml:space="preserve">, and from ages 9–64</w:t>
      </w:r>
      <w:r>
        <w:t xml:space="preserve"> </w:t>
      </w:r>
      <w:r>
        <w:t xml:space="preserve">(Stockholm Metropolitan Study;</w:t>
      </w:r>
      <w:r>
        <w:t xml:space="preserve"> </w:t>
      </w:r>
      <w:hyperlink w:anchor="ref-Sivertsson2024">
        <w:r>
          <w:rPr>
            <w:rStyle w:val="Hyperlink"/>
          </w:rPr>
          <w:t xml:space="preserve">Sivertsson et al., 2024</w:t>
        </w:r>
      </w:hyperlink>
      <w:r>
        <w:t xml:space="preserve">)</w:t>
      </w:r>
      <w:r>
        <w:t xml:space="preserve">.</w:t>
      </w:r>
    </w:p>
    <w:bookmarkStart w:id="67" w:name="fig-longitudinalexternalizingstudies"/>
    <w:p>
      <w:pPr>
        <w:pStyle w:val="FigureTitle"/>
      </w:pPr>
      <w:r>
        <w:t xml:space="preserve">Figure 4</w:t>
      </w:r>
    </w:p>
    <w:p>
      <w:pPr>
        <w:pStyle w:val="Caption"/>
      </w:pPr>
      <w:r>
        <w:t xml:space="preserve">(Approximate) Ages Spanned by Externalizing Trajectories in Various Lengthy Longitudinal Studies Examining Individuals’ Trajectories of Externalizing Behavior</w:t>
      </w:r>
    </w:p>
    <w:p>
      <w:pPr>
        <w:pStyle w:val="FigureWithoutNote"/>
      </w:pPr>
      <w:r>
        <w:drawing>
          <wp:inline>
            <wp:extent cx="5943600" cy="6792685"/>
            <wp:effectExtent b="0" l="0" r="0" t="0"/>
            <wp:docPr descr="" title="" id="65" name="Picture"/>
            <a:graphic>
              <a:graphicData uri="http://schemas.openxmlformats.org/drawingml/2006/picture">
                <pic:pic>
                  <pic:nvPicPr>
                    <pic:cNvPr descr="index_files/figure-docx/notebooks-analyses-fig-longitudinalexternalizingstudies-output-1.png" id="66" name="Picture"/>
                    <pic:cNvPicPr>
                      <a:picLocks noChangeArrowheads="1" noChangeAspect="1"/>
                    </pic:cNvPicPr>
                  </pic:nvPicPr>
                  <pic:blipFill>
                    <a:blip r:embed="rId64"/>
                    <a:stretch>
                      <a:fillRect/>
                    </a:stretch>
                  </pic:blipFill>
                  <pic:spPr bwMode="auto">
                    <a:xfrm>
                      <a:off x="0" y="0"/>
                      <a:ext cx="5943600" cy="6792685"/>
                    </a:xfrm>
                    <a:prstGeom prst="rect">
                      <a:avLst/>
                    </a:prstGeom>
                    <a:noFill/>
                    <a:ln w="9525">
                      <a:noFill/>
                      <a:headEnd/>
                      <a:tailEnd/>
                    </a:ln>
                  </pic:spPr>
                </pic:pic>
              </a:graphicData>
            </a:graphic>
          </wp:inline>
        </w:drawing>
      </w:r>
    </w:p>
    <w:bookmarkEnd w:id="67"/>
    <w:p>
      <w:pPr>
        <w:pStyle w:val="FigureWithoutNote"/>
      </w:pPr>
      <w:r>
        <w:rPr>
          <w:vertAlign w:val="subscript"/>
        </w:rPr>
        <w:t xml:space="preserve">Source:</w:t>
      </w:r>
      <w:r>
        <w:rPr>
          <w:vertAlign w:val="subscript"/>
        </w:rPr>
        <w:t xml:space="preserve"> </w:t>
      </w:r>
      <w:hyperlink r:id="rId68">
        <w:r>
          <w:rPr>
            <w:rStyle w:val="Hyperlink"/>
            <w:vertAlign w:val="subscript"/>
          </w:rPr>
          <w:t xml:space="preserve">Analyses</w:t>
        </w:r>
      </w:hyperlink>
    </w:p>
    <w:p>
      <w:pPr>
        <w:pStyle w:val="AfterWithoutNote"/>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one of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69"/>
    <w:bookmarkEnd w:id="70"/>
    <w:bookmarkStart w:id="97"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79"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w:t>
      </w:r>
      <w:r>
        <w:t xml:space="preserve"> </w:t>
      </w:r>
      <w:r>
        <w:t xml:space="preserve">(</w:t>
      </w:r>
      <w:hyperlink w:anchor="ref-Moffitt1993">
        <w:r>
          <w:rPr>
            <w:rStyle w:val="Hyperlink"/>
          </w:rPr>
          <w:t xml:space="preserve">1993, p. 679</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As depicted in</w:t>
      </w:r>
      <w:r>
        <w:t xml:space="preserve"> </w:t>
      </w:r>
      <w:hyperlink w:anchor="fig-absoluteFrequencyByAge">
        <w:r>
          <w:rPr>
            <w:rStyle w:val="Hyperlink"/>
          </w:rPr>
          <w:t xml:space="preserve">Figure 5</w:t>
        </w:r>
      </w:hyperlink>
      <w:r>
        <w:t xml:space="preserve">, different externalizing behaviors are most common at different developmental periods—even into adulthood, consistent with the notion that externalizing behavior demonstrates heterotypic continuity.</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bookmarkStart w:id="74" w:name="fig-absoluteFrequencyByAge"/>
    <w:p>
      <w:pPr>
        <w:pStyle w:val="FigureTitle"/>
      </w:pPr>
      <w:r>
        <w:t xml:space="preserve">Figure 5</w:t>
      </w:r>
    </w:p>
    <w:p>
      <w:pPr>
        <w:pStyle w:val="Caption"/>
      </w:pPr>
      <w:r>
        <w:t xml:space="preserve">Frequency (Per Month) of Engaging in Various Externalizing Behaviors by Age (</w:t>
      </w:r>
      <w:r>
        <w:rPr>
          <w:i/>
          <w:iCs/>
        </w:rPr>
        <w:t xml:space="preserve">N</w:t>
      </w:r>
      <w:r>
        <w:t xml:space="preserve"> </w:t>
      </w:r>
      <w:r>
        <w:t xml:space="preserve">= 1,237)</w:t>
      </w:r>
    </w:p>
    <w:p>
      <w:pPr>
        <w:pStyle w:val="FigureWithNote"/>
      </w:pPr>
      <w:r>
        <w:drawing>
          <wp:inline>
            <wp:extent cx="5943600" cy="2377440"/>
            <wp:effectExtent b="0" l="0" r="0" t="0"/>
            <wp:docPr descr="" title="" id="72" name="Picture"/>
            <a:graphic>
              <a:graphicData uri="http://schemas.openxmlformats.org/drawingml/2006/picture">
                <pic:pic>
                  <pic:nvPicPr>
                    <pic:cNvPr descr="Figures/Petersen2026_figure1.png" id="73" name="Picture"/>
                    <pic:cNvPicPr>
                      <a:picLocks noChangeArrowheads="1" noChangeAspect="1"/>
                    </pic:cNvPicPr>
                  </pic:nvPicPr>
                  <pic:blipFill>
                    <a:blip r:embed="rId71"/>
                    <a:stretch>
                      <a:fillRect/>
                    </a:stretch>
                  </pic:blipFill>
                  <pic:spPr bwMode="auto">
                    <a:xfrm>
                      <a:off x="0" y="0"/>
                      <a:ext cx="5943600" cy="2377440"/>
                    </a:xfrm>
                    <a:prstGeom prst="rect">
                      <a:avLst/>
                    </a:prstGeom>
                    <a:noFill/>
                    <a:ln w="9525">
                      <a:noFill/>
                      <a:headEnd/>
                      <a:tailEnd/>
                    </a:ln>
                  </pic:spPr>
                </pic:pic>
              </a:graphicData>
            </a:graphic>
          </wp:inline>
        </w:drawing>
      </w:r>
    </w:p>
    <w:bookmarkEnd w:id="74"/>
    <w:p>
      <w:pPr>
        <w:pStyle w:val="FigureNote"/>
      </w:pPr>
      <w:r>
        <w:rPr>
          <w:i/>
          <w:iCs/>
        </w:rPr>
        <w:t xml:space="preserve">Note</w:t>
      </w:r>
      <w:r>
        <w:t xml:space="preserve">. Items are from the Externalizing Spectrum Inventory (ESI), but unlike the True/False ESI, participants rated items on an absolute frequency scale (times per day/week/month/year). The gray band is the 95% confidence interval. The figure demonstrates that different externalizing behaviors are most common at different developmental periods, consistent with heterotypic continuity. As examples, hurting others’ feelings on purpose (left panel) was most common in early adulthood; snapping or raising one’s voice (middle panel) was most common in middle adulthood; getting in power struggles with others (right panel) was most common in older adulthood.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1, p. 301.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5">
        <w:r>
          <w:rPr>
            <w:rStyle w:val="Hyperlink"/>
          </w:rPr>
          <w:t xml:space="preserve">https://doi.org/10.1037/pas0001441</w:t>
        </w:r>
      </w:hyperlink>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Tyrell2019">
        <w:r>
          <w:rPr>
            <w:rStyle w:val="Hyperlink"/>
          </w:rPr>
          <w:t xml:space="preserve">Tyrell et al., 2019</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Indeed, fighting is considered to differ in meaning from childhood to adulthood</w:t>
      </w:r>
      <w:r>
        <w:t xml:space="preserve"> </w:t>
      </w:r>
      <w:r>
        <w:t xml:space="preserve">(</w:t>
      </w:r>
      <w:hyperlink w:anchor="ref-Patterson1993">
        <w:r>
          <w:rPr>
            <w:rStyle w:val="Hyperlink"/>
          </w:rPr>
          <w:t xml:space="preserve">Patterson, 1993</w:t>
        </w:r>
      </w:hyperlink>
      <w:r>
        <w:t xml:space="preserve">;</w:t>
      </w:r>
      <w:r>
        <w:t xml:space="preserve"> </w:t>
      </w:r>
      <w:hyperlink w:anchor="ref-Tyrell2019">
        <w:r>
          <w:rPr>
            <w:rStyle w:val="Hyperlink"/>
          </w:rPr>
          <w:t xml:space="preserve">Tyrell et al., 2019</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78"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76"/>
      </w:r>
      <w:r>
        <w:t xml:space="preserve">—the diagnostic criteria do not differ across development, even though diagnostic manuals acknowledge that developmental factors impact symptom presentation</w:t>
      </w:r>
      <w:r>
        <w:rPr>
          <w:rStyle w:val="FootnoteReference"/>
        </w:rPr>
        <w:footnoteReference w:id="77"/>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78"/>
    <w:bookmarkEnd w:id="79"/>
    <w:bookmarkStart w:id="96"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86"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 Moffitt</w:t>
      </w:r>
      <w:r>
        <w:t xml:space="preserve"> </w:t>
      </w:r>
      <w:r>
        <w:t xml:space="preserve">(</w:t>
      </w:r>
      <w:hyperlink w:anchor="ref-Moffitt1993">
        <w:r>
          <w:rPr>
            <w:rStyle w:val="Hyperlink"/>
          </w:rPr>
          <w:t xml:space="preserve">1993, p. 694</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p>
    <w:p>
      <w:pPr>
        <w:pStyle w:val="BodyText"/>
      </w:pPr>
      <w:r>
        <w:t xml:space="preserve">However, measures show insufficient differences in which items are assessed at which ages to account for heterotypic continuity.</w:t>
      </w:r>
      <w:r>
        <w:t xml:space="preserve"> </w:t>
      </w:r>
      <w:r>
        <w:t xml:space="preserve">For example, among the most widely used measures of externalizing problems in research and practice is the Child Behavior Checklist (CBCL).</w:t>
      </w:r>
      <w:r>
        <w:t xml:space="preserve"> </w:t>
      </w:r>
      <w:r>
        <w:t xml:space="preserve">However, the same version of the Child Behavior Checklist (CBCL) spans ages 6–18.</w:t>
      </w:r>
      <w:r>
        <w:t xml:space="preserve"> </w:t>
      </w:r>
      <w:r>
        <w:t xml:space="preserve">Considerable development occurs during that span including key developmental transitions—from childhood to adolescence to emerging adulthood—and the CBCL does not capture such changes.</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6</w:t>
        </w:r>
      </w:hyperlink>
      <w:r>
        <w:t xml:space="preserve">.</w:t>
      </w:r>
      <w:r>
        <w:t xml:space="preserve"> </w:t>
      </w:r>
      <w:r>
        <w:t xml:space="preserve">The</w:t>
      </w:r>
      <w:r>
        <w:t xml:space="preserve"> </w:t>
      </w:r>
      <w:r>
        <w:t xml:space="preserve">“common items”</w:t>
      </w:r>
      <w:r>
        <w:t xml:space="preserve"> </w:t>
      </w:r>
      <w:r>
        <w:t xml:space="preserve">approach removes items that are age specific.</w:t>
      </w:r>
      <w:r>
        <w:rPr>
          <w:rStyle w:val="FootnoteReference"/>
        </w:rPr>
        <w:footnoteReference w:id="80"/>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w:t>
      </w:r>
      <w:r>
        <w:t xml:space="preserve"> </w:t>
      </w:r>
      <w:r>
        <w:t xml:space="preserve">(</w:t>
      </w:r>
      <w:hyperlink w:anchor="ref-Odgers2008">
        <w:r>
          <w:rPr>
            <w:rStyle w:val="Hyperlink"/>
          </w:rPr>
          <w:t xml:space="preserve">2008, p. 676</w:t>
        </w:r>
      </w:hyperlink>
      <w:r>
        <w:t xml:space="preserve">)</w:t>
      </w:r>
      <w:r>
        <w:t xml:space="preserve"> </w:t>
      </w:r>
      <w:r>
        <w:t xml:space="preserve">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w:t>
      </w:r>
      <w:r>
        <w:t xml:space="preserve"> </w:t>
      </w:r>
      <w:r>
        <w:t xml:space="preserve">(</w:t>
      </w:r>
      <w:hyperlink w:anchor="ref-Broeren2013">
        <w:r>
          <w:rPr>
            <w:rStyle w:val="Hyperlink"/>
          </w:rPr>
          <w:t xml:space="preserve">2013, p. 84</w:t>
        </w:r>
      </w:hyperlink>
      <w:r>
        <w:t xml:space="preserve">)</w:t>
      </w:r>
      <w:r>
        <w:t xml:space="preserve"> </w:t>
      </w:r>
      <w:r>
        <w:t xml:space="preserve">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84" w:name="fig-approachesToLongitudinalAssessment"/>
    <w:p>
      <w:pPr>
        <w:pStyle w:val="FigureTitle"/>
      </w:pPr>
      <w:r>
        <w:t xml:space="preserve">Figure 6</w:t>
      </w:r>
    </w:p>
    <w:p>
      <w:pPr>
        <w:pStyle w:val="Caption"/>
      </w:pPr>
      <w:r>
        <w:t xml:space="preserve">Approaches to Longitudinal Assessment</w:t>
      </w:r>
    </w:p>
    <w:p>
      <w:pPr>
        <w:pStyle w:val="FigureWithNote"/>
      </w:pPr>
      <w:r>
        <w:drawing>
          <wp:inline>
            <wp:extent cx="5943600" cy="2351289"/>
            <wp:effectExtent b="0" l="0" r="0" t="0"/>
            <wp:docPr descr="" title="" id="82" name="Picture"/>
            <a:graphic>
              <a:graphicData uri="http://schemas.openxmlformats.org/drawingml/2006/picture">
                <pic:pic>
                  <pic:nvPicPr>
                    <pic:cNvPr descr="Figures/approachesToLongitudinalAssessment.jpg" id="83" name="Picture"/>
                    <pic:cNvPicPr>
                      <a:picLocks noChangeArrowheads="1" noChangeAspect="1"/>
                    </pic:cNvPicPr>
                  </pic:nvPicPr>
                  <pic:blipFill>
                    <a:blip r:embed="rId81"/>
                    <a:stretch>
                      <a:fillRect/>
                    </a:stretch>
                  </pic:blipFill>
                  <pic:spPr bwMode="auto">
                    <a:xfrm>
                      <a:off x="0" y="0"/>
                      <a:ext cx="5943600" cy="2351289"/>
                    </a:xfrm>
                    <a:prstGeom prst="rect">
                      <a:avLst/>
                    </a:prstGeom>
                    <a:noFill/>
                    <a:ln w="9525">
                      <a:noFill/>
                      <a:headEnd/>
                      <a:tailEnd/>
                    </a:ln>
                  </pic:spPr>
                </pic:pic>
              </a:graphicData>
            </a:graphic>
          </wp:inline>
        </w:drawing>
      </w:r>
    </w:p>
    <w:bookmarkEnd w:id="84"/>
    <w:p>
      <w:pPr>
        <w:pStyle w:val="FigureNote"/>
      </w:pPr>
      <w:r>
        <w:rPr>
          <w:i/>
          <w:iCs/>
        </w:rPr>
        <w:t xml:space="preserve">Note</w:t>
      </w:r>
      <w:r>
        <w:t xml:space="preserve">. Item set A refers to items that are construct-valid at only timepoint 1 (T1); item set B is construct-valid at both T1 and T2; item set C is construct-valid at only T2. A dash indicates that the item set was not assessed at a given timepoint. A white box indicates invalid assessment in terms of either a content gap (i.e., important missing items) or intrusion (i.e., invalid items at a given timepoint). 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 The three approaches are: (1) common items: B at T1 and T2, (2) upward/downward extension: ABC at T1 and T2, or (3) construct-valid items: AB at T1; BC at T2.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 (Figure reprinted from</w:t>
      </w:r>
      <w:r>
        <w:t xml:space="preserve"> </w:t>
      </w:r>
      <w:r>
        <w:t xml:space="preserve">Petersen, Demko, Lee, et al. (</w:t>
      </w:r>
      <w:hyperlink w:anchor="ref-Petersen2026a">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5">
        <w:r>
          <w:rPr>
            <w:rStyle w:val="Hyperlink"/>
          </w:rPr>
          <w:t xml:space="preserve">https://doi.org/10.1016/j.jaacop.2025.10.008</w:t>
        </w:r>
      </w:hyperlink>
      <w:r>
        <w:t xml:space="preserve">).</w:t>
      </w:r>
    </w:p>
    <w:p>
      <w:pPr>
        <w:pStyle w:val="BodyText"/>
      </w:pP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p>
    <w:p>
      <w:pPr>
        <w:pStyle w:val="BodyText"/>
      </w:pPr>
      <w:r>
        <w:t xml:space="preserve">Due to these problems, both simulation</w:t>
      </w:r>
      <w:r>
        <w:t xml:space="preserve"> </w:t>
      </w:r>
      <w:r>
        <w:t xml:space="preserve">(</w:t>
      </w:r>
      <w:hyperlink w:anchor="ref-Petersen2021a">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F. R. 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p>
      <w:pPr>
        <w:pStyle w:val="BodyText"/>
      </w:pPr>
      <w:r>
        <w:t xml:space="preserve">The problem cannot be solved merely by age-norming.</w:t>
      </w:r>
      <w:r>
        <w:t xml:space="preserve"> </w:t>
      </w:r>
      <w:r>
        <w:t xml:space="preserve">Generating norms from items that are invalid at a given age or from scales that have important content gaps at a given age leads to construct-invalid scores and resulting norms.</w:t>
      </w:r>
      <w:r>
        <w:t xml:space="preserve"> </w:t>
      </w:r>
      <w:r>
        <w:t xml:space="preserve">Moreover, age-norming prevents observing absolute growth and is problematic in longitudinal studies</w:t>
      </w:r>
      <w:r>
        <w:t xml:space="preserve"> </w:t>
      </w:r>
      <w:r>
        <w:t xml:space="preserve">(</w:t>
      </w:r>
      <w:hyperlink w:anchor="ref-Moeller2015">
        <w:r>
          <w:rPr>
            <w:rStyle w:val="Hyperlink"/>
          </w:rPr>
          <w:t xml:space="preserve">Moeller, 2015</w:t>
        </w:r>
      </w:hyperlink>
      <w:r>
        <w:t xml:space="preserve">)</w:t>
      </w:r>
      <w:r>
        <w:t xml:space="preserve">.</w:t>
      </w:r>
      <w:r>
        <w:t xml:space="preserve"> </w:t>
      </w:r>
      <w:r>
        <w:t xml:space="preserve">Likewise, using DSM disorders or diagnoses also does not solve the issue.</w:t>
      </w:r>
      <w:r>
        <w:t xml:space="preserve"> </w:t>
      </w:r>
    </w:p>
    <w:p>
      <w:pPr>
        <w:pStyle w:val="BodyText"/>
      </w:pPr>
      <w:r>
        <w:t xml:space="preserve">In addition, forcing use of the same measure across time naturally limits the ages a study can span, which prevents charting wider age spans.</w:t>
      </w:r>
      <w:r>
        <w:t xml:space="preserve"> </w:t>
      </w:r>
      <w:r>
        <w:t xml:space="preserve">For example, if a researcher used the CBCL and only wanted to study trajectories where the same measure was assessed across ages, they would not be able to examine development from ages 5–6, when there is a change in the CBCL version (i.e., one for ages 1.5–5 and another for ages 6–18).</w:t>
      </w:r>
      <w:r>
        <w:t xml:space="preserve"> </w:t>
      </w:r>
      <w:r>
        <w:t xml:space="preserve"> </w:t>
      </w:r>
    </w:p>
    <w:p>
      <w:pPr>
        <w:pStyle w:val="BodyText"/>
      </w:pPr>
      <w:r>
        <w:t xml:space="preserve">In addition to the behavioral expression of a construct changing across developmental time, the behavioral expression of a construct can also change across historical time.</w:t>
      </w:r>
      <w:r>
        <w:t xml:space="preserve"> </w:t>
      </w:r>
      <w:r>
        <w:t xml:space="preserve">Changes in the behavioral manifestation across historical time can lead existing items and measures to become obsolete and for new items to become relevant.</w:t>
      </w:r>
      <w:r>
        <w:t xml:space="preserve"> </w:t>
      </w:r>
      <w:r>
        <w:t xml:space="preserve">For instance, many measures and longitudinal studies do not assess important contemporary manifestations of externalizing behavior, including aggression on social media and cyberbullying</w:t>
      </w:r>
      <w:r>
        <w:t xml:space="preserve"> </w:t>
      </w:r>
      <w:r>
        <w:t xml:space="preserve">(</w:t>
      </w:r>
      <w:hyperlink w:anchor="ref-Nickerson2026">
        <w:r>
          <w:rPr>
            <w:rStyle w:val="Hyperlink"/>
          </w:rPr>
          <w:t xml:space="preserve">Nickerson &amp; Fredrick, 2026</w:t>
        </w:r>
      </w:hyperlink>
      <w:r>
        <w:t xml:space="preserve">)</w:t>
      </w:r>
      <w:r>
        <w:t xml:space="preserve">.</w:t>
      </w:r>
      <w:r>
        <w:t xml:space="preserve"> </w:t>
      </w:r>
      <w:r>
        <w:t xml:space="preserve">Changes in the behavioral manifestation across historical time provide additional reasons to change the measure by removing no-longer-valid items and by adding newer valid items.</w:t>
      </w:r>
    </w:p>
    <w:p>
      <w:pPr>
        <w:pStyle w:val="BodyText"/>
      </w:pPr>
      <w:r>
        <w:t xml:space="preserve">In sum, many problems arise from using the same measure across ages when the construct changes in behavioral manifestation across development and historical time.</w:t>
      </w:r>
    </w:p>
    <w:bookmarkEnd w:id="86"/>
    <w:bookmarkStart w:id="87"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assessments fail to implement the construct-valid item approach across development—existing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 Kjeldsen et al.</w:t>
      </w:r>
      <w:r>
        <w:t xml:space="preserve"> </w:t>
      </w:r>
      <w:r>
        <w:t xml:space="preserve">(</w:t>
      </w:r>
      <w:hyperlink w:anchor="ref-Kjeldsen2016">
        <w:r>
          <w:rPr>
            <w:rStyle w:val="Hyperlink"/>
          </w:rPr>
          <w:t xml:space="preserve">2016, p. 999</w:t>
        </w:r>
      </w:hyperlink>
      <w:r>
        <w:t xml:space="preserve">)</w:t>
      </w:r>
      <w:r>
        <w:t xml:space="preserve"> </w:t>
      </w:r>
      <w:r>
        <w:t xml:space="preserve">noted in their study,</w:t>
      </w:r>
      <w:r>
        <w:t xml:space="preserve"> </w:t>
      </w:r>
      <w:r>
        <w:t xml:space="preserve">“Due to change in measures and rescaled variables, only relative change across classes can be interpreted and not absolute (developmental) change.”</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In some cases, mean scores and proportion of maximum scores have been used to account for the age-differing measures having different numbers of items</w:t>
      </w:r>
      <w:r>
        <w:t xml:space="preserve"> </w:t>
      </w:r>
      <w:r>
        <w:t xml:space="preserve">(</w:t>
      </w:r>
      <w:hyperlink w:anchor="ref-Owens2003">
        <w:r>
          <w:rPr>
            <w:rStyle w:val="Hyperlink"/>
          </w:rPr>
          <w:t xml:space="preserve">Owens &amp; Shaw, 2003</w:t>
        </w:r>
      </w:hyperlink>
      <w:r>
        <w:t xml:space="preserve">;</w:t>
      </w:r>
      <w:r>
        <w:t xml:space="preserve"> </w:t>
      </w:r>
      <w:hyperlink w:anchor="ref-Petersen2015">
        <w:r>
          <w:rPr>
            <w:rStyle w:val="Hyperlink"/>
          </w:rPr>
          <w:t xml:space="preserve">Petersen et al., 2015</w:t>
        </w:r>
      </w:hyperlink>
      <w:r>
        <w:t xml:space="preserve">;</w:t>
      </w:r>
      <w:r>
        <w:t xml:space="preserve"> </w:t>
      </w:r>
      <w:hyperlink w:anchor="ref-SacuInPress">
        <w:r>
          <w:rPr>
            <w:rStyle w:val="Hyperlink"/>
          </w:rPr>
          <w:t xml:space="preserve">Sacu et al., in press</w:t>
        </w:r>
      </w:hyperlink>
      <w:r>
        <w:t xml:space="preserve">)</w:t>
      </w:r>
      <w:r>
        <w:t xml:space="preserve">.</w:t>
      </w:r>
      <w:r>
        <w:t xml:space="preserve"> </w:t>
      </w:r>
      <w:r>
        <w:t xml:space="preserve">However, such approaches assume that the age-differing measures have the same overall functioning in terms of difficulty and discrimination (described later), which is unlikely.</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r>
        <w:t xml:space="preserve"> </w:t>
      </w:r>
      <w:r>
        <w:t xml:space="preserve">Moreover, it is important for scores across ages to be on the same apples-to-apples scale to be able to compare scores across ages, as would be valuable even in a cross-sectional study that spans a wide age range, as might be found in an epidemiological study.</w:t>
      </w:r>
    </w:p>
    <w:p>
      <w:pPr>
        <w:pStyle w:val="BodyText"/>
      </w:pPr>
      <w:r>
        <w:t xml:space="preserve">There is a misperception that no practical approach exists that can handle different measures across ages or time.</w:t>
      </w:r>
      <w:r>
        <w:t xml:space="preserve"> </w:t>
      </w:r>
      <w:r>
        <w:t xml:space="preserve">Consider the following statement by LeBlanc</w:t>
      </w:r>
      <w:r>
        <w:t xml:space="preserve"> </w:t>
      </w:r>
      <w:r>
        <w:t xml:space="preserve">(</w:t>
      </w:r>
      <w:hyperlink w:anchor="ref-LeBlanc2021">
        <w:r>
          <w:rPr>
            <w:rStyle w:val="Hyperlink"/>
          </w:rPr>
          <w:t xml:space="preserve">2021, p. 15</w:t>
        </w:r>
      </w:hyperlink>
      <w:r>
        <w:t xml:space="preserve">)</w:t>
      </w:r>
      <w:r>
        <w:t xml:space="preserve">,</w:t>
      </w:r>
      <w:r>
        <w:t xml:space="preserve"> </w:t>
      </w:r>
      <w:r>
        <w:t xml:space="preserve">“The theoretical position is that a form of antisocial behavior, for example, fraud, has to be measured by distinct behaviors with adolescents and adults, in summary adapted to their age.</w:t>
      </w:r>
      <w:r>
        <w:t xml:space="preserve"> </w:t>
      </w:r>
      <w:r>
        <w:t xml:space="preserve">Nevertheless, different scale composition is an integral part of the common concept of fraud.</w:t>
      </w:r>
      <w:r>
        <w:t xml:space="preserve"> </w:t>
      </w:r>
      <w:r>
        <w:t xml:space="preserve">To our knowledge there is no recognized analytical procedure to assess such a construct and the life cycle validity of heteromorphous measures.”</w:t>
      </w:r>
    </w:p>
    <w:p>
      <w:pPr>
        <w:pStyle w:val="BodyText"/>
      </w:pPr>
      <w:r>
        <w:t xml:space="preserve">However, considerable research in educational psychology links scores across age-differing measures to be on the same scale.</w:t>
      </w:r>
      <w:r>
        <w:t xml:space="preserve"> </w:t>
      </w:r>
      <w:r>
        <w:t xml:space="preserve">For instance, standardized tests are frequently administered in schools to determine the extent of growth across grades.</w:t>
      </w:r>
      <w:r>
        <w:t xml:space="preserve"> </w:t>
      </w:r>
      <w:r>
        <w:t xml:space="preserve">Because of large changes in ability level across grades, the same math and reading items cannot be administered at all grades.</w:t>
      </w:r>
      <w:r>
        <w:t xml:space="preserve"> </w:t>
      </w:r>
      <w:r>
        <w:t xml:space="preserve">Otherwise, respondents would receive items that are too easy (thus evoking boredom) or too difficult (thus evoking frustration), relative to their ability.</w:t>
      </w:r>
      <w:r>
        <w:t xml:space="preserve"> </w:t>
      </w:r>
      <w:r>
        <w:t xml:space="preserve">To address this, the test developers write the tests such that some items are in common across adjacent grades—used for linking the scores across grades onto the same scale—along with items that are unique to a particular grade.</w:t>
      </w:r>
      <w:r>
        <w:t xml:space="preserve"> </w:t>
      </w:r>
      <w:r>
        <w:t xml:space="preserve">Then, the researchers apply widely used methods to link the scores from the different measures to be on the same scale so they can observe individuals’ growth across grades.</w:t>
      </w:r>
      <w:r>
        <w:t xml:space="preserve"> </w:t>
      </w:r>
      <w:r>
        <w:t xml:space="preserve">The same general methods are also used to place people’s scores on the same scale for standardized tests like the ACT, SAT, GRE, MCAT, LSAT, etc., despite repondents receiving different item content.</w:t>
      </w:r>
      <w:r>
        <w:t xml:space="preserve"> </w:t>
      </w:r>
      <w:r>
        <w:t xml:space="preserve">For examples of studies applying various linking methods to academic and cognitive skills, see</w:t>
      </w:r>
      <w:r>
        <w:t xml:space="preserve"> </w:t>
      </w:r>
      <w:r>
        <w:t xml:space="preserve">McArdle et al. (</w:t>
      </w:r>
      <w:hyperlink w:anchor="ref-McArdle2009">
        <w:r>
          <w:rPr>
            <w:rStyle w:val="Hyperlink"/>
          </w:rPr>
          <w:t xml:space="preserve">2009</w:t>
        </w:r>
      </w:hyperlink>
      <w:r>
        <w:t xml:space="preserve">)</w:t>
      </w:r>
      <w:r>
        <w:t xml:space="preserve">,</w:t>
      </w:r>
      <w:r>
        <w:t xml:space="preserve"> </w:t>
      </w:r>
      <w:r>
        <w:t xml:space="preserve">McArdle and Grimm (</w:t>
      </w:r>
      <w:hyperlink w:anchor="ref-McArdle2011">
        <w:r>
          <w:rPr>
            <w:rStyle w:val="Hyperlink"/>
          </w:rPr>
          <w:t xml:space="preserve">2011</w:t>
        </w:r>
      </w:hyperlink>
      <w:r>
        <w:t xml:space="preserve">)</w:t>
      </w:r>
      <w:r>
        <w:t xml:space="preserve">,</w:t>
      </w:r>
      <w:r>
        <w:t xml:space="preserve"> </w:t>
      </w:r>
      <w:r>
        <w:t xml:space="preserve">Murayama et al. (</w:t>
      </w:r>
      <w:hyperlink w:anchor="ref-Murayama2013">
        <w:r>
          <w:rPr>
            <w:rStyle w:val="Hyperlink"/>
          </w:rPr>
          <w:t xml:space="preserve">2013</w:t>
        </w:r>
      </w:hyperlink>
      <w:r>
        <w:t xml:space="preserve">)</w:t>
      </w:r>
      <w:r>
        <w:t xml:space="preserve">,</w:t>
      </w:r>
      <w:r>
        <w:t xml:space="preserve"> </w:t>
      </w:r>
      <w:r>
        <w:t xml:space="preserve">Petscher et al. (</w:t>
      </w:r>
      <w:hyperlink w:anchor="ref-Petscher2018">
        <w:r>
          <w:rPr>
            <w:rStyle w:val="Hyperlink"/>
          </w:rPr>
          <w:t xml:space="preserve">2018</w:t>
        </w:r>
      </w:hyperlink>
      <w:r>
        <w:t xml:space="preserve">)</w:t>
      </w:r>
      <w:r>
        <w:t xml:space="preserve">,</w:t>
      </w:r>
      <w:r>
        <w:t xml:space="preserve"> </w:t>
      </w:r>
      <w:r>
        <w:t xml:space="preserve">Ward et al. (</w:t>
      </w:r>
      <w:hyperlink w:anchor="ref-Ward2022">
        <w:r>
          <w:rPr>
            <w:rStyle w:val="Hyperlink"/>
          </w:rPr>
          <w:t xml:space="preserve">2022</w:t>
        </w:r>
      </w:hyperlink>
      <w:r>
        <w:t xml:space="preserve">)</w:t>
      </w:r>
      <w:r>
        <w:t xml:space="preserve">, and</w:t>
      </w:r>
      <w:r>
        <w:t xml:space="preserve"> </w:t>
      </w:r>
      <w:r>
        <w:t xml:space="preserve">Weeks (</w:t>
      </w:r>
      <w:hyperlink w:anchor="ref-Weeks2018">
        <w:r>
          <w:rPr>
            <w:rStyle w:val="Hyperlink"/>
          </w:rPr>
          <w:t xml:space="preserve">2018</w:t>
        </w:r>
      </w:hyperlink>
      <w:r>
        <w:t xml:space="preserve">)</w:t>
      </w:r>
      <w:r>
        <w:t xml:space="preserve">.</w:t>
      </w:r>
      <w:r>
        <w:t xml:space="preserve"> </w:t>
      </w:r>
      <w:r>
        <w:t xml:space="preserve">However, the use of linking methods is rare in studies of social and behavioral development broadly and psychopathology specfically.</w:t>
      </w:r>
      <w:r>
        <w:t xml:space="preserve"> </w:t>
      </w:r>
      <w:r>
        <w:t xml:space="preserve">For studies that have applied such methods in studying social and behavioral development, see studies on self-concept</w:t>
      </w:r>
      <w:r>
        <w:t xml:space="preserve"> </w:t>
      </w:r>
      <w:r>
        <w:t xml:space="preserve">(</w:t>
      </w:r>
      <w:hyperlink w:anchor="ref-Hancock2008">
        <w:r>
          <w:rPr>
            <w:rStyle w:val="Hyperlink"/>
          </w:rPr>
          <w:t xml:space="preserve">Hancock &amp; Buehl, 2008</w:t>
        </w:r>
      </w:hyperlink>
      <w:r>
        <w:t xml:space="preserve">)</w:t>
      </w:r>
      <w:r>
        <w:t xml:space="preserve">, neuroticism</w:t>
      </w:r>
      <w:r>
        <w:t xml:space="preserve"> </w:t>
      </w:r>
      <w:r>
        <w:t xml:space="preserve">(</w:t>
      </w:r>
      <w:hyperlink w:anchor="ref-Lai2023">
        <w:r>
          <w:rPr>
            <w:rStyle w:val="Hyperlink"/>
          </w:rPr>
          <w:t xml:space="preserve">Lai, 2023</w:t>
        </w:r>
      </w:hyperlink>
      <w:r>
        <w:t xml:space="preserve">)</w:t>
      </w:r>
      <w:r>
        <w:t xml:space="preserve">, self-regulation</w:t>
      </w:r>
      <w:r>
        <w:t xml:space="preserve"> </w:t>
      </w:r>
      <w:r>
        <w:t xml:space="preserve">(</w:t>
      </w:r>
      <w:hyperlink w:anchor="ref-Hosch2022">
        <w:r>
          <w:rPr>
            <w:rStyle w:val="Hyperlink"/>
          </w:rPr>
          <w:t xml:space="preserve">Hosch et al., 2022</w:t>
        </w:r>
      </w:hyperlink>
      <w:r>
        <w:t xml:space="preserve">)</w:t>
      </w:r>
      <w:r>
        <w:t xml:space="preserve">, underactivity/overactivity</w:t>
      </w:r>
      <w:r>
        <w:t xml:space="preserve"> </w:t>
      </w:r>
      <w:r>
        <w:t xml:space="preserve">(and their subdimensions;</w:t>
      </w:r>
      <w:r>
        <w:t xml:space="preserve"> </w:t>
      </w:r>
      <w:hyperlink w:anchor="ref-McDermott2013">
        <w:r>
          <w:rPr>
            <w:rStyle w:val="Hyperlink"/>
          </w:rPr>
          <w:t xml:space="preserve">McDermott et al., 2013</w:t>
        </w:r>
      </w:hyperlink>
      <w:r>
        <w:t xml:space="preserve">)</w:t>
      </w:r>
      <w:r>
        <w:t xml:space="preserve">, thought-disordered problems</w:t>
      </w:r>
      <w:r>
        <w:t xml:space="preserve"> </w:t>
      </w:r>
      <w:r>
        <w:t xml:space="preserve">(</w:t>
      </w:r>
      <w:hyperlink w:anchor="ref-Petersen2026a">
        <w:r>
          <w:rPr>
            <w:rStyle w:val="Hyperlink"/>
          </w:rPr>
          <w:t xml:space="preserve">Petersen, Demko, Lee, et al., 2026</w:t>
        </w:r>
      </w:hyperlink>
      <w:r>
        <w:t xml:space="preserve">)</w:t>
      </w:r>
      <w:r>
        <w:t xml:space="preserve">, internalizing problems</w:t>
      </w:r>
      <w:r>
        <w:t xml:space="preserve"> </w:t>
      </w:r>
      <w:r>
        <w:t xml:space="preserve">(</w:t>
      </w:r>
      <w:hyperlink w:anchor="ref-Harris2025">
        <w:r>
          <w:rPr>
            <w:rStyle w:val="Hyperlink"/>
          </w:rPr>
          <w:t xml:space="preserve">Harris et al., 2025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Tyrell2019">
        <w:r>
          <w:rPr>
            <w:rStyle w:val="Hyperlink"/>
          </w:rPr>
          <w:t xml:space="preserve">Tyrell et al., 2019</w:t>
        </w:r>
      </w:hyperlink>
      <w:r>
        <w:t xml:space="preserve">)</w:t>
      </w:r>
      <w:r>
        <w:t xml:space="preserve">, and externalizing problems</w:t>
      </w:r>
      <w:r>
        <w:t xml:space="preserve"> </w:t>
      </w:r>
      <w:r>
        <w:t xml:space="preserve">(</w:t>
      </w:r>
      <w:hyperlink w:anchor="ref-ChenMBR">
        <w:r>
          <w:rPr>
            <w:rStyle w:val="Hyperlink"/>
          </w:rPr>
          <w:t xml:space="preserve">S. M. Chen &amp; Bauer, in pressa</w:t>
        </w:r>
      </w:hyperlink>
      <w:r>
        <w:t xml:space="preserve">,</w:t>
      </w:r>
      <w:r>
        <w:t xml:space="preserve"> </w:t>
      </w:r>
      <w:hyperlink w:anchor="ref-ChenPM">
        <w:r>
          <w:rPr>
            <w:rStyle w:val="Hyperlink"/>
          </w:rPr>
          <w:t xml:space="preserve">in pressb</w:t>
        </w:r>
      </w:hyperlink>
      <w:r>
        <w:t xml:space="preserve">;</w:t>
      </w:r>
      <w:r>
        <w:t xml:space="preserve"> </w:t>
      </w:r>
      <w:hyperlink w:anchor="ref-Harris2025">
        <w:r>
          <w:rPr>
            <w:rStyle w:val="Hyperlink"/>
          </w:rPr>
          <w:t xml:space="preserve">Harris et al., 2025</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Petersen2021b">
        <w:r>
          <w:rPr>
            <w:rStyle w:val="Hyperlink"/>
          </w:rPr>
          <w:t xml:space="preserve">Petersen &amp; LeBeau, 2021</w:t>
        </w:r>
      </w:hyperlink>
      <w:r>
        <w:t xml:space="preserve">,</w:t>
      </w:r>
      <w:r>
        <w:t xml:space="preserve"> </w:t>
      </w:r>
      <w:hyperlink w:anchor="ref-Petersen2022">
        <w:r>
          <w:rPr>
            <w:rStyle w:val="Hyperlink"/>
          </w:rPr>
          <w:t xml:space="preserve">2022</w:t>
        </w:r>
      </w:hyperlink>
      <w:r>
        <w:t xml:space="preserve">)</w:t>
      </w:r>
      <w:r>
        <w:t xml:space="preserve">.</w:t>
      </w:r>
    </w:p>
    <w:p>
      <w:pPr>
        <w:pStyle w:val="BodyText"/>
      </w:pPr>
      <w:r>
        <w:t xml:space="preserve">Moreover, psychopathology assessments do not include such scoring tools.</w:t>
      </w:r>
      <w:r>
        <w:t xml:space="preserve"> </w:t>
      </w:r>
      <w:r>
        <w:t xml:space="preserve">The lack of scoring tools to link scores from age-differing psychopathology assessments leads researchers to restrict the age range of study.</w:t>
      </w:r>
      <w:r>
        <w:t xml:space="preserve"> </w:t>
      </w:r>
      <w:r>
        <w:t xml:space="preserve">For instance, in their study, Bista et al.</w:t>
      </w:r>
      <w:r>
        <w:t xml:space="preserve"> </w:t>
      </w:r>
      <w:r>
        <w:t xml:space="preserve">(</w:t>
      </w:r>
      <w:hyperlink w:anchor="ref-Bista2025">
        <w:r>
          <w:rPr>
            <w:rStyle w:val="Hyperlink"/>
          </w:rPr>
          <w:t xml:space="preserve">2025, p. 179</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p>
    <w:bookmarkEnd w:id="87"/>
    <w:bookmarkStart w:id="94"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 </w:t>
      </w:r>
      <w:r>
        <w:t xml:space="preserve">and insensitivity to change.</w:t>
      </w:r>
      <w:r>
        <w:t xml:space="preserve"> </w:t>
      </w:r>
      <w:r>
        <w:t xml:space="preserve">Items with few discrete response categories tend to show less sensitivity to the full range of individual differences</w:t>
      </w:r>
      <w:r>
        <w:t xml:space="preserve"> </w:t>
      </w:r>
      <w:r>
        <w:t xml:space="preserve">(</w:t>
      </w:r>
      <w:hyperlink w:anchor="ref-Elliott1980">
        <w:r>
          <w:rPr>
            <w:rStyle w:val="Hyperlink"/>
          </w:rPr>
          <w:t xml:space="preserve">Elliott &amp; Ageton, 1980</w:t>
        </w:r>
      </w:hyperlink>
      <w:r>
        <w:t xml:space="preserve">)</w:t>
      </w:r>
      <w:r>
        <w:t xml:space="preserve"> </w:t>
      </w:r>
      <w:r>
        <w:t xml:space="preserve">and less sensitivity to change</w:t>
      </w:r>
      <w:r>
        <w:t xml:space="preserve"> </w:t>
      </w:r>
      <w:r>
        <w:t xml:space="preserve">(i.e., responsiveness;</w:t>
      </w:r>
      <w:r>
        <w:t xml:space="preserve"> </w:t>
      </w:r>
      <w:hyperlink w:anchor="ref-Grant1999">
        <w:r>
          <w:rPr>
            <w:rStyle w:val="Hyperlink"/>
          </w:rPr>
          <w:t xml:space="preserve">Grant et al., 1999</w:t>
        </w:r>
      </w:hyperlink>
      <w:r>
        <w:t xml:space="preserve">)</w:t>
      </w:r>
      <w:r>
        <w:t xml:space="preserve"> </w:t>
      </w:r>
      <w:r>
        <w:t xml:space="preserve">compared to items with more response options that have greater variability in scores.</w:t>
      </w:r>
      <w:r>
        <w:t xml:space="preserve"> </w:t>
      </w:r>
      <w:r>
        <w:t xml:space="preserve">In general, items with more response options yield more information [i.e., greater reduction of uncertainty in estimates of a person’s construct level; though there are diminishing returns when using more than six response options;</w:t>
      </w:r>
      <w:r>
        <w:t xml:space="preserve"> </w:t>
      </w:r>
      <w:r>
        <w:t xml:space="preserve">Culpepper (</w:t>
      </w:r>
      <w:hyperlink w:anchor="ref-Culpepper2013">
        <w:r>
          <w:rPr>
            <w:rStyle w:val="Hyperlink"/>
          </w:rPr>
          <w:t xml:space="preserve">2013</w:t>
        </w:r>
      </w:hyperlink>
      <w:r>
        <w:t xml:space="preserve">)</w:t>
      </w:r>
      <w:r>
        <w:t xml:space="preserve">;</w:t>
      </w:r>
      <w:r>
        <w:t xml:space="preserve"> </w:t>
      </w:r>
      <w:r>
        <w:t xml:space="preserve">Simms et al. (</w:t>
      </w:r>
      <w:hyperlink w:anchor="ref-Simms2019">
        <w:r>
          <w:rPr>
            <w:rStyle w:val="Hyperlink"/>
          </w:rPr>
          <w:t xml:space="preserve">2019</w:t>
        </w:r>
      </w:hyperlink>
      <w:r>
        <w:t xml:space="preserve">)</w:t>
      </w:r>
      <w:r>
        <w:t xml:space="preserve">].</w:t>
      </w:r>
      <w:r>
        <w:t xml:space="preserve"> </w:t>
      </w:r>
      <w:r>
        <w:t xml:space="preserve">Indeed, as depicted in</w:t>
      </w:r>
      <w:r>
        <w:t xml:space="preserve"> </w:t>
      </w:r>
      <w:hyperlink w:anchor="fig-absoluteFrequencyInformation">
        <w:r>
          <w:rPr>
            <w:rStyle w:val="Hyperlink"/>
          </w:rPr>
          <w:t xml:space="preserve">Figure 7</w:t>
        </w:r>
      </w:hyperlink>
      <w:r>
        <w:t xml:space="preserve">, items assessing absolute frequency have been shown to yield more information than dichotomized versions of the same items and than the Achenbach Adult Self-Report, which uses Likert-type response options.</w:t>
      </w:r>
      <w:r>
        <w:t xml:space="preserve"> </w:t>
      </w:r>
      <w:r>
        <w:t xml:space="preserve">In addition, if a respondent implicitly uses the target’s same-aged peers as the normative reference group for determining the relative frequency of a behavior, this could have the implicit effect of resulting in age-normed scores, which works against the goal of detecting change.</w:t>
      </w:r>
      <w:r>
        <w:t xml:space="preserve"> </w:t>
      </w:r>
      <w:r>
        <w:t xml:space="preserve">Moreover, Likert-type scales tend to focus on frequency of misbehavior and ignore intensity and severity.</w:t>
      </w:r>
      <w:r>
        <w:t xml:space="preserve"> </w:t>
      </w:r>
      <w:r>
        <w:t xml:space="preserve">It can be helpful to explicitly assess—and distinguish—frequency versus problematic impact of behavior.</w:t>
      </w:r>
      <w:r>
        <w:t xml:space="preserve"> </w:t>
      </w:r>
      <w:r>
        <w:t xml:space="preserve">Instead of assessing relative frequency, researchers advise assessing absolute frequency of behavior</w:t>
      </w:r>
      <w:r>
        <w:t xml:space="preserve"> </w:t>
      </w:r>
      <w:r>
        <w:t xml:space="preserve">(</w:t>
      </w:r>
      <w:hyperlink w:anchor="ref-Burns2001">
        <w:r>
          <w:rPr>
            <w:rStyle w:val="Hyperlink"/>
          </w:rPr>
          <w:t xml:space="preserve">Burns et al., 2001</w:t>
        </w:r>
      </w:hyperlink>
      <w:r>
        <w:t xml:space="preserve">;</w:t>
      </w:r>
      <w:r>
        <w:t xml:space="preserve"> </w:t>
      </w:r>
      <w:hyperlink w:anchor="ref-Schwarz1999">
        <w:r>
          <w:rPr>
            <w:rStyle w:val="Hyperlink"/>
          </w:rPr>
          <w:t xml:space="preserve">Schwarz, 1999</w:t>
        </w:r>
      </w:hyperlink>
      <w:r>
        <w:t xml:space="preserve">)</w:t>
      </w:r>
      <w:r>
        <w:t xml:space="preserve">—in addition to other aspects of behavior including onset, timing, duration, intensity, function, and resulting impairment.</w:t>
      </w:r>
    </w:p>
    <w:bookmarkStart w:id="91" w:name="fig-absoluteFrequencyInformation"/>
    <w:p>
      <w:pPr>
        <w:pStyle w:val="FigureTitle"/>
      </w:pPr>
      <w:r>
        <w:t xml:space="preserve">Figure 7</w:t>
      </w:r>
    </w:p>
    <w:p>
      <w:pPr>
        <w:pStyle w:val="Caption"/>
      </w:pPr>
      <w:r>
        <w:t xml:space="preserve">Test Information Functions of Absolute Frequency Versus Dichotomized Versus Adult Self-Report Items: Test Information as a Function of Theta (θ)</w:t>
      </w:r>
    </w:p>
    <w:p>
      <w:pPr>
        <w:pStyle w:val="FigureWithNote"/>
      </w:pPr>
      <w:r>
        <w:drawing>
          <wp:inline>
            <wp:extent cx="5943600" cy="3668050"/>
            <wp:effectExtent b="0" l="0" r="0" t="0"/>
            <wp:docPr descr="" title="" id="89" name="Picture"/>
            <a:graphic>
              <a:graphicData uri="http://schemas.openxmlformats.org/drawingml/2006/picture">
                <pic:pic>
                  <pic:nvPicPr>
                    <pic:cNvPr descr="Figures/Petersen2026_figure4.png" id="90" name="Picture"/>
                    <pic:cNvPicPr>
                      <a:picLocks noChangeArrowheads="1" noChangeAspect="1"/>
                    </pic:cNvPicPr>
                  </pic:nvPicPr>
                  <pic:blipFill>
                    <a:blip r:embed="rId88"/>
                    <a:stretch>
                      <a:fillRect/>
                    </a:stretch>
                  </pic:blipFill>
                  <pic:spPr bwMode="auto">
                    <a:xfrm>
                      <a:off x="0" y="0"/>
                      <a:ext cx="5943600" cy="3668050"/>
                    </a:xfrm>
                    <a:prstGeom prst="rect">
                      <a:avLst/>
                    </a:prstGeom>
                    <a:noFill/>
                    <a:ln w="9525">
                      <a:noFill/>
                      <a:headEnd/>
                      <a:tailEnd/>
                    </a:ln>
                  </pic:spPr>
                </pic:pic>
              </a:graphicData>
            </a:graphic>
          </wp:inline>
        </w:drawing>
      </w:r>
    </w:p>
    <w:bookmarkEnd w:id="91"/>
    <w:p>
      <w:pPr>
        <w:pStyle w:val="FigureNote"/>
      </w:pPr>
      <w:r>
        <w:rPr>
          <w:i/>
          <w:iCs/>
        </w:rPr>
        <w:t xml:space="preserve">Note</w:t>
      </w:r>
      <w:r>
        <w:t xml:space="preserve">.</w:t>
      </w:r>
      <w:r>
        <w:t xml:space="preserve"> </w:t>
      </w:r>
      <w:r>
        <w:t xml:space="preserve">“Absolute Frequency”</w:t>
      </w:r>
      <w:r>
        <w:t xml:space="preserve"> </w:t>
      </w:r>
      <w:r>
        <w:t xml:space="preserve">refers to count items;</w:t>
      </w:r>
      <w:r>
        <w:t xml:space="preserve"> </w:t>
      </w:r>
      <w:r>
        <w:t xml:space="preserve">“Dichotomized”</w:t>
      </w:r>
      <w:r>
        <w:t xml:space="preserve"> </w:t>
      </w:r>
      <w:r>
        <w:t xml:space="preserve">refers to dichotomized versions of the count items;</w:t>
      </w:r>
      <w:r>
        <w:t xml:space="preserve"> </w:t>
      </w:r>
      <w:r>
        <w:t xml:space="preserve">“Adult Self-Report”</w:t>
      </w:r>
      <w:r>
        <w:t xml:space="preserve"> </w:t>
      </w:r>
      <w:r>
        <w:t xml:space="preserve">refers to items from the Achenbach Adult Self-Report.</w:t>
      </w:r>
      <w:r>
        <w:t xml:space="preserve"> </w:t>
      </w:r>
      <w:r>
        <w:t xml:space="preserve">“θ”</w:t>
      </w:r>
      <w:r>
        <w:t xml:space="preserve"> </w:t>
      </w:r>
      <w:r>
        <w:t xml:space="preserve">represents the person’s level on the latent externalizing problems factor. The figure demonstrates that items assessing absolute frequency yield more information than dichotomized versions of the same items and the Likert-type response options of the Adult Self-Report.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4, p. 303.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5">
        <w:r>
          <w:rPr>
            <w:rStyle w:val="Hyperlink"/>
          </w:rPr>
          <w:t xml:space="preserve">https://doi.org/10.1037/pas0001441</w:t>
        </w:r>
      </w:hyperlink>
      <w:r>
        <w:t xml:space="preserve">).</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Kliem et al., 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Krueger et al., 2005</w:t>
        </w:r>
      </w:hyperlink>
      <w:r>
        <w:t xml:space="preserve">;</w:t>
      </w:r>
      <w:r>
        <w:t xml:space="preserve"> </w:t>
      </w:r>
      <w:hyperlink w:anchor="ref-Krueger2007">
        <w:r>
          <w:rPr>
            <w:rStyle w:val="Hyperlink"/>
          </w:rPr>
          <w:t xml:space="preserve">Krueger et al., 2007</w:t>
        </w:r>
      </w:hyperlink>
      <w:r>
        <w:t xml:space="preserve">;</w:t>
      </w:r>
      <w:r>
        <w:t xml:space="preserve"> </w:t>
      </w:r>
      <w:hyperlink w:anchor="ref-Krueger2021">
        <w:r>
          <w:rPr>
            <w:rStyle w:val="Hyperlink"/>
          </w:rPr>
          <w:t xml:space="preserve">Krueger et al., 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 Pavlovich et al.</w:t>
      </w:r>
      <w:r>
        <w:t xml:space="preserve"> </w:t>
      </w:r>
      <w:r>
        <w:t xml:space="preserve">(</w:t>
      </w:r>
      <w:hyperlink w:anchor="ref-Pavlovich2026">
        <w:r>
          <w:rPr>
            <w:rStyle w:val="Hyperlink"/>
          </w:rPr>
          <w:t xml:space="preserve">2026, p. 1</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w:t>
      </w:r>
    </w:p>
    <w:p>
      <w:pPr>
        <w:pStyle w:val="BodyText"/>
      </w:pPr>
      <w:r>
        <w:t xml:space="preserve">To provide better phenotypic resolution, and to better identify biological processes underlying psychopathology,</w:t>
      </w:r>
      <w:r>
        <w:t xml:space="preserve"> </w:t>
      </w:r>
      <w:r>
        <w:t xml:space="preserve">Tiego et al.</w:t>
      </w:r>
      <w:r>
        <w:t xml:space="preserve"> </w:t>
      </w:r>
      <w:r>
        <w:t xml:space="preserve">(</w:t>
      </w:r>
      <w:hyperlink w:anchor="ref-Tiego2023">
        <w:r>
          <w:rPr>
            <w:rStyle w:val="Hyperlink"/>
          </w:rPr>
          <w:t xml:space="preserve">2023</w:t>
        </w:r>
      </w:hyperlink>
      <w:r>
        <w:t xml:space="preserve">)</w:t>
      </w:r>
      <w:r>
        <w:t xml:space="preserve"> </w:t>
      </w:r>
      <w:r>
        <w:t xml:space="preserve">argue for including content covering the full range, including items assessing the adaptive end of the continuum.</w:t>
      </w:r>
      <w:r>
        <w:t xml:space="preserve"> </w:t>
      </w:r>
      <w:r>
        <w:t xml:space="preserve">Doing so would help move the field away from a focus of symptoms (and absence of symptoms) and toward consideration of the full range of functioning, including thriving.</w:t>
      </w:r>
      <w:r>
        <w:t xml:space="preserve"> </w:t>
      </w:r>
      <w:r>
        <w:t xml:space="preserve">As they note, low scores on clinical measures are typically intended to assess absence of pathological functioning rather than the opposite end of the latent continuum—i.e., the presence of adaptive functioning.</w:t>
      </w:r>
      <w:r>
        <w:t xml:space="preserve"> </w:t>
      </w:r>
      <w:r>
        <w:t xml:space="preserve">For instance, it can be valuable to consider</w:t>
      </w:r>
      <w:r>
        <w:t xml:space="preserve"> </w:t>
      </w:r>
      <w:r>
        <w:t xml:space="preserve">“positive opposites”</w:t>
      </w:r>
      <w:r>
        <w:t xml:space="preserve">—i.e., positive behaviors that compete with and are (simultaneously) incompatible with the particular antisocial behavior.</w:t>
      </w:r>
      <w:r>
        <w:t xml:space="preserve"> </w:t>
      </w:r>
      <w:r>
        <w:t xml:space="preserve">For instance, in a study of externalizing behavior, it would be valuable to consider prosocial behavior (e.g., kindness, helping others, sharing, dependability, compliance, accountability).</w:t>
      </w:r>
      <w:r>
        <w:t xml:space="preserve"> </w:t>
      </w:r>
      <w:r>
        <w:t xml:space="preserve">Indeed, in a machine learning study of children’s conduct problems in the ABCD study, prosocial behavior was the strongest predictor</w:t>
      </w:r>
      <w:r>
        <w:t xml:space="preserve"> </w:t>
      </w:r>
      <w:r>
        <w:t xml:space="preserve">(</w:t>
      </w:r>
      <w:hyperlink w:anchor="ref-Berluti2026">
        <w:r>
          <w:rPr>
            <w:rStyle w:val="Hyperlink"/>
          </w:rPr>
          <w:t xml:space="preserve">Berluti et al., 2026</w:t>
        </w:r>
      </w:hyperlink>
      <w:r>
        <w:t xml:space="preserve">)</w:t>
      </w:r>
      <w:r>
        <w:t xml:space="preserve">.</w:t>
      </w:r>
      <w:r>
        <w:t xml:space="preserve"> </w:t>
      </w:r>
      <w:r>
        <w:t xml:space="preserve">Moreover, measures of externalizing behavior tend to focus on just global scores or just one or a few subdimensions.</w:t>
      </w:r>
      <w:r>
        <w:t xml:space="preserve"> </w:t>
      </w:r>
      <w:r>
        <w:t xml:space="preserve">For better phenotypic resolution, instruments should assess a wide range of phenotypes to better capture the full range of externalizing behavior, which will be important to distinguish various forms of behavior—e.g., physical versus verbal versus destructive versus relational aggression—and their functions—e.g., proactive versus reactive.</w:t>
      </w:r>
    </w:p>
    <w:p>
      <w:pPr>
        <w:pStyle w:val="BodyText"/>
      </w:pPr>
      <w:r>
        <w:t xml:space="preserve">Based on our content analysis of over 270 measures of externalizing behavior, we identified a wide range of facets that would be important for measures of externalizing behavior to capture (see</w:t>
      </w:r>
      <w:r>
        <w:t xml:space="preserve"> </w:t>
      </w:r>
      <w:hyperlink w:anchor="tbl-externalizingfacets">
        <w:r>
          <w:rPr>
            <w:rStyle w:val="Hyperlink"/>
          </w:rPr>
          <w:t xml:space="preserve">Table 1</w:t>
        </w:r>
      </w:hyperlink>
      <w:r>
        <w:t xml:space="preserve">).</w:t>
      </w:r>
      <w:r>
        <w:t xml:space="preserve"> </w:t>
      </w:r>
      <w:r>
        <w:t xml:space="preserve">We also identified potential positive opposites of each facet.</w:t>
      </w:r>
    </w:p>
    <w:bookmarkStart w:id="92" w:name="tbl-externalizingfacets"/>
    <w:p>
      <w:pPr>
        <w:pStyle w:val="FigureTitle"/>
      </w:pPr>
      <w:r>
        <w:t xml:space="preserve">Table 1</w:t>
      </w:r>
    </w:p>
    <w:p>
      <w:pPr>
        <w:pStyle w:val="Caption"/>
      </w:pPr>
      <w:r>
        <w:t xml:space="preserve">Externalizing Facets Identified in Content Analysis of Externalizing Measures.</w:t>
      </w:r>
    </w:p>
    <w:tbl>
      <w:tblPr>
        <w:tblStyle w:val="Table"/>
        <w:tblW w:type="pct" w:w="4935"/>
        <w:tblLayout w:type="fixed"/>
        <w:tblLook w:firstRow="1" w:lastRow="0" w:firstColumn="0" w:lastColumn="0" w:noHBand="0" w:noVBand="0" w:val="0020"/>
      </w:tblPr>
      <w:tblGrid>
        <w:gridCol w:w="3727"/>
        <w:gridCol w:w="2277"/>
        <w:gridCol w:w="1811"/>
      </w:tblGrid>
      <w:tr>
        <w:trPr>
          <w:tblHeader w:val="on"/>
        </w:trPr>
        <w:tc>
          <w:tcPr/>
          <w:p>
            <w:pPr>
              <w:pStyle w:val="Compact"/>
              <w:jc w:val="left"/>
            </w:pPr>
            <w:r>
              <w:t xml:space="preserve">Facet</w:t>
            </w:r>
          </w:p>
        </w:tc>
        <w:tc>
          <w:tcPr/>
          <w:p>
            <w:pPr>
              <w:pStyle w:val="Compact"/>
              <w:jc w:val="left"/>
            </w:pPr>
            <w:r>
              <w:t xml:space="preserve">Definition</w:t>
            </w:r>
          </w:p>
        </w:tc>
        <w:tc>
          <w:tcPr/>
          <w:p>
            <w:pPr>
              <w:pStyle w:val="Compact"/>
              <w:jc w:val="left"/>
            </w:pPr>
            <w:r>
              <w:t xml:space="preserve">Potential Positive Opposite</w:t>
            </w:r>
          </w:p>
        </w:tc>
      </w:tr>
      <w:tr>
        <w:tc>
          <w:tcPr/>
          <w:p>
            <w:pPr>
              <w:pStyle w:val="Compact"/>
              <w:jc w:val="left"/>
            </w:pPr>
            <w:r>
              <w:t xml:space="preserve">Attention seeking/Exhibitionism</w:t>
            </w:r>
          </w:p>
        </w:tc>
        <w:tc>
          <w:tcPr/>
          <w:p>
            <w:pPr>
              <w:pStyle w:val="Compact"/>
              <w:jc w:val="left"/>
            </w:pPr>
            <w:r>
              <w:t xml:space="preserve">Exaggerated or dramatic expressions,</w:t>
            </w:r>
            <w:r>
              <w:t xml:space="preserve"> </w:t>
            </w:r>
            <w:r>
              <w:t xml:space="preserve">interrupting others, inappropriate or</w:t>
            </w:r>
            <w:r>
              <w:t xml:space="preserve"> </w:t>
            </w:r>
            <w:r>
              <w:t xml:space="preserve">provocative behaviors, provoking reactions</w:t>
            </w:r>
          </w:p>
        </w:tc>
        <w:tc>
          <w:tcPr/>
          <w:p>
            <w:pPr>
              <w:pStyle w:val="Compact"/>
              <w:jc w:val="left"/>
            </w:pPr>
            <w:r>
              <w:t xml:space="preserve">Humility/Appropriate</w:t>
            </w:r>
            <w:r>
              <w:t xml:space="preserve"> </w:t>
            </w:r>
            <w:r>
              <w:t xml:space="preserve">self-expression</w:t>
            </w:r>
          </w:p>
        </w:tc>
      </w:tr>
      <w:tr>
        <w:tc>
          <w:tcPr/>
          <w:p>
            <w:pPr>
              <w:pStyle w:val="Compact"/>
              <w:jc w:val="left"/>
            </w:pPr>
            <w:r>
              <w:t xml:space="preserve">Behavioral addiction</w:t>
            </w:r>
          </w:p>
        </w:tc>
        <w:tc>
          <w:tcPr/>
          <w:p>
            <w:pPr>
              <w:pStyle w:val="Compact"/>
              <w:jc w:val="left"/>
            </w:pPr>
            <w:r>
              <w:t xml:space="preserve">Non-substance addictions (e.g., gambling,</w:t>
            </w:r>
            <w:r>
              <w:t xml:space="preserve"> </w:t>
            </w:r>
            <w:r>
              <w:t xml:space="preserve">video games, risky sex, pornography, food,</w:t>
            </w:r>
            <w:r>
              <w:t xml:space="preserve"> </w:t>
            </w:r>
            <w:r>
              <w:t xml:space="preserve">the internet, mobile devices, shopping)</w:t>
            </w:r>
          </w:p>
        </w:tc>
        <w:tc>
          <w:tcPr/>
          <w:p>
            <w:pPr>
              <w:pStyle w:val="Compact"/>
              <w:jc w:val="left"/>
            </w:pPr>
            <w:r>
              <w:t xml:space="preserve">Self-regulated engagement/Balanced</w:t>
            </w:r>
            <w:r>
              <w:t xml:space="preserve"> </w:t>
            </w:r>
            <w:r>
              <w:t xml:space="preserve">lifestyle</w:t>
            </w:r>
          </w:p>
        </w:tc>
      </w:tr>
      <w:tr>
        <w:tc>
          <w:tcPr/>
          <w:p>
            <w:pPr>
              <w:pStyle w:val="Compact"/>
              <w:jc w:val="left"/>
            </w:pPr>
            <w:r>
              <w:t xml:space="preserve">Blame externalization</w:t>
            </w:r>
          </w:p>
        </w:tc>
        <w:tc>
          <w:tcPr/>
          <w:p>
            <w:pPr>
              <w:pStyle w:val="Compact"/>
              <w:jc w:val="left"/>
            </w:pPr>
            <w:r>
              <w:t xml:space="preserve">Attribute cause of problems or failures to</w:t>
            </w:r>
            <w:r>
              <w:t xml:space="preserve"> </w:t>
            </w:r>
            <w:r>
              <w:t xml:space="preserve">external factors, feeling like a victim,</w:t>
            </w:r>
            <w:r>
              <w:t xml:space="preserve"> </w:t>
            </w:r>
            <w:r>
              <w:t xml:space="preserve">blaming others</w:t>
            </w:r>
          </w:p>
        </w:tc>
        <w:tc>
          <w:tcPr/>
          <w:p>
            <w:pPr>
              <w:pStyle w:val="Compact"/>
              <w:jc w:val="left"/>
            </w:pPr>
            <w:r>
              <w:t xml:space="preserve">Personal</w:t>
            </w:r>
            <w:r>
              <w:t xml:space="preserve"> </w:t>
            </w:r>
            <w:r>
              <w:t xml:space="preserve">responsibility/Accountability</w:t>
            </w:r>
          </w:p>
        </w:tc>
      </w:tr>
      <w:tr>
        <w:tc>
          <w:tcPr/>
          <w:p>
            <w:pPr>
              <w:pStyle w:val="Compact"/>
              <w:jc w:val="left"/>
            </w:pPr>
            <w:r>
              <w:t xml:space="preserve">Boredom proneness</w:t>
            </w:r>
          </w:p>
        </w:tc>
        <w:tc>
          <w:tcPr/>
          <w:p>
            <w:pPr>
              <w:pStyle w:val="Compact"/>
              <w:jc w:val="left"/>
            </w:pPr>
            <w:r>
              <w:t xml:space="preserve">Expressing boredom often, difficulty</w:t>
            </w:r>
            <w:r>
              <w:t xml:space="preserve"> </w:t>
            </w:r>
            <w:r>
              <w:t xml:space="preserve">maintaining interest, lack of engagement</w:t>
            </w:r>
          </w:p>
        </w:tc>
        <w:tc>
          <w:tcPr/>
          <w:p>
            <w:pPr>
              <w:pStyle w:val="Compact"/>
              <w:jc w:val="left"/>
            </w:pPr>
            <w:r>
              <w:t xml:space="preserve">Curiosity/Sustained engagement</w:t>
            </w:r>
          </w:p>
        </w:tc>
      </w:tr>
      <w:tr>
        <w:tc>
          <w:tcPr/>
          <w:p>
            <w:pPr>
              <w:pStyle w:val="Compact"/>
              <w:jc w:val="left"/>
            </w:pPr>
            <w:r>
              <w:t xml:space="preserve">Callous aggression</w:t>
            </w:r>
          </w:p>
        </w:tc>
        <w:tc>
          <w:tcPr/>
          <w:p>
            <w:pPr>
              <w:pStyle w:val="Compact"/>
              <w:jc w:val="left"/>
            </w:pPr>
            <w:r>
              <w:t xml:space="preserve">Inflicting harm without feeling remorse or</w:t>
            </w:r>
            <w:r>
              <w:t xml:space="preserve"> </w:t>
            </w:r>
            <w:r>
              <w:t xml:space="preserve">concern, usually proactive/intentional</w:t>
            </w:r>
          </w:p>
        </w:tc>
        <w:tc>
          <w:tcPr/>
          <w:p>
            <w:pPr>
              <w:pStyle w:val="Compact"/>
              <w:jc w:val="left"/>
            </w:pPr>
            <w:r>
              <w:t xml:space="preserve">Compassionate</w:t>
            </w:r>
            <w:r>
              <w:t xml:space="preserve"> </w:t>
            </w:r>
            <w:r>
              <w:t xml:space="preserve">protection/Benevolence</w:t>
            </w:r>
          </w:p>
        </w:tc>
      </w:tr>
      <w:tr>
        <w:tc>
          <w:tcPr/>
          <w:p>
            <w:pPr>
              <w:pStyle w:val="Compact"/>
              <w:jc w:val="left"/>
            </w:pPr>
            <w:r>
              <w:t xml:space="preserve">Callousness/Disregard for others/Low concern/Low</w:t>
            </w:r>
            <w:r>
              <w:t xml:space="preserve"> </w:t>
            </w:r>
            <w:r>
              <w:t xml:space="preserve">empathy/Selfishness/Egocentricity</w:t>
            </w:r>
          </w:p>
        </w:tc>
        <w:tc>
          <w:tcPr/>
          <w:p>
            <w:pPr>
              <w:pStyle w:val="Compact"/>
              <w:jc w:val="left"/>
            </w:pPr>
            <w:r>
              <w:t xml:space="preserve">Emotional detachment, indifference to</w:t>
            </w:r>
            <w:r>
              <w:t xml:space="preserve"> </w:t>
            </w:r>
            <w:r>
              <w:t xml:space="preserve">well-being of others</w:t>
            </w:r>
          </w:p>
        </w:tc>
        <w:tc>
          <w:tcPr/>
          <w:p>
            <w:pPr>
              <w:pStyle w:val="Compact"/>
              <w:jc w:val="left"/>
            </w:pPr>
            <w:r>
              <w:t xml:space="preserve">Empathy/Compassion/Concern for</w:t>
            </w:r>
            <w:r>
              <w:t xml:space="preserve"> </w:t>
            </w:r>
            <w:r>
              <w:t xml:space="preserve">others/Helping others/Sharing</w:t>
            </w:r>
          </w:p>
        </w:tc>
      </w:tr>
      <w:tr>
        <w:tc>
          <w:tcPr/>
          <w:p>
            <w:pPr>
              <w:pStyle w:val="Compact"/>
              <w:jc w:val="left"/>
            </w:pPr>
            <w:r>
              <w:t xml:space="preserve">Deceitfulness/Fraud/Lying/Cheating/Dishonesty/Sneakiness/Exploitation</w:t>
            </w:r>
          </w:p>
        </w:tc>
        <w:tc>
          <w:tcPr/>
          <w:p>
            <w:pPr>
              <w:pStyle w:val="Compact"/>
              <w:jc w:val="left"/>
            </w:pPr>
            <w:r>
              <w:t xml:space="preserve">Keeping the truth hidden, especially to get</w:t>
            </w:r>
            <w:r>
              <w:t xml:space="preserve"> </w:t>
            </w:r>
            <w:r>
              <w:t xml:space="preserve">an advantage (e.g., lying, witholding</w:t>
            </w:r>
            <w:r>
              <w:t xml:space="preserve"> </w:t>
            </w:r>
            <w:r>
              <w:t xml:space="preserve">information, manipulation, making false</w:t>
            </w:r>
            <w:r>
              <w:t xml:space="preserve"> </w:t>
            </w:r>
            <w:r>
              <w:t xml:space="preserve">promises)</w:t>
            </w:r>
          </w:p>
        </w:tc>
        <w:tc>
          <w:tcPr/>
          <w:p>
            <w:pPr>
              <w:pStyle w:val="Compact"/>
              <w:jc w:val="left"/>
            </w:pPr>
            <w:r>
              <w:t xml:space="preserve">Honesty/Integrity/Fairness</w:t>
            </w:r>
          </w:p>
        </w:tc>
      </w:tr>
      <w:tr>
        <w:tc>
          <w:tcPr/>
          <w:p>
            <w:pPr>
              <w:pStyle w:val="Compact"/>
              <w:jc w:val="left"/>
            </w:pPr>
            <w:r>
              <w:t xml:space="preserve">Deviant peers</w:t>
            </w:r>
          </w:p>
        </w:tc>
        <w:tc>
          <w:tcPr/>
          <w:p>
            <w:pPr>
              <w:pStyle w:val="Compact"/>
              <w:jc w:val="left"/>
            </w:pPr>
            <w:r>
              <w:t xml:space="preserve">Affiliating with peer who engage in deviant</w:t>
            </w:r>
            <w:r>
              <w:t xml:space="preserve"> </w:t>
            </w:r>
            <w:r>
              <w:t xml:space="preserve">or delinquent behaviors</w:t>
            </w:r>
          </w:p>
        </w:tc>
        <w:tc>
          <w:tcPr/>
          <w:p>
            <w:pPr>
              <w:pStyle w:val="Compact"/>
              <w:jc w:val="left"/>
            </w:pPr>
            <w:r>
              <w:t xml:space="preserve">Prosocial peer affiliations</w:t>
            </w:r>
          </w:p>
        </w:tc>
      </w:tr>
      <w:tr>
        <w:tc>
          <w:tcPr/>
          <w:p>
            <w:pPr>
              <w:pStyle w:val="Compact"/>
              <w:jc w:val="left"/>
            </w:pPr>
            <w:r>
              <w:t xml:space="preserve">Destructive aggression/Destruction of property</w:t>
            </w:r>
          </w:p>
        </w:tc>
        <w:tc>
          <w:tcPr/>
          <w:p>
            <w:pPr>
              <w:pStyle w:val="Compact"/>
              <w:jc w:val="left"/>
            </w:pPr>
            <w:r>
              <w:t xml:space="preserve">Destruction of property, self, or others,</w:t>
            </w:r>
            <w:r>
              <w:t xml:space="preserve"> </w:t>
            </w:r>
            <w:r>
              <w:t xml:space="preserve">objects</w:t>
            </w:r>
          </w:p>
        </w:tc>
        <w:tc>
          <w:tcPr/>
          <w:p>
            <w:pPr>
              <w:pStyle w:val="Compact"/>
              <w:jc w:val="left"/>
            </w:pPr>
            <w:r>
              <w:t xml:space="preserve">Constructiveness/Care for property</w:t>
            </w:r>
          </w:p>
        </w:tc>
      </w:tr>
      <w:tr>
        <w:tc>
          <w:tcPr/>
          <w:p>
            <w:pPr>
              <w:pStyle w:val="Compact"/>
              <w:jc w:val="left"/>
            </w:pPr>
            <w:r>
              <w:t xml:space="preserve">Distractibility/Inattention/Attention</w:t>
            </w:r>
            <w:r>
              <w:t xml:space="preserve"> </w:t>
            </w:r>
            <w:r>
              <w:t xml:space="preserve">dysregulation/Forgetfulness/Daydreaming</w:t>
            </w:r>
          </w:p>
        </w:tc>
        <w:tc>
          <w:tcPr/>
          <w:p>
            <w:pPr>
              <w:pStyle w:val="Compact"/>
              <w:jc w:val="left"/>
            </w:pPr>
            <w:r>
              <w:t xml:space="preserve">Difficulty maintaining focus, attention, or</w:t>
            </w:r>
            <w:r>
              <w:t xml:space="preserve"> </w:t>
            </w:r>
            <w:r>
              <w:t xml:space="preserve">concentration , frequenct attention shifts</w:t>
            </w:r>
          </w:p>
        </w:tc>
        <w:tc>
          <w:tcPr/>
          <w:p>
            <w:pPr>
              <w:pStyle w:val="Compact"/>
              <w:jc w:val="left"/>
            </w:pPr>
            <w:r>
              <w:t xml:space="preserve">Attentional control/Sustained</w:t>
            </w:r>
            <w:r>
              <w:t xml:space="preserve"> </w:t>
            </w:r>
            <w:r>
              <w:t xml:space="preserve">attention</w:t>
            </w:r>
          </w:p>
        </w:tc>
      </w:tr>
      <w:tr>
        <w:tc>
          <w:tcPr/>
          <w:p>
            <w:pPr>
              <w:pStyle w:val="Compact"/>
              <w:jc w:val="left"/>
            </w:pPr>
            <w:r>
              <w:t xml:space="preserve">Domineering/Bossiness</w:t>
            </w:r>
          </w:p>
        </w:tc>
        <w:tc>
          <w:tcPr/>
          <w:p>
            <w:pPr>
              <w:pStyle w:val="Compact"/>
              <w:jc w:val="left"/>
            </w:pPr>
            <w:r>
              <w:t xml:space="preserve">Asserting control, power, and authority in</w:t>
            </w:r>
            <w:r>
              <w:t xml:space="preserve"> </w:t>
            </w:r>
            <w:r>
              <w:t xml:space="preserve">an overbearing or oppressive manner</w:t>
            </w:r>
          </w:p>
        </w:tc>
        <w:tc>
          <w:tcPr/>
          <w:p>
            <w:pPr>
              <w:pStyle w:val="Compact"/>
              <w:jc w:val="left"/>
            </w:pPr>
            <w:r>
              <w:t xml:space="preserve">Collaborativeness</w:t>
            </w:r>
          </w:p>
        </w:tc>
      </w:tr>
      <w:tr>
        <w:tc>
          <w:tcPr/>
          <w:p>
            <w:pPr>
              <w:pStyle w:val="Compact"/>
              <w:jc w:val="left"/>
            </w:pPr>
            <w:r>
              <w:t xml:space="preserve">Excitement seeking/Risk taking/Sensation seeking</w:t>
            </w:r>
          </w:p>
        </w:tc>
        <w:tc>
          <w:tcPr/>
          <w:p>
            <w:pPr>
              <w:pStyle w:val="Compact"/>
              <w:jc w:val="left"/>
            </w:pPr>
            <w:r>
              <w:t xml:space="preserve">Tendency to pursue new and different</w:t>
            </w:r>
            <w:r>
              <w:t xml:space="preserve"> </w:t>
            </w:r>
            <w:r>
              <w:t xml:space="preserve">sensations, especially intense,</w:t>
            </w:r>
            <w:r>
              <w:t xml:space="preserve"> </w:t>
            </w:r>
            <w:r>
              <w:t xml:space="preserve">exhilerating, thrilling, etc. (e.g., risk</w:t>
            </w:r>
            <w:r>
              <w:t xml:space="preserve"> </w:t>
            </w:r>
            <w:r>
              <w:t xml:space="preserve">taking, preference for novelty, intensity)</w:t>
            </w:r>
          </w:p>
        </w:tc>
        <w:tc>
          <w:tcPr/>
          <w:p>
            <w:pPr>
              <w:pStyle w:val="Compact"/>
              <w:jc w:val="left"/>
            </w:pPr>
            <w:r>
              <w:t xml:space="preserve">Prudent exploration/Measured</w:t>
            </w:r>
            <w:r>
              <w:t xml:space="preserve"> </w:t>
            </w:r>
            <w:r>
              <w:t xml:space="preserve">novelty seeking</w:t>
            </w:r>
          </w:p>
        </w:tc>
      </w:tr>
      <w:tr>
        <w:tc>
          <w:tcPr/>
          <w:p>
            <w:pPr>
              <w:pStyle w:val="Compact"/>
              <w:jc w:val="left"/>
            </w:pPr>
            <w:r>
              <w:t xml:space="preserve">Grandiosity/Overconfidence</w:t>
            </w:r>
          </w:p>
        </w:tc>
        <w:tc>
          <w:tcPr/>
          <w:p>
            <w:pPr>
              <w:pStyle w:val="Compact"/>
              <w:jc w:val="left"/>
            </w:pPr>
            <w:r>
              <w:t xml:space="preserve">Exhaggerated sense of self-importance,</w:t>
            </w:r>
            <w:r>
              <w:t xml:space="preserve"> </w:t>
            </w:r>
            <w:r>
              <w:t xml:space="preserve">sense of superiority or specialness</w:t>
            </w:r>
          </w:p>
        </w:tc>
        <w:tc>
          <w:tcPr/>
          <w:p>
            <w:pPr>
              <w:pStyle w:val="Compact"/>
              <w:jc w:val="left"/>
            </w:pPr>
            <w:r>
              <w:t xml:space="preserve">Realistic self-confidence</w:t>
            </w:r>
          </w:p>
        </w:tc>
      </w:tr>
      <w:tr>
        <w:tc>
          <w:tcPr/>
          <w:p>
            <w:pPr>
              <w:pStyle w:val="Compact"/>
              <w:jc w:val="left"/>
            </w:pPr>
            <w:r>
              <w:t xml:space="preserve">Hostility/Rudeness</w:t>
            </w:r>
          </w:p>
        </w:tc>
        <w:tc>
          <w:tcPr/>
          <w:p>
            <w:pPr>
              <w:pStyle w:val="Compact"/>
              <w:jc w:val="left"/>
            </w:pPr>
            <w:r>
              <w:t xml:space="preserve">Hostile behavior, unfriendliness,</w:t>
            </w:r>
            <w:r>
              <w:t xml:space="preserve"> </w:t>
            </w:r>
            <w:r>
              <w:t xml:space="preserve">resentment, antagonism, ranging from mild</w:t>
            </w:r>
            <w:r>
              <w:t xml:space="preserve"> </w:t>
            </w:r>
            <w:r>
              <w:t xml:space="preserve">irritation to intense rage, interpret</w:t>
            </w:r>
            <w:r>
              <w:t xml:space="preserve"> </w:t>
            </w:r>
            <w:r>
              <w:t xml:space="preserve">others’ behavior as hostile</w:t>
            </w:r>
          </w:p>
        </w:tc>
        <w:tc>
          <w:tcPr/>
          <w:p>
            <w:pPr>
              <w:pStyle w:val="Compact"/>
              <w:jc w:val="left"/>
            </w:pPr>
            <w:r>
              <w:t xml:space="preserve">Warmth/Friendliness/Kindness</w:t>
            </w:r>
          </w:p>
        </w:tc>
      </w:tr>
      <w:tr>
        <w:tc>
          <w:tcPr/>
          <w:p>
            <w:pPr>
              <w:pStyle w:val="Compact"/>
              <w:jc w:val="left"/>
            </w:pPr>
            <w:r>
              <w:t xml:space="preserve">Hyperactivity</w:t>
            </w:r>
          </w:p>
        </w:tc>
        <w:tc>
          <w:tcPr/>
          <w:p>
            <w:pPr>
              <w:pStyle w:val="Compact"/>
              <w:jc w:val="left"/>
            </w:pPr>
            <w:r>
              <w:t xml:space="preserve">High levels of physical activity,</w:t>
            </w:r>
            <w:r>
              <w:t xml:space="preserve"> </w:t>
            </w:r>
            <w:r>
              <w:t xml:space="preserve">restlessness, difficulty engaging in quiet</w:t>
            </w:r>
            <w:r>
              <w:t xml:space="preserve"> </w:t>
            </w:r>
            <w:r>
              <w:t xml:space="preserve">activities</w:t>
            </w:r>
          </w:p>
        </w:tc>
        <w:tc>
          <w:tcPr/>
          <w:p>
            <w:pPr>
              <w:pStyle w:val="Compact"/>
              <w:jc w:val="left"/>
            </w:pPr>
            <w:r>
              <w:t xml:space="preserve">Behavioral regulation/Calm</w:t>
            </w:r>
            <w:r>
              <w:t xml:space="preserve"> </w:t>
            </w:r>
            <w:r>
              <w:t xml:space="preserve">engagement</w:t>
            </w:r>
          </w:p>
        </w:tc>
      </w:tr>
      <w:tr>
        <w:tc>
          <w:tcPr/>
          <w:p>
            <w:pPr>
              <w:pStyle w:val="Compact"/>
              <w:jc w:val="left"/>
            </w:pPr>
            <w:r>
              <w:t xml:space="preserve">Impulsivity/Disinhibition/Impatient urgency/(Low) Planful control</w:t>
            </w:r>
          </w:p>
        </w:tc>
        <w:tc>
          <w:tcPr/>
          <w:p>
            <w:pPr>
              <w:pStyle w:val="Compact"/>
              <w:jc w:val="left"/>
            </w:pPr>
            <w:r>
              <w:t xml:space="preserve">Tendency to act without thinking,</w:t>
            </w:r>
            <w:r>
              <w:t xml:space="preserve"> </w:t>
            </w:r>
            <w:r>
              <w:t xml:space="preserve">disinhibited engagement</w:t>
            </w:r>
          </w:p>
        </w:tc>
        <w:tc>
          <w:tcPr/>
          <w:p>
            <w:pPr>
              <w:pStyle w:val="Compact"/>
              <w:jc w:val="left"/>
            </w:pPr>
            <w:r>
              <w:t xml:space="preserve">Planful control</w:t>
            </w:r>
          </w:p>
        </w:tc>
      </w:tr>
      <w:tr>
        <w:tc>
          <w:tcPr/>
          <w:p>
            <w:pPr>
              <w:pStyle w:val="Compact"/>
              <w:jc w:val="left"/>
            </w:pPr>
            <w:r>
              <w:t xml:space="preserve">Irresponsibility</w:t>
            </w:r>
          </w:p>
        </w:tc>
        <w:tc>
          <w:tcPr/>
          <w:p>
            <w:pPr>
              <w:pStyle w:val="Compact"/>
              <w:jc w:val="left"/>
            </w:pPr>
            <w:r>
              <w:t xml:space="preserve">Failing to meet obligations, avoiding</w:t>
            </w:r>
            <w:r>
              <w:t xml:space="preserve"> </w:t>
            </w:r>
            <w:r>
              <w:t xml:space="preserve">addressing difficulties</w:t>
            </w:r>
          </w:p>
        </w:tc>
        <w:tc>
          <w:tcPr/>
          <w:p>
            <w:pPr>
              <w:pStyle w:val="Compact"/>
              <w:jc w:val="left"/>
            </w:pPr>
            <w:r>
              <w:t xml:space="preserve">Responsibility/Conscientiousness</w:t>
            </w:r>
          </w:p>
        </w:tc>
      </w:tr>
      <w:tr>
        <w:tc>
          <w:tcPr/>
          <w:p>
            <w:pPr>
              <w:pStyle w:val="Compact"/>
              <w:jc w:val="left"/>
            </w:pPr>
            <w:r>
              <w:t xml:space="preserve">(Low) Dependability</w:t>
            </w:r>
          </w:p>
        </w:tc>
        <w:tc>
          <w:tcPr/>
          <w:p>
            <w:pPr>
              <w:pStyle w:val="Compact"/>
              <w:jc w:val="left"/>
            </w:pPr>
            <w:r>
              <w:t xml:space="preserve">Low reliability, consistency,</w:t>
            </w:r>
            <w:r>
              <w:t xml:space="preserve"> </w:t>
            </w:r>
            <w:r>
              <w:t xml:space="preserve">trustworthiness</w:t>
            </w:r>
          </w:p>
        </w:tc>
        <w:tc>
          <w:tcPr/>
          <w:p>
            <w:pPr>
              <w:pStyle w:val="Compact"/>
              <w:jc w:val="left"/>
            </w:pPr>
            <w:r>
              <w:t xml:space="preserve">Dependability/Reliability</w:t>
            </w:r>
          </w:p>
        </w:tc>
      </w:tr>
      <w:tr>
        <w:tc>
          <w:tcPr/>
          <w:p>
            <w:pPr>
              <w:pStyle w:val="Compact"/>
              <w:jc w:val="left"/>
            </w:pPr>
            <w:r>
              <w:t xml:space="preserve">(Low) Perfectionism/(Dis)organization/(Low) Planning</w:t>
            </w:r>
          </w:p>
        </w:tc>
        <w:tc>
          <w:tcPr/>
          <w:p>
            <w:pPr>
              <w:pStyle w:val="Compact"/>
              <w:jc w:val="left"/>
            </w:pPr>
            <w:r>
              <w:t xml:space="preserve">Unconcerned about achievement, low</w:t>
            </w:r>
            <w:r>
              <w:t xml:space="preserve"> </w:t>
            </w:r>
            <w:r>
              <w:t xml:space="preserve">motivation, lack of organization and</w:t>
            </w:r>
            <w:r>
              <w:t xml:space="preserve"> </w:t>
            </w:r>
            <w:r>
              <w:t xml:space="preserve">planning, doesn’t have to be about school</w:t>
            </w:r>
            <w:r>
              <w:t xml:space="preserve"> </w:t>
            </w:r>
            <w:r>
              <w:t xml:space="preserve">or work</w:t>
            </w:r>
          </w:p>
        </w:tc>
        <w:tc>
          <w:tcPr/>
          <w:p>
            <w:pPr>
              <w:pStyle w:val="Compact"/>
              <w:jc w:val="left"/>
            </w:pPr>
            <w:r>
              <w:t xml:space="preserve">Organization/Diligence</w:t>
            </w:r>
          </w:p>
        </w:tc>
      </w:tr>
      <w:tr>
        <w:tc>
          <w:tcPr/>
          <w:p>
            <w:pPr>
              <w:pStyle w:val="Compact"/>
              <w:jc w:val="left"/>
            </w:pPr>
            <w:r>
              <w:t xml:space="preserve">(Low) Performance Concern/(Low) School/Work Performance/ (Low)</w:t>
            </w:r>
            <w:r>
              <w:t xml:space="preserve"> </w:t>
            </w:r>
            <w:r>
              <w:t xml:space="preserve">Workaholism</w:t>
            </w:r>
          </w:p>
        </w:tc>
        <w:tc>
          <w:tcPr/>
          <w:p>
            <w:pPr>
              <w:pStyle w:val="Compact"/>
              <w:jc w:val="left"/>
            </w:pPr>
            <w:r>
              <w:t xml:space="preserve">Low concern about how one’s abilities or</w:t>
            </w:r>
            <w:r>
              <w:t xml:space="preserve"> </w:t>
            </w:r>
            <w:r>
              <w:t xml:space="preserve">actions are evaluated, specific to contexts</w:t>
            </w:r>
            <w:r>
              <w:t xml:space="preserve"> </w:t>
            </w:r>
            <w:r>
              <w:t xml:space="preserve">in which others have expectations for</w:t>
            </w:r>
            <w:r>
              <w:t xml:space="preserve"> </w:t>
            </w:r>
            <w:r>
              <w:t xml:space="preserve">performance (e.g., school and work),</w:t>
            </w:r>
            <w:r>
              <w:t xml:space="preserve"> </w:t>
            </w:r>
            <w:r>
              <w:t xml:space="preserve">specifically low effort rather than</w:t>
            </w:r>
            <w:r>
              <w:t xml:space="preserve"> </w:t>
            </w:r>
            <w:r>
              <w:t xml:space="preserve">performance; low workaholism</w:t>
            </w:r>
          </w:p>
        </w:tc>
        <w:tc>
          <w:tcPr/>
          <w:p>
            <w:pPr>
              <w:pStyle w:val="Compact"/>
              <w:jc w:val="left"/>
            </w:pPr>
            <w:r>
              <w:t xml:space="preserve">Achievement motivation</w:t>
            </w:r>
          </w:p>
        </w:tc>
      </w:tr>
      <w:tr>
        <w:tc>
          <w:tcPr/>
          <w:p>
            <w:pPr>
              <w:pStyle w:val="Compact"/>
              <w:jc w:val="left"/>
            </w:pPr>
            <w:r>
              <w:t xml:space="preserve">Manipulativeness/Psychological aggression</w:t>
            </w:r>
          </w:p>
        </w:tc>
        <w:tc>
          <w:tcPr/>
          <w:p>
            <w:pPr>
              <w:pStyle w:val="Compact"/>
              <w:jc w:val="left"/>
            </w:pPr>
            <w:r>
              <w:t xml:space="preserve">Tendency to influence or control others to</w:t>
            </w:r>
            <w:r>
              <w:t xml:space="preserve"> </w:t>
            </w:r>
            <w:r>
              <w:t xml:space="preserve">achieve one’s own goals or desires, e.g.,</w:t>
            </w:r>
            <w:r>
              <w:t xml:space="preserve"> </w:t>
            </w:r>
            <w:r>
              <w:t xml:space="preserve">playing the victim, flattery, gaslighting,</w:t>
            </w:r>
            <w:r>
              <w:t xml:space="preserve"> </w:t>
            </w:r>
            <w:r>
              <w:t xml:space="preserve">guilt-tripping, psychological aggression</w:t>
            </w:r>
          </w:p>
        </w:tc>
        <w:tc>
          <w:tcPr/>
          <w:p>
            <w:pPr>
              <w:pStyle w:val="Compact"/>
              <w:jc w:val="left"/>
            </w:pPr>
            <w:r>
              <w:t xml:space="preserve">Sincerity/Authenticity</w:t>
            </w:r>
          </w:p>
        </w:tc>
      </w:tr>
      <w:tr>
        <w:tc>
          <w:tcPr/>
          <w:p>
            <w:pPr>
              <w:pStyle w:val="Compact"/>
              <w:jc w:val="left"/>
            </w:pPr>
            <w:r>
              <w:t xml:space="preserve">Mistrust/Suspiciousness/Paranoia</w:t>
            </w:r>
          </w:p>
        </w:tc>
        <w:tc>
          <w:tcPr/>
          <w:p>
            <w:pPr>
              <w:pStyle w:val="Compact"/>
              <w:jc w:val="left"/>
            </w:pPr>
            <w:r>
              <w:t xml:space="preserve">Lack of confidence in the reliability,</w:t>
            </w:r>
            <w:r>
              <w:t xml:space="preserve"> </w:t>
            </w:r>
            <w:r>
              <w:t xml:space="preserve">intentions of others, difficulty forming</w:t>
            </w:r>
            <w:r>
              <w:t xml:space="preserve"> </w:t>
            </w:r>
            <w:r>
              <w:t xml:space="preserve">close relationships with others, difficulty</w:t>
            </w:r>
            <w:r>
              <w:t xml:space="preserve"> </w:t>
            </w:r>
            <w:r>
              <w:t xml:space="preserve">forgiving</w:t>
            </w:r>
          </w:p>
        </w:tc>
        <w:tc>
          <w:tcPr/>
          <w:p>
            <w:pPr>
              <w:pStyle w:val="Compact"/>
              <w:jc w:val="left"/>
            </w:pPr>
            <w:r>
              <w:t xml:space="preserve">Interpersonal trust (appropriately</w:t>
            </w:r>
            <w:r>
              <w:t xml:space="preserve"> </w:t>
            </w:r>
            <w:r>
              <w:t xml:space="preserve">calibrated)</w:t>
            </w:r>
          </w:p>
        </w:tc>
      </w:tr>
      <w:tr>
        <w:tc>
          <w:tcPr/>
          <w:p>
            <w:pPr>
              <w:pStyle w:val="Compact"/>
              <w:jc w:val="left"/>
            </w:pPr>
            <w:r>
              <w:t xml:space="preserve">Oppositionality/Stubbornness</w:t>
            </w:r>
          </w:p>
        </w:tc>
        <w:tc>
          <w:tcPr/>
          <w:p>
            <w:pPr>
              <w:pStyle w:val="Compact"/>
              <w:jc w:val="left"/>
            </w:pPr>
            <w:r>
              <w:t xml:space="preserve">Persistent and defiant attitude, tendency</w:t>
            </w:r>
            <w:r>
              <w:t xml:space="preserve"> </w:t>
            </w:r>
            <w:r>
              <w:t xml:space="preserve">to challenge authority, refusal to comply,</w:t>
            </w:r>
            <w:r>
              <w:t xml:space="preserve"> </w:t>
            </w:r>
            <w:r>
              <w:t xml:space="preserve">argumentativeness (could include while</w:t>
            </w:r>
            <w:r>
              <w:t xml:space="preserve"> </w:t>
            </w:r>
            <w:r>
              <w:t xml:space="preserve">complying), etc.</w:t>
            </w:r>
          </w:p>
        </w:tc>
        <w:tc>
          <w:tcPr/>
          <w:p>
            <w:pPr>
              <w:pStyle w:val="Compact"/>
              <w:jc w:val="left"/>
            </w:pPr>
            <w:r>
              <w:t xml:space="preserve">Cooperativeness</w:t>
            </w:r>
          </w:p>
        </w:tc>
      </w:tr>
      <w:tr>
        <w:tc>
          <w:tcPr/>
          <w:p>
            <w:pPr>
              <w:pStyle w:val="Compact"/>
              <w:jc w:val="left"/>
            </w:pPr>
            <w:r>
              <w:t xml:space="preserve">Physical aggression</w:t>
            </w:r>
          </w:p>
        </w:tc>
        <w:tc>
          <w:tcPr/>
          <w:p>
            <w:pPr>
              <w:pStyle w:val="Compact"/>
              <w:jc w:val="left"/>
            </w:pPr>
            <w:r>
              <w:t xml:space="preserve">Use of physical force or violence to harm</w:t>
            </w:r>
            <w:r>
              <w:t xml:space="preserve"> </w:t>
            </w:r>
            <w:r>
              <w:t xml:space="preserve">others or their property</w:t>
            </w:r>
          </w:p>
        </w:tc>
        <w:tc>
          <w:tcPr/>
          <w:p>
            <w:pPr>
              <w:pStyle w:val="Compact"/>
              <w:jc w:val="left"/>
            </w:pPr>
            <w:r>
              <w:t xml:space="preserve">Respect for others’ bodies/Helping</w:t>
            </w:r>
            <w:r>
              <w:t xml:space="preserve"> </w:t>
            </w:r>
            <w:r>
              <w:t xml:space="preserve">others</w:t>
            </w:r>
          </w:p>
        </w:tc>
      </w:tr>
      <w:tr>
        <w:tc>
          <w:tcPr/>
          <w:p>
            <w:pPr>
              <w:pStyle w:val="Compact"/>
              <w:jc w:val="left"/>
            </w:pPr>
            <w:r>
              <w:t xml:space="preserve">Punishment insensitivity</w:t>
            </w:r>
          </w:p>
        </w:tc>
        <w:tc>
          <w:tcPr/>
          <w:p>
            <w:pPr>
              <w:pStyle w:val="Compact"/>
              <w:jc w:val="left"/>
            </w:pPr>
            <w:r>
              <w:t xml:space="preserve">Doesn’t change behavior after punishment,</w:t>
            </w:r>
            <w:r>
              <w:t xml:space="preserve"> </w:t>
            </w:r>
            <w:r>
              <w:t xml:space="preserve">high tolerance for negative outcomes</w:t>
            </w:r>
          </w:p>
        </w:tc>
        <w:tc>
          <w:tcPr/>
          <w:p>
            <w:pPr>
              <w:pStyle w:val="Compact"/>
              <w:jc w:val="left"/>
            </w:pPr>
            <w:r>
              <w:t xml:space="preserve">Responsive to consequences</w:t>
            </w:r>
          </w:p>
        </w:tc>
      </w:tr>
      <w:tr>
        <w:tc>
          <w:tcPr/>
          <w:p>
            <w:pPr>
              <w:pStyle w:val="Compact"/>
              <w:jc w:val="left"/>
            </w:pPr>
            <w:r>
              <w:t xml:space="preserve">Rebelliousness/Rule-breaking/Noncompliance</w:t>
            </w:r>
          </w:p>
        </w:tc>
        <w:tc>
          <w:tcPr/>
          <w:p>
            <w:pPr>
              <w:pStyle w:val="Compact"/>
              <w:jc w:val="left"/>
            </w:pPr>
            <w:r>
              <w:t xml:space="preserve">Doing things differently than one is asked</w:t>
            </w:r>
            <w:r>
              <w:t xml:space="preserve"> </w:t>
            </w:r>
            <w:r>
              <w:t xml:space="preserve">to do (e.g., breaking house rules)</w:t>
            </w:r>
          </w:p>
        </w:tc>
        <w:tc>
          <w:tcPr/>
          <w:p>
            <w:pPr>
              <w:pStyle w:val="Compact"/>
              <w:jc w:val="left"/>
            </w:pPr>
            <w:r>
              <w:t xml:space="preserve">Compliance/Civic responsibility</w:t>
            </w:r>
          </w:p>
        </w:tc>
      </w:tr>
      <w:tr>
        <w:tc>
          <w:tcPr/>
          <w:p>
            <w:pPr>
              <w:pStyle w:val="Compact"/>
              <w:jc w:val="left"/>
            </w:pPr>
            <w:r>
              <w:t xml:space="preserve">Relational aggression</w:t>
            </w:r>
          </w:p>
        </w:tc>
        <w:tc>
          <w:tcPr/>
          <w:p>
            <w:pPr>
              <w:pStyle w:val="Compact"/>
              <w:jc w:val="left"/>
            </w:pPr>
            <w:r>
              <w:t xml:space="preserve">Aggression intended to harm others through</w:t>
            </w:r>
            <w:r>
              <w:t xml:space="preserve"> </w:t>
            </w:r>
            <w:r>
              <w:t xml:space="preserve">deliberate manipulation of their social</w:t>
            </w:r>
            <w:r>
              <w:t xml:space="preserve"> </w:t>
            </w:r>
            <w:r>
              <w:t xml:space="preserve">standing and relationships (e.g.,</w:t>
            </w:r>
            <w:r>
              <w:t xml:space="preserve"> </w:t>
            </w:r>
            <w:r>
              <w:t xml:space="preserve">exclusion, speaking negatively of another,</w:t>
            </w:r>
            <w:r>
              <w:t xml:space="preserve"> </w:t>
            </w:r>
            <w:r>
              <w:t xml:space="preserve">etc)</w:t>
            </w:r>
          </w:p>
        </w:tc>
        <w:tc>
          <w:tcPr/>
          <w:p>
            <w:pPr>
              <w:pStyle w:val="Compact"/>
              <w:jc w:val="left"/>
            </w:pPr>
            <w:r>
              <w:t xml:space="preserve">Inclusion</w:t>
            </w:r>
          </w:p>
        </w:tc>
      </w:tr>
      <w:tr>
        <w:tc>
          <w:tcPr/>
          <w:p>
            <w:pPr>
              <w:pStyle w:val="Compact"/>
              <w:jc w:val="left"/>
            </w:pPr>
            <w:r>
              <w:t xml:space="preserve">Sexual aggression</w:t>
            </w:r>
          </w:p>
        </w:tc>
        <w:tc>
          <w:tcPr/>
          <w:p>
            <w:pPr>
              <w:pStyle w:val="Compact"/>
              <w:jc w:val="left"/>
            </w:pPr>
            <w:r>
              <w:t xml:space="preserve">Engaging in sexual activity with someone</w:t>
            </w:r>
            <w:r>
              <w:t xml:space="preserve"> </w:t>
            </w:r>
            <w:r>
              <w:t xml:space="preserve">who does not or cannot consent to that</w:t>
            </w:r>
            <w:r>
              <w:t xml:space="preserve"> </w:t>
            </w:r>
            <w:r>
              <w:t xml:space="preserve">behavior, or threatening to do so (e.g.,</w:t>
            </w:r>
            <w:r>
              <w:t xml:space="preserve"> </w:t>
            </w:r>
            <w:r>
              <w:t xml:space="preserve">harrassment)</w:t>
            </w:r>
          </w:p>
        </w:tc>
        <w:tc>
          <w:tcPr/>
          <w:p>
            <w:pPr>
              <w:pStyle w:val="Compact"/>
              <w:jc w:val="left"/>
            </w:pPr>
            <w:r>
              <w:t xml:space="preserve">Respect for consent</w:t>
            </w:r>
          </w:p>
        </w:tc>
      </w:tr>
      <w:tr>
        <w:tc>
          <w:tcPr/>
          <w:p>
            <w:pPr>
              <w:pStyle w:val="Compact"/>
              <w:jc w:val="left"/>
            </w:pPr>
            <w:r>
              <w:t xml:space="preserve">Impulsive sexual behavior/Risky sexual behavior</w:t>
            </w:r>
          </w:p>
        </w:tc>
        <w:tc>
          <w:tcPr/>
          <w:p>
            <w:pPr>
              <w:pStyle w:val="Compact"/>
              <w:jc w:val="left"/>
            </w:pPr>
            <w:r>
              <w:t xml:space="preserve">Engaging in risky sexual activity (e.g.,</w:t>
            </w:r>
            <w:r>
              <w:t xml:space="preserve"> </w:t>
            </w:r>
            <w:r>
              <w:t xml:space="preserve">sex without contraceptives)</w:t>
            </w:r>
          </w:p>
        </w:tc>
        <w:tc>
          <w:tcPr/>
          <w:p>
            <w:pPr>
              <w:pStyle w:val="Compact"/>
              <w:jc w:val="left"/>
            </w:pPr>
            <w:r>
              <w:t xml:space="preserve">Responsible sexual decision-making</w:t>
            </w:r>
          </w:p>
        </w:tc>
      </w:tr>
      <w:tr>
        <w:tc>
          <w:tcPr/>
          <w:p>
            <w:pPr>
              <w:pStyle w:val="Compact"/>
              <w:jc w:val="left"/>
            </w:pPr>
            <w:r>
              <w:t xml:space="preserve">(Harmful) Substance Use/Problems</w:t>
            </w:r>
          </w:p>
        </w:tc>
        <w:tc>
          <w:tcPr/>
          <w:p>
            <w:pPr>
              <w:pStyle w:val="Compact"/>
              <w:jc w:val="left"/>
            </w:pPr>
            <w:r>
              <w:t xml:space="preserve">Harmful use of any drugs (e.g., alcohol,</w:t>
            </w:r>
            <w:r>
              <w:t xml:space="preserve"> </w:t>
            </w:r>
            <w:r>
              <w:t xml:space="preserve">tobacco, illegal drugs)</w:t>
            </w:r>
          </w:p>
        </w:tc>
        <w:tc>
          <w:tcPr/>
          <w:p>
            <w:pPr>
              <w:pStyle w:val="Compact"/>
              <w:jc w:val="left"/>
            </w:pPr>
            <w:r>
              <w:t xml:space="preserve">Healthy choices around substance</w:t>
            </w:r>
            <w:r>
              <w:t xml:space="preserve"> </w:t>
            </w:r>
            <w:r>
              <w:t xml:space="preserve">use</w:t>
            </w:r>
          </w:p>
        </w:tc>
      </w:tr>
      <w:tr>
        <w:tc>
          <w:tcPr/>
          <w:p>
            <w:pPr>
              <w:pStyle w:val="Compact"/>
              <w:jc w:val="left"/>
            </w:pPr>
            <w:r>
              <w:t xml:space="preserve">Theft/Stealing</w:t>
            </w:r>
          </w:p>
        </w:tc>
        <w:tc>
          <w:tcPr/>
          <w:p>
            <w:pPr>
              <w:pStyle w:val="Compact"/>
              <w:jc w:val="left"/>
            </w:pPr>
            <w:r>
              <w:t xml:space="preserve">Unauthorized taking of someone else’s</w:t>
            </w:r>
            <w:r>
              <w:t xml:space="preserve"> </w:t>
            </w:r>
            <w:r>
              <w:t xml:space="preserve">property without their knowledge or consent</w:t>
            </w:r>
          </w:p>
        </w:tc>
        <w:tc>
          <w:tcPr/>
          <w:p>
            <w:pPr>
              <w:pStyle w:val="Compact"/>
              <w:jc w:val="left"/>
            </w:pPr>
            <w:r>
              <w:t xml:space="preserve">Respect for people’s possessions</w:t>
            </w:r>
          </w:p>
        </w:tc>
      </w:tr>
      <w:tr>
        <w:tc>
          <w:tcPr/>
          <w:p>
            <w:pPr>
              <w:pStyle w:val="Compact"/>
              <w:jc w:val="left"/>
            </w:pPr>
            <w:r>
              <w:t xml:space="preserve">Verbal Aggression</w:t>
            </w:r>
          </w:p>
        </w:tc>
        <w:tc>
          <w:tcPr/>
          <w:p>
            <w:pPr>
              <w:pStyle w:val="Compact"/>
              <w:jc w:val="left"/>
            </w:pPr>
            <w:r>
              <w:t xml:space="preserve">Communication with an intention to harm an</w:t>
            </w:r>
            <w:r>
              <w:t xml:space="preserve"> </w:t>
            </w:r>
            <w:r>
              <w:t xml:space="preserve">individual through words, tone or manner</w:t>
            </w:r>
          </w:p>
        </w:tc>
        <w:tc>
          <w:tcPr/>
          <w:p>
            <w:pPr>
              <w:pStyle w:val="Compact"/>
              <w:jc w:val="left"/>
            </w:pPr>
            <w:r>
              <w:t xml:space="preserve">Respectful communication</w:t>
            </w:r>
          </w:p>
        </w:tc>
      </w:tr>
    </w:tbl>
    <w:bookmarkEnd w:id="92"/>
    <w:p>
      <w:pPr>
        <w:pStyle w:val="FigureWithoutNote"/>
      </w:pPr>
      <w:r>
        <w:rPr>
          <w:vertAlign w:val="subscript"/>
        </w:rPr>
        <w:t xml:space="preserve">Source:</w:t>
      </w:r>
      <w:r>
        <w:rPr>
          <w:vertAlign w:val="subscript"/>
        </w:rPr>
        <w:t xml:space="preserve"> </w:t>
      </w:r>
      <w:hyperlink r:id="rId93">
        <w:r>
          <w:rPr>
            <w:rStyle w:val="Hyperlink"/>
            <w:vertAlign w:val="subscript"/>
          </w:rPr>
          <w:t xml:space="preserve">Analyses</w:t>
        </w:r>
      </w:hyperlink>
    </w:p>
    <w:p>
      <w:pPr>
        <w:pStyle w:val="AfterWithoutNote"/>
      </w:pPr>
      <w:r>
        <w:t xml:space="preserve">Because existing measures do not capture the full range of individual differences, this naturally further limits the measures’ sensitivity to detect change (i.e., responsiveness), which is crucial for clinical utility and for longitudinal research.</w:t>
      </w:r>
      <w:r>
        <w:t xml:space="preserve"> </w:t>
      </w:r>
      <w:r>
        <w:t xml:space="preserve">Moreover, it is important for measures not to show restriction of range owing to ceiling or floor effects.</w:t>
      </w:r>
    </w:p>
    <w:bookmarkEnd w:id="94"/>
    <w:bookmarkStart w:id="95"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r>
        <w:t xml:space="preserve"> </w:t>
      </w:r>
      <w:r>
        <w:t xml:space="preserve">As we described above, existing assessment of externalizing behavior—and other aspects of psychopathology—have key limitations.</w:t>
      </w:r>
      <w:r>
        <w:t xml:space="preserve"> </w:t>
      </w:r>
      <w:r>
        <w:t xml:space="preserve">To address this concern, the field will need to develop better assessments.</w:t>
      </w:r>
      <w:r>
        <w:t xml:space="preserve"> </w:t>
      </w:r>
      <w:r>
        <w:t xml:space="preserve">Moreover, there are problems with how assessments are used to examine development—studies have primarily used the common items approach or the upward/downward extension approach across ages, which are problematic approaches that lead to inaccurate scores and resulting trajectories and developmental inferences.</w:t>
      </w:r>
      <w:r>
        <w:t xml:space="preserve"> </w:t>
      </w:r>
      <w:r>
        <w:t xml:space="preserve">To address this concern, we propose a potential solution to account for heterotypic continuity and to allow charting individuals’ change across the lifespan: a developmental scaling framework.</w:t>
      </w:r>
    </w:p>
    <w:bookmarkEnd w:id="95"/>
    <w:bookmarkEnd w:id="96"/>
    <w:bookmarkEnd w:id="97"/>
    <w:bookmarkStart w:id="114" w:name="X90173f212147643646723f86a6ce6f8ad77bf31"/>
    <w:p>
      <w:pPr>
        <w:pStyle w:val="Heading1"/>
      </w:pPr>
      <w:r>
        <w:t xml:space="preserve">Solution: A Developmental Scaling Framework</w:t>
      </w:r>
    </w:p>
    <w:p>
      <w:pPr>
        <w:pStyle w:val="FirstParagraph"/>
      </w:pPr>
      <w:r>
        <w:t xml:space="preserve">A developmental scaling framework informs both assessment—including item selection—and linking of scores.</w:t>
      </w:r>
    </w:p>
    <w:bookmarkStart w:id="102" w:name="item-selection"/>
    <w:p>
      <w:pPr>
        <w:pStyle w:val="Heading2"/>
      </w:pPr>
      <w:r>
        <w:t xml:space="preserve">Item Selection</w:t>
      </w:r>
    </w:p>
    <w:p>
      <w:pPr>
        <w:pStyle w:val="FirstParagraph"/>
      </w:pPr>
      <w:r>
        <w:t xml:space="preserve">When a construct changes in behavioral manifestation across development, which we would argue is the norm rather than the exception when considering constructs across the lifespan, it is important to account for such changes in item selection.</w:t>
      </w:r>
      <w:r>
        <w:t xml:space="preserve"> </w:t>
      </w:r>
      <w:r>
        <w:t xml:space="preserve">Thus, it is important to use the construct-valid items at a given age, even if that leads to using different measures across ages.</w:t>
      </w:r>
      <w:r>
        <w:t xml:space="preserve"> </w:t>
      </w:r>
      <w:r>
        <w:t xml:space="preserve">A conceptual depiction of an example construct-valid item design spanning infancy to adulthood is in</w:t>
      </w:r>
      <w:r>
        <w:t xml:space="preserve"> </w:t>
      </w:r>
      <w:hyperlink w:anchor="fig-constructValidItemDesign">
        <w:r>
          <w:rPr>
            <w:rStyle w:val="Hyperlink"/>
          </w:rPr>
          <w:t xml:space="preserve">Figure 8</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age-common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8</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01" w:name="fig-constructValidItemDesign"/>
    <w:p>
      <w:pPr>
        <w:pStyle w:val="FigureTitle"/>
      </w:pPr>
      <w:r>
        <w:t xml:space="preserve">Figure 8</w:t>
      </w:r>
    </w:p>
    <w:p>
      <w:pPr>
        <w:pStyle w:val="Caption"/>
      </w:pPr>
      <w:r>
        <w:t xml:space="preserve">Conceptual Depiction of a Construct-Valid Item Design from Infancy to Adulthood</w:t>
      </w:r>
    </w:p>
    <w:p>
      <w:pPr>
        <w:pStyle w:val="FigureWithNote"/>
      </w:pPr>
      <w:r>
        <w:drawing>
          <wp:inline>
            <wp:extent cx="5877848" cy="3260034"/>
            <wp:effectExtent b="0" l="0" r="0" t="0"/>
            <wp:docPr descr="" title="" id="99" name="Picture"/>
            <a:graphic>
              <a:graphicData uri="http://schemas.openxmlformats.org/drawingml/2006/picture">
                <pic:pic>
                  <pic:nvPicPr>
                    <pic:cNvPr descr="Figures/constructValidItemDesign.png" id="100" name="Picture"/>
                    <pic:cNvPicPr>
                      <a:picLocks noChangeArrowheads="1" noChangeAspect="1"/>
                    </pic:cNvPicPr>
                  </pic:nvPicPr>
                  <pic:blipFill>
                    <a:blip r:embed="rId98"/>
                    <a:stretch>
                      <a:fillRect/>
                    </a:stretch>
                  </pic:blipFill>
                  <pic:spPr bwMode="auto">
                    <a:xfrm>
                      <a:off x="0" y="0"/>
                      <a:ext cx="5877848" cy="3260034"/>
                    </a:xfrm>
                    <a:prstGeom prst="rect">
                      <a:avLst/>
                    </a:prstGeom>
                    <a:noFill/>
                    <a:ln w="9525">
                      <a:noFill/>
                      <a:headEnd/>
                      <a:tailEnd/>
                    </a:ln>
                  </pic:spPr>
                </pic:pic>
              </a:graphicData>
            </a:graphic>
          </wp:inline>
        </w:drawing>
      </w:r>
    </w:p>
    <w:bookmarkEnd w:id="101"/>
    <w:p>
      <w:pPr>
        <w:pStyle w:val="FigureNote"/>
      </w:pPr>
      <w:r>
        <w:rPr>
          <w:i/>
          <w:iCs/>
        </w:rPr>
        <w:t xml:space="preserve">Note</w:t>
      </w:r>
      <w:r>
        <w:t xml:space="preserve">. The age(s) at which an item set is assessed are represented by the letter</w:t>
      </w:r>
      <w:r>
        <w:t xml:space="preserve"> </w:t>
      </w:r>
      <w:r>
        <w:rPr>
          <w:rStyle w:val="VerbatimChar"/>
        </w:rPr>
        <w:t xml:space="preserve">x</w:t>
      </w:r>
      <w:r>
        <w:t xml:space="preserve"> </w:t>
      </w:r>
      <w:r>
        <w:t xml:space="preserve">and a colored box. Some items (</w:t>
      </w:r>
      <w:r>
        <w:t xml:space="preserve">“Core”</w:t>
      </w:r>
      <w:r>
        <w:t xml:space="preserve">, in green) represent the core of the phenotype and are assessed across all ages. Some items (in varying shades of brown) are age-specific and are assessed at only one or a few ages. However, some of the items assessed at a given age are shared with those assessed at adjacent ages, to facilitate linking the scores across ages. 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 Hypothetically, items could be assessed for as many or as few years as desired—as long as the items are construct valid for those ages and there enough age-common items between adjacent ages for linking scores across ages.</w:t>
      </w:r>
    </w:p>
    <w:bookmarkEnd w:id="102"/>
    <w:bookmarkStart w:id="113" w:name="linking-of-scores"/>
    <w:p>
      <w:pPr>
        <w:pStyle w:val="Heading2"/>
      </w:pPr>
      <w:r>
        <w:t xml:space="preserve">Linking of Scores</w:t>
      </w:r>
    </w:p>
    <w:p>
      <w:pPr>
        <w:pStyle w:val="FirstParagraph"/>
      </w:pPr>
      <w:r>
        <w:t xml:space="preserve">After the age-differing measures have been assessed, the scores from the age-differing measures can be linked to be on the same scale.</w:t>
      </w:r>
      <w:r>
        <w:t xml:space="preserve"> </w:t>
      </w:r>
      <w:r>
        <w:t xml:space="preserve">To perform developmental scaling, a variety of approaches can be used, including partial measurement invariance, the alignment method, moderated nonlinear factor analysis (MNLFA), and item response theory (IRT).</w:t>
      </w:r>
      <w:r>
        <w:t xml:space="preserve"> </w:t>
      </w:r>
      <w:r>
        <w:t xml:space="preserve">These are all approaches to harmonization—i.e., linking scores from different measures onto the same scale so they can be meaningfully compared.</w:t>
      </w:r>
      <w:r>
        <w:t xml:space="preserve"> </w:t>
      </w:r>
      <w:r>
        <w:t xml:space="preserve">Harmonization is also used for integrative data analysis, to pool data from different measures in different studies</w:t>
      </w:r>
      <w:r>
        <w:t xml:space="preserve"> </w:t>
      </w:r>
      <w:r>
        <w:t xml:space="preserve">(</w:t>
      </w:r>
      <w:hyperlink w:anchor="ref-Curran2008">
        <w:r>
          <w:rPr>
            <w:rStyle w:val="Hyperlink"/>
          </w:rPr>
          <w:t xml:space="preserve">Curran et al., 2008</w:t>
        </w:r>
      </w:hyperlink>
      <w:r>
        <w:t xml:space="preserve">;</w:t>
      </w:r>
      <w:r>
        <w:t xml:space="preserve"> </w:t>
      </w:r>
      <w:hyperlink w:anchor="ref-McDaniel2023">
        <w:r>
          <w:rPr>
            <w:rStyle w:val="Hyperlink"/>
          </w:rPr>
          <w:t xml:space="preserve">McDaniel et al., 2023</w:t>
        </w:r>
      </w:hyperlink>
      <w:r>
        <w:t xml:space="preserve">)</w:t>
      </w:r>
      <w:r>
        <w:t xml:space="preserve">.</w:t>
      </w:r>
      <w:r>
        <w:t xml:space="preserve"> </w:t>
      </w:r>
      <w:r>
        <w:t xml:space="preserve">The aforementioned approaches to harmonization attempt to estimate latent variables—using either confirmatory factor analysis (CFA) or IRT—on a common scale across ages.</w:t>
      </w:r>
      <w:r>
        <w:t xml:space="preserve"> </w:t>
      </w:r>
      <w:r>
        <w:t xml:space="preserve"> </w:t>
      </w:r>
      <w:r>
        <w:t xml:space="preserve">They do so by trying to align the item parameters for at least a subset of items.</w:t>
      </w:r>
      <w:r>
        <w:t xml:space="preserve"> </w:t>
      </w:r>
      <w:r>
        <w:t xml:space="preserve">In particular, to be able to chart individuals’ change over time, it is helpful to ensure that the scores are on the same number line across time—that is, they have the same scale and location across ages.</w:t>
      </w:r>
      <w:r>
        <w:t xml:space="preserve"> </w:t>
      </w:r>
      <w:r>
        <w:t xml:space="preserve">Scale refers to the size of a unit on the number line.</w:t>
      </w:r>
      <w:r>
        <w:t xml:space="preserve"> </w:t>
      </w:r>
      <w:r>
        <w:t xml:space="preserve">If scores have the same scale across ages, a one-unit difference represents the same amount of the construct at each age.</w:t>
      </w:r>
      <w:r>
        <w:t xml:space="preserve"> </w:t>
      </w:r>
      <w:r>
        <w:t xml:space="preserve">Location refers to the origin or zero point on the number line.</w:t>
      </w:r>
      <w:r>
        <w:t xml:space="preserve"> </w:t>
      </w:r>
      <w:r>
        <w:t xml:space="preserve">If scores have the same location across ages, a score of zero corresponds to the same position on the construct across ages.</w:t>
      </w:r>
      <w:r>
        <w:t xml:space="preserve"> </w:t>
      </w:r>
      <w:r>
        <w:t xml:space="preserve">Collectively, if scores have the same scale and location across ages, the measure is constantly calibrated across ages and the same score corresponds to the same level on the construct across ages.</w:t>
      </w:r>
      <w:r>
        <w:t xml:space="preserve"> </w:t>
      </w:r>
      <w:r>
        <w:t xml:space="preserve">CFA and IRT each have item parameters corresponding to scale and location.</w:t>
      </w:r>
    </w:p>
    <w:p>
      <w:pPr>
        <w:pStyle w:val="BodyText"/>
      </w:pPr>
      <w:r>
        <w:t xml:space="preserve">In CFA, scale is informed by an item’s factor loading, and location is informed by an item’s intercept.</w:t>
      </w:r>
      <w:r>
        <w:t xml:space="preserve"> </w:t>
      </w:r>
      <w:r>
        <w:t xml:space="preserve">A factor loading reflects the strength of association between the item and the latent factor, with larger loadings indicating stronger associations.</w:t>
      </w:r>
      <w:r>
        <w:t xml:space="preserve"> </w:t>
      </w:r>
      <w:r>
        <w:t xml:space="preserve">For instance, an item assessing the extent to which the child hits others would have a stronger factor loading on an externalizing factor than an item assessing the extent to which the child likes ice cream.</w:t>
      </w:r>
      <w:r>
        <w:t xml:space="preserve"> </w:t>
      </w:r>
      <w:r>
        <w:t xml:space="preserve">The intercept is the expected score on the item when the latent factor equals zero.</w:t>
      </w:r>
      <w:r>
        <w:t xml:space="preserve"> </w:t>
      </w:r>
      <w:r>
        <w:t xml:space="preserve">When the latent factor is centered to have a mean of zero, the intercept represents the expected score on the item for someone at the mean level of the construct.</w:t>
      </w:r>
      <w:r>
        <w:t xml:space="preserve"> </w:t>
      </w:r>
      <w:r>
        <w:t xml:space="preserve">Items with lower intercepts tend to be endorsed by individuals with higher levels of the latent factor and therefore often reflect more severe behaviors.</w:t>
      </w:r>
      <w:r>
        <w:t xml:space="preserve"> </w:t>
      </w:r>
      <w:r>
        <w:t xml:space="preserve">For example, an item assessing the extent to which the child sets fires would be expected to have a lower intercept than an item assessing the extent to which the child argues.</w:t>
      </w:r>
    </w:p>
    <w:p>
      <w:pPr>
        <w:pStyle w:val="BodyText"/>
      </w:pPr>
      <w:r>
        <w:t xml:space="preserve">In IRT, scale is informed by an item’s discrimination, and location is informed by an item’s difficulty.</w:t>
      </w:r>
      <w:r>
        <w:t xml:space="preserve"> </w:t>
      </w:r>
      <w:r>
        <w:t xml:space="preserve">An item’s discrimination reflects how strongly the item differentiates individuals at different levels of the construct, with higher discrimination indicating a stronger association with the latent factor.</w:t>
      </w:r>
      <w:r>
        <w:t xml:space="preserve"> </w:t>
      </w:r>
      <w:r>
        <w:t xml:space="preserve">In a two-parameter IRT model, an item’s difficulty reflects the level on the latent factor where there is a 50% probability of endorsing the item.</w:t>
      </w:r>
      <w:r>
        <w:t xml:space="preserve"> </w:t>
      </w:r>
      <w:r>
        <w:t xml:space="preserve">Items with higher difficulty require a higher level of the latent factor to have a 50% probability of endorsing the item and therefore represent more severe behaviors.</w:t>
      </w:r>
    </w:p>
    <w:bookmarkStart w:id="104" w:name="partial-invariance"/>
    <w:p>
      <w:pPr>
        <w:pStyle w:val="Heading3"/>
      </w:pPr>
      <w:r>
        <w:t xml:space="preserve">Partial Invariance</w:t>
      </w:r>
    </w:p>
    <w:p>
      <w:pPr>
        <w:pStyle w:val="FirstParagraph"/>
      </w:pPr>
      <w:r>
        <w:t xml:space="preserve">The partial invariance method can be used to link scores across different measures</w:t>
      </w:r>
      <w:r>
        <w:t xml:space="preserve"> </w:t>
      </w:r>
      <w:r>
        <w:t xml:space="preserve">(</w:t>
      </w:r>
      <w:hyperlink w:anchor="ref-Tyrell2019">
        <w:r>
          <w:rPr>
            <w:rStyle w:val="Hyperlink"/>
          </w:rPr>
          <w:t xml:space="preserve">Tyrell et al., 2019</w:t>
        </w:r>
      </w:hyperlink>
      <w:r>
        <w:t xml:space="preserve">)</w:t>
      </w:r>
      <w:r>
        <w:t xml:space="preserve"> </w:t>
      </w:r>
      <w:r>
        <w:t xml:space="preserve">and can be paired with second-order growth functions to examine individuals’ change over time</w:t>
      </w:r>
      <w:r>
        <w:t xml:space="preserve"> </w:t>
      </w:r>
      <w:r>
        <w:t xml:space="preserve">(</w:t>
      </w:r>
      <w:hyperlink w:anchor="ref-Hancock2008">
        <w:r>
          <w:rPr>
            <w:rStyle w:val="Hyperlink"/>
          </w:rPr>
          <w:t xml:space="preserve">Hancock &amp; Buehl, 2008</w:t>
        </w:r>
      </w:hyperlink>
      <w:r>
        <w:t xml:space="preserve">)</w:t>
      </w:r>
      <w:r>
        <w:t xml:space="preserve">.</w:t>
      </w:r>
      <w:r>
        <w:t xml:space="preserve"> </w:t>
      </w:r>
      <w:r>
        <w:t xml:space="preserve">The partial invariance approach attempts to establish partial strong longitudinal factorial invariance</w:t>
      </w:r>
      <w:r>
        <w:rPr>
          <w:rStyle w:val="FootnoteReference"/>
        </w:rPr>
        <w:footnoteReference w:id="103"/>
      </w:r>
      <w:r>
        <w:t xml:space="preserve">—i.e., invariant intercepts and factor loadings across ages for a subset of items to set the latent factor across ages on a comparable scale, with some items’ intercepts and/or factor loadings allowed to differ across ages.</w:t>
      </w:r>
      <w:r>
        <w:t xml:space="preserve"> </w:t>
      </w:r>
      <w:r>
        <w:t xml:space="preserve">The researcher first identifies which items show invariant factors loadings and/or intercepts and which items show noninvariant factor loadings or intercepts.</w:t>
      </w:r>
      <w:r>
        <w:t xml:space="preserve"> </w:t>
      </w:r>
      <w:r>
        <w:t xml:space="preserve">The researcher then constrains the factors loadings across time for any items with invariant factor loadings, to serve as anchor items and establish an equivalent scale of the measures across time, and allows the factor loadings to differ across time for the items with noninvariant factors loadings.</w:t>
      </w:r>
      <w:r>
        <w:t xml:space="preserve"> </w:t>
      </w:r>
      <w:r>
        <w:t xml:space="preserve">In addition, the researcher constrains the intercepts across time for any items with invariant intercepts, to serve as anchor items and establish an equivalent location of the measures across time, and allows the intercepts to differ across time for the items with noninvariant intercepts.</w:t>
      </w:r>
      <w:r>
        <w:t xml:space="preserve"> </w:t>
      </w:r>
      <w:r>
        <w:t xml:space="preserve">The anchor items thus equate the latent factor over time, preventing drift in the scale calibration and rendering scores comparable across time</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Then, the researcher estimates second-order growth functions (e.g., intercept and slope) of the first-order latent factor across time.</w:t>
      </w:r>
      <w:r>
        <w:t xml:space="preserve"> </w:t>
      </w:r>
      <w:r>
        <w:t xml:space="preserve">The method can allow different indicators across ages, either by dropping or adding indicators or by using item parcels composed of differing items across ages</w:t>
      </w:r>
      <w:r>
        <w:t xml:space="preserve"> </w:t>
      </w:r>
      <w:r>
        <w:t xml:space="preserve">(</w:t>
      </w:r>
      <w:hyperlink w:anchor="ref-Tyrell2019">
        <w:r>
          <w:rPr>
            <w:rStyle w:val="Hyperlink"/>
          </w:rPr>
          <w:t xml:space="preserve">Tyrell et al., 2019</w:t>
        </w:r>
      </w:hyperlink>
      <w:r>
        <w:t xml:space="preserve">)</w:t>
      </w:r>
      <w:r>
        <w:t xml:space="preserve">.</w:t>
      </w:r>
      <w:r>
        <w:t xml:space="preserve"> </w:t>
      </w:r>
      <w:r>
        <w:t xml:space="preserve">However, the partial invariance approach requires identifying—and accurately specifying—invariant items and any noninvariant items, which can be both inefficient and error-prone</w:t>
      </w:r>
      <w:r>
        <w:t xml:space="preserve"> </w:t>
      </w:r>
      <w:r>
        <w:t xml:space="preserve">(</w:t>
      </w:r>
      <w:hyperlink w:anchor="ref-ChenPM">
        <w:r>
          <w:rPr>
            <w:rStyle w:val="Hyperlink"/>
          </w:rPr>
          <w:t xml:space="preserve">S. M. Chen &amp; Bauer, in pressb</w:t>
        </w:r>
      </w:hyperlink>
      <w:r>
        <w:t xml:space="preserve">;</w:t>
      </w:r>
      <w:r>
        <w:t xml:space="preserve"> </w:t>
      </w:r>
      <w:hyperlink w:anchor="ref-Lai2023">
        <w:r>
          <w:rPr>
            <w:rStyle w:val="Hyperlink"/>
          </w:rPr>
          <w:t xml:space="preserve">Lai, 2023</w:t>
        </w:r>
      </w:hyperlink>
      <w:r>
        <w:t xml:space="preserve">)</w:t>
      </w:r>
      <w:r>
        <w:t xml:space="preserve">.</w:t>
      </w:r>
      <w:r>
        <w:t xml:space="preserve"> </w:t>
      </w:r>
      <w:r>
        <w:t xml:space="preserve">Moreover, the partial invariance approach tends not to work as well when a large proportion of items are noninvariant</w:t>
      </w:r>
      <w:r>
        <w:t xml:space="preserve"> </w:t>
      </w:r>
      <w:r>
        <w:t xml:space="preserve">(</w:t>
      </w:r>
      <w:hyperlink w:anchor="ref-Lai2023">
        <w:r>
          <w:rPr>
            <w:rStyle w:val="Hyperlink"/>
          </w:rPr>
          <w:t xml:space="preserve">Lai, 2023</w:t>
        </w:r>
      </w:hyperlink>
      <w:r>
        <w:t xml:space="preserve">)</w:t>
      </w:r>
      <w:r>
        <w:t xml:space="preserve">, there are many timepoints, there is considerable variability in the numbers of responses provided to items such as might occur due to missing data or when not all items are assessed at all timepoints, or the researcher wants to consider DIF as a function of multiple variables or continuous variables</w:t>
      </w:r>
      <w:r>
        <w:t xml:space="preserve"> </w:t>
      </w:r>
      <w:r>
        <w:t xml:space="preserve">(</w:t>
      </w:r>
      <w:hyperlink w:anchor="ref-ChenPM">
        <w:r>
          <w:rPr>
            <w:rStyle w:val="Hyperlink"/>
          </w:rPr>
          <w:t xml:space="preserve">S. M. Chen &amp; Bauer, in pressb</w:t>
        </w:r>
      </w:hyperlink>
      <w:r>
        <w:t xml:space="preserve">)</w:t>
      </w:r>
      <w:r>
        <w:t xml:space="preserve">.</w:t>
      </w:r>
    </w:p>
    <w:bookmarkEnd w:id="104"/>
    <w:bookmarkStart w:id="105" w:name="alignment-optimization"/>
    <w:p>
      <w:pPr>
        <w:pStyle w:val="Heading3"/>
      </w:pPr>
      <w:r>
        <w:t xml:space="preserve">Alignment Optimization</w:t>
      </w:r>
    </w:p>
    <w:p>
      <w:pPr>
        <w:pStyle w:val="FirstParagraph"/>
      </w:pPr>
      <w:r>
        <w:t xml:space="preserve">The alignment optimization method</w:t>
      </w:r>
      <w:r>
        <w:t xml:space="preserve"> </w:t>
      </w:r>
      <w:r>
        <w:t xml:space="preserve">(</w:t>
      </w:r>
      <w:hyperlink w:anchor="ref-Muthen2014">
        <w:r>
          <w:rPr>
            <w:rStyle w:val="Hyperlink"/>
          </w:rPr>
          <w:t xml:space="preserve">Muthén &amp; Asparouhov, 2014</w:t>
        </w:r>
      </w:hyperlink>
      <w:r>
        <w:t xml:space="preserve">)</w:t>
      </w:r>
      <w:r>
        <w:t xml:space="preserve"> </w:t>
      </w:r>
      <w:r>
        <w:t xml:space="preserve">has been used to link scores across time</w:t>
      </w:r>
      <w:r>
        <w:t xml:space="preserve"> </w:t>
      </w:r>
      <w:r>
        <w:t xml:space="preserve">(</w:t>
      </w:r>
      <w:hyperlink w:anchor="ref-Lai2023">
        <w:r>
          <w:rPr>
            <w:rStyle w:val="Hyperlink"/>
          </w:rPr>
          <w:t xml:space="preserve">Lai, 2023</w:t>
        </w:r>
      </w:hyperlink>
      <w:r>
        <w:t xml:space="preserve">)</w:t>
      </w:r>
      <w:r>
        <w:t xml:space="preserve">.</w:t>
      </w:r>
      <w:r>
        <w:t xml:space="preserve"> </w:t>
      </w:r>
      <w:r>
        <w:t xml:space="preserve">The alignment optimization method within confirmatory factor analysis attempts to identify a model with approximate longitudinal factorial invariance—that is, to retain any instances of large noninvariance across ages and to keep other parameters approximately invariant across ages—to adjust for violations of invariance.</w:t>
      </w:r>
      <w:r>
        <w:t xml:space="preserve"> </w:t>
      </w:r>
      <w:r>
        <w:t xml:space="preserve">The approach uses a component loss function to align the item parameters across ages so that the scores on the latent factors are on the same scale.</w:t>
      </w:r>
      <w:r>
        <w:t xml:space="preserve"> </w:t>
      </w:r>
      <w:r>
        <w:t xml:space="preserve">Unlike the partial invariance method, the alignment method does not require a priori identification of any noninvariant items</w:t>
      </w:r>
      <w:r>
        <w:t xml:space="preserve"> </w:t>
      </w:r>
      <w:r>
        <w:t xml:space="preserve">(</w:t>
      </w:r>
      <w:hyperlink w:anchor="ref-Lai2023">
        <w:r>
          <w:rPr>
            <w:rStyle w:val="Hyperlink"/>
          </w:rPr>
          <w:t xml:space="preserve">Lai, 2023</w:t>
        </w:r>
      </w:hyperlink>
      <w:r>
        <w:t xml:space="preserve">)</w:t>
      </w:r>
      <w:r>
        <w:t xml:space="preserve">.</w:t>
      </w:r>
    </w:p>
    <w:bookmarkEnd w:id="105"/>
    <w:bookmarkStart w:id="106" w:name="moderated-nonlinear-factor-analysis"/>
    <w:p>
      <w:pPr>
        <w:pStyle w:val="Heading3"/>
      </w:pPr>
      <w:r>
        <w:t xml:space="preserve">Moderated Nonlinear Factor Analysis</w:t>
      </w:r>
    </w:p>
    <w:p>
      <w:pPr>
        <w:pStyle w:val="FirstParagraph"/>
      </w:pPr>
      <w:r>
        <w:t xml:space="preserve">MNLFA</w:t>
      </w:r>
      <w:r>
        <w:t xml:space="preserve"> </w:t>
      </w:r>
      <w:r>
        <w:t xml:space="preserve">(</w:t>
      </w:r>
      <w:hyperlink w:anchor="ref-Bauer2017">
        <w:r>
          <w:rPr>
            <w:rStyle w:val="Hyperlink"/>
          </w:rPr>
          <w:t xml:space="preserve">Bauer, 2017</w:t>
        </w:r>
      </w:hyperlink>
      <w:r>
        <w:t xml:space="preserve">)</w:t>
      </w:r>
      <w:r>
        <w:t xml:space="preserve"> </w:t>
      </w:r>
      <w:r>
        <w:t xml:space="preserve">has also been used to link scores across different measures</w:t>
      </w:r>
      <w:r>
        <w:t xml:space="preserve"> </w:t>
      </w:r>
      <w:r>
        <w:t xml:space="preserve">(</w:t>
      </w:r>
      <w:hyperlink w:anchor="ref-Curran2014">
        <w:r>
          <w:rPr>
            <w:rStyle w:val="Hyperlink"/>
          </w:rPr>
          <w:t xml:space="preserve">Curran et al., 2014</w:t>
        </w:r>
      </w:hyperlink>
      <w:r>
        <w:t xml:space="preserve">)</w:t>
      </w:r>
      <w:r>
        <w:t xml:space="preserve">, including across ages</w:t>
      </w:r>
      <w:r>
        <w:t xml:space="preserve"> </w:t>
      </w:r>
      <w:r>
        <w:t xml:space="preserve">(</w:t>
      </w:r>
      <w:hyperlink w:anchor="ref-ChenPM">
        <w:r>
          <w:rPr>
            <w:rStyle w:val="Hyperlink"/>
          </w:rPr>
          <w:t xml:space="preserve">S. M. Chen &amp; Bauer, in pressb</w:t>
        </w:r>
      </w:hyperlink>
      <w:r>
        <w:t xml:space="preserve">,</w:t>
      </w:r>
      <w:r>
        <w:t xml:space="preserve"> </w:t>
      </w:r>
      <w:hyperlink w:anchor="ref-ChenMBR">
        <w:r>
          <w:rPr>
            <w:rStyle w:val="Hyperlink"/>
          </w:rPr>
          <w:t xml:space="preserve">in pressa</w:t>
        </w:r>
      </w:hyperlink>
      <w:r>
        <w:t xml:space="preserve">;</w:t>
      </w:r>
      <w:r>
        <w:t xml:space="preserve"> </w:t>
      </w:r>
      <w:hyperlink w:anchor="ref-Student2025">
        <w:r>
          <w:rPr>
            <w:rStyle w:val="Hyperlink"/>
          </w:rPr>
          <w:t xml:space="preserve">Student, 2025</w:t>
        </w:r>
      </w:hyperlink>
      <w:r>
        <w:t xml:space="preserve">)</w:t>
      </w:r>
      <w:r>
        <w:t xml:space="preserve">.</w:t>
      </w:r>
      <w:r>
        <w:t xml:space="preserve"> </w:t>
      </w:r>
      <w:r>
        <w:t xml:space="preserve">Unlike the partial invariance approach, MNLFA represents the measurement model in continuous time (rather than discrete time).</w:t>
      </w:r>
      <w:r>
        <w:t xml:space="preserve"> </w:t>
      </w:r>
      <w:r>
        <w:t xml:space="preserve">MNLFA allows simultaneous estimation of growth functions while estimating and accounting for DIF effects.</w:t>
      </w:r>
      <w:r>
        <w:t xml:space="preserve"> </w:t>
      </w:r>
      <w:r>
        <w:t xml:space="preserve">It allows estimating DIF as a function of time and as a function of multiple variables, including categorical and continuous variables.</w:t>
      </w:r>
      <w:r>
        <w:t xml:space="preserve"> </w:t>
      </w:r>
      <w:r>
        <w:t xml:space="preserve">Bayesian approaches can be used to apply MNLFA.</w:t>
      </w:r>
      <w:r>
        <w:t xml:space="preserve"> </w:t>
      </w:r>
      <w:r>
        <w:t xml:space="preserve">A key benefit of Bayesian approaches is the use of regularizing priors that allow estimating the model without having to identify noninvariant/DIF items and anchor items in advance</w:t>
      </w:r>
      <w:r>
        <w:t xml:space="preserve"> </w:t>
      </w:r>
      <w:r>
        <w:t xml:space="preserve">(</w:t>
      </w:r>
      <w:hyperlink w:anchor="ref-ChenPM">
        <w:r>
          <w:rPr>
            <w:rStyle w:val="Hyperlink"/>
          </w:rPr>
          <w:t xml:space="preserve">S. M. Chen &amp; Bauer, in pressb</w:t>
        </w:r>
      </w:hyperlink>
      <w:r>
        <w:t xml:space="preserve">,</w:t>
      </w:r>
      <w:r>
        <w:t xml:space="preserve"> </w:t>
      </w:r>
      <w:hyperlink w:anchor="ref-ChenMBR">
        <w:r>
          <w:rPr>
            <w:rStyle w:val="Hyperlink"/>
          </w:rPr>
          <w:t xml:space="preserve">in pressa</w:t>
        </w:r>
      </w:hyperlink>
      <w:r>
        <w:t xml:space="preserve">)</w:t>
      </w:r>
      <w:r>
        <w:t xml:space="preserve">.</w:t>
      </w:r>
      <w:r>
        <w:t xml:space="preserve"> </w:t>
      </w:r>
      <w:r>
        <w:t xml:space="preserve">Using regularization, unimportant DIF effects are shunken toward zero—while retaining larger DIF effects—thus identifying potential anchor items without having to specify them in advance</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In addition, Bayesian approaches are often better suited to handle small sample sizes and data with sparse responses</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Using a simulation,</w:t>
      </w:r>
      <w:r>
        <w:t xml:space="preserve"> </w:t>
      </w:r>
      <w:r>
        <w:t xml:space="preserve">S. M. Chen and Bauer (</w:t>
      </w:r>
      <w:hyperlink w:anchor="ref-ChenMBR">
        <w:r>
          <w:rPr>
            <w:rStyle w:val="Hyperlink"/>
          </w:rPr>
          <w:t xml:space="preserve">in pressa</w:t>
        </w:r>
      </w:hyperlink>
      <w:r>
        <w:t xml:space="preserve">)</w:t>
      </w:r>
      <w:r>
        <w:t xml:space="preserve"> </w:t>
      </w:r>
      <w:r>
        <w:t xml:space="preserve">found that MNLFA estimated change more accurately than traditional first- or second-order growth curve models.</w:t>
      </w:r>
    </w:p>
    <w:bookmarkEnd w:id="106"/>
    <w:bookmarkStart w:id="112" w:name="item-response-theory"/>
    <w:p>
      <w:pPr>
        <w:pStyle w:val="Heading3"/>
      </w:pPr>
      <w:r>
        <w:t xml:space="preserve">Item Response Theory</w:t>
      </w:r>
    </w:p>
    <w:p>
      <w:pPr>
        <w:pStyle w:val="FirstParagraph"/>
      </w:pPr>
      <w:r>
        <w:t xml:space="preserve">IRT can also be used to link scores across different measures</w:t>
      </w:r>
      <w:r>
        <w:t xml:space="preserve"> </w:t>
      </w:r>
      <w:r>
        <w:t xml:space="preserve">(</w:t>
      </w:r>
      <w:hyperlink w:anchor="ref-Kolen2014">
        <w:r>
          <w:rPr>
            <w:rStyle w:val="Hyperlink"/>
          </w:rPr>
          <w:t xml:space="preserve">Kolen &amp; Brennan, 2014</w:t>
        </w:r>
      </w:hyperlink>
      <w:r>
        <w:t xml:space="preserve">)</w:t>
      </w:r>
      <w:r>
        <w:t xml:space="preserve">.</w:t>
      </w:r>
      <w:r>
        <w:t xml:space="preserve"> </w:t>
      </w:r>
      <w:r>
        <w:t xml:space="preserve">The IRT approach to developmetal scaling is depicted in</w:t>
      </w:r>
      <w:r>
        <w:t xml:space="preserve"> </w:t>
      </w:r>
      <w:hyperlink w:anchor="fig-linking">
        <w:r>
          <w:rPr>
            <w:rStyle w:val="Hyperlink"/>
          </w:rPr>
          <w:t xml:space="preserve">Figure 9</w:t>
        </w:r>
      </w:hyperlink>
      <w:r>
        <w:t xml:space="preserve">.</w:t>
      </w:r>
      <w:r>
        <w:t xml:space="preserve"> </w:t>
      </w:r>
      <w:r>
        <w:t xml:space="preserve"> </w:t>
      </w:r>
      <w:r>
        <w:t xml:space="preserve">The IRT approach to developmental scaling identifies scaling parameters that minimize the differences between the probability of a person endorsing the age-common items across two measures, at a given construct level.</w:t>
      </w:r>
      <w:r>
        <w:t xml:space="preserve"> </w:t>
      </w:r>
      <w:r>
        <w:t xml:space="preserve">That is, IRT links measures’ scales based on the difficulty and discrimination of the age-common items.</w:t>
      </w:r>
      <w:r>
        <w:t xml:space="preserve"> </w:t>
      </w:r>
      <w:r>
        <w:t xml:space="preserve">In developmental scaling, scores on the construct-valid items at the reference age set the scale, the age-common items adjusts subsequent scores to that scale, and all construct-valid items (i.e., both age-common and age-unique items) at a given timepoint is used to estimate each person’s score on that scale.</w:t>
      </w:r>
      <w:r>
        <w:t xml:space="preserve"> </w:t>
      </w:r>
      <w:r>
        <w:t xml:space="preserve">Thus, the age-common items are used to determine the general form of change on an identical scale, but all developmentally relevant, construct-valid items are used to estimate each person’s construct level on this scale.</w:t>
      </w:r>
      <w:r>
        <w:t xml:space="preserve"> </w:t>
      </w:r>
      <w:r>
        <w:t xml:space="preserve">Traditionally IRT represents the measurement model in discrete time.</w:t>
      </w:r>
      <w:r>
        <w:t xml:space="preserve"> </w:t>
      </w:r>
      <w:r>
        <w:t xml:space="preserve">Like MNFLA, however, IRT (particularly in the mixed model formulation) can represent the measurement model in continuous time and allows testing DIF over time and as a function of multiple variables and continuous variables.</w:t>
      </w:r>
      <w:r>
        <w:t xml:space="preserve"> </w:t>
      </w:r>
      <w:r>
        <w:t xml:space="preserve">Moreover, like MNLFA, it allows simultaneous estimation of growth functions while estimating and accounting for DIF effects.</w:t>
      </w:r>
      <w:r>
        <w:t xml:space="preserve"> </w:t>
      </w:r>
      <w:r>
        <w:t xml:space="preserve">In addition, like MNFLA, IRT allows Bayesian estimation and regularizizing priors to identify anchor items without having to specify them in advance.</w:t>
      </w:r>
    </w:p>
    <w:bookmarkStart w:id="110" w:name="fig-linking"/>
    <w:p>
      <w:pPr>
        <w:pStyle w:val="FigureTitle"/>
      </w:pPr>
      <w:r>
        <w:t xml:space="preserve">Figure 9</w:t>
      </w:r>
    </w:p>
    <w:p>
      <w:pPr>
        <w:pStyle w:val="Caption"/>
      </w:pPr>
      <w:r>
        <w:t xml:space="preserve">Example of Linking Scores From Measures Across Ages Using the Item Response Theory Approach to Developmental Scaling</w:t>
      </w:r>
    </w:p>
    <w:p>
      <w:pPr>
        <w:pStyle w:val="FigureWithNote"/>
      </w:pPr>
      <w:r>
        <w:drawing>
          <wp:inline>
            <wp:extent cx="5503598" cy="3669065"/>
            <wp:effectExtent b="0" l="0" r="0" t="0"/>
            <wp:docPr descr="" title="" id="108" name="Picture"/>
            <a:graphic>
              <a:graphicData uri="http://schemas.openxmlformats.org/drawingml/2006/picture">
                <pic:pic>
                  <pic:nvPicPr>
                    <pic:cNvPr descr="Figures/Petersen2021_figure1.png" id="109" name="Picture"/>
                    <pic:cNvPicPr>
                      <a:picLocks noChangeArrowheads="1" noChangeAspect="1"/>
                    </pic:cNvPicPr>
                  </pic:nvPicPr>
                  <pic:blipFill>
                    <a:blip r:embed="rId107"/>
                    <a:stretch>
                      <a:fillRect/>
                    </a:stretch>
                  </pic:blipFill>
                  <pic:spPr bwMode="auto">
                    <a:xfrm>
                      <a:off x="0" y="0"/>
                      <a:ext cx="5503598" cy="3669065"/>
                    </a:xfrm>
                    <a:prstGeom prst="rect">
                      <a:avLst/>
                    </a:prstGeom>
                    <a:noFill/>
                    <a:ln w="9525">
                      <a:noFill/>
                      <a:headEnd/>
                      <a:tailEnd/>
                    </a:ln>
                  </pic:spPr>
                </pic:pic>
              </a:graphicData>
            </a:graphic>
          </wp:inline>
        </w:drawing>
      </w:r>
    </w:p>
    <w:bookmarkEnd w:id="110"/>
    <w:p>
      <w:pPr>
        <w:pStyle w:val="FigureNote"/>
      </w:pPr>
      <w:r>
        <w:rPr>
          <w:i/>
          <w:iCs/>
        </w:rPr>
        <w:t xml:space="preserve">Note</w:t>
      </w:r>
      <w:r>
        <w:t xml:space="preserve">. The figure illustrates the effect of linking the latent externalizing problems scores, θ, across ages, using developmental scaling. The left panel illustrates the test characteristic curves representing the model-implied proportion out of total possible scores across the latent externalizing problems score at age 4 and 5, before the linking process. The right panel illustrates the test characteristic curves after the linking process. The shading between the age 4 and age 5 test characteristic curves represents differences between the two test characteristic curves in terms of discrimination and/or severity, where larger differences reflect scores that are less comparable. Linking minimizes differences between the discrimination and severity of the age-common items. Discrimination is depicted by the steepness of the slope at the inflection point of the test characteristic curve. Severity is represented by the value on the x-axis at the inflection point of the test characteristic curve. The left panel indicates that the externalizing problem items showed higher severity (i.e., its inflection point is further right) and somewhat stronger discrimination (i.e., its slope is steeper) at age 5 than at age 4. The right panel shows considerably smaller differences between the two test characteristic curves, which provides empirical evidence that the linking successfully placed the latent externalizing problem scores across age on a more comparable scale (i.e., more similar discrimination and severity of the age-common items). (Figure reprinted from</w:t>
      </w:r>
      <w:r>
        <w:t xml:space="preserve"> </w:t>
      </w:r>
      <w:r>
        <w:t xml:space="preserve">Petersen and LeBeau (</w:t>
      </w:r>
      <w:hyperlink w:anchor="ref-Petersen2021b">
        <w:r>
          <w:rPr>
            <w:rStyle w:val="Hyperlink"/>
          </w:rPr>
          <w:t xml:space="preserve">2021</w:t>
        </w:r>
      </w:hyperlink>
      <w:r>
        <w:t xml:space="preserve">)</w:t>
      </w:r>
      <w:r>
        <w:t xml:space="preserve">, Figure 1, p. 74. 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1">
        <w:r>
          <w:rPr>
            <w:rStyle w:val="Hyperlink"/>
          </w:rPr>
          <w:t xml:space="preserve">https://doi.org/10.1037/edu0000461</w:t>
        </w:r>
      </w:hyperlink>
      <w:r>
        <w:t xml:space="preserve">).</w:t>
      </w:r>
    </w:p>
    <w:p>
      <w:pPr>
        <w:pStyle w:val="BodyText"/>
      </w:pPr>
      <w:r>
        <w:t xml:space="preserve">Nevertheless, for many of these approaches, at least one anchor item is necessary to link the scale of the latent factor across timepoints</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Moreover, when treating time continuously, the functional form of any DIF as a function of time must be correctly specified</w:t>
      </w:r>
      <w:r>
        <w:t xml:space="preserve"> </w:t>
      </w:r>
      <w:r>
        <w:t xml:space="preserve">(</w:t>
      </w:r>
      <w:hyperlink w:anchor="ref-ChenPM">
        <w:r>
          <w:rPr>
            <w:rStyle w:val="Hyperlink"/>
          </w:rPr>
          <w:t xml:space="preserve">S. M. Chen &amp; Bauer, in pressb</w:t>
        </w:r>
      </w:hyperlink>
      <w:r>
        <w:t xml:space="preserve">)</w:t>
      </w:r>
      <w:r>
        <w:t xml:space="preserve">.</w:t>
      </w:r>
    </w:p>
    <w:bookmarkEnd w:id="112"/>
    <w:bookmarkEnd w:id="113"/>
    <w:bookmarkEnd w:id="114"/>
    <w:bookmarkStart w:id="130" w:name="other-key-challenges-to-address"/>
    <w:p>
      <w:pPr>
        <w:pStyle w:val="Heading1"/>
      </w:pPr>
      <w:r>
        <w:t xml:space="preserve">Other Key Challenges to Address</w:t>
      </w:r>
    </w:p>
    <w:p>
      <w:pPr>
        <w:pStyle w:val="FirstParagraph"/>
      </w:pPr>
      <w:r>
        <w:t xml:space="preserve">In addition to linking scores across time to be on the same scale, to study the development of psychopathology across the lifespan, there are additional key challenges to address, including considering and/or addressing potential confounds of change, factorial invariance, integration across multiple sources, and obsolescence of items.</w:t>
      </w:r>
    </w:p>
    <w:bookmarkStart w:id="125" w:name="sec-potential-confounds-of-change"/>
    <w:p>
      <w:pPr>
        <w:pStyle w:val="Heading2"/>
      </w:pPr>
      <w:r>
        <w:t xml:space="preserve">Potential Confounds of Change</w:t>
      </w:r>
    </w:p>
    <w:p>
      <w:pPr>
        <w:pStyle w:val="FirstParagraph"/>
      </w:pPr>
      <w:r>
        <w:t xml:space="preserve">It is important for longitudinal research to consider and, to the extent possible, account for potential confounds of change, such as practice effects, period and cohort effects, measurement error, selective attrition, and changes in the meaning of the scores</w:t>
      </w:r>
      <w:r>
        <w:t xml:space="preserve"> </w:t>
      </w:r>
      <w:r>
        <w:t xml:space="preserve">(</w:t>
      </w:r>
      <w:hyperlink w:anchor="ref-Hertzog2003">
        <w:r>
          <w:rPr>
            <w:rStyle w:val="Hyperlink"/>
          </w:rPr>
          <w:t xml:space="preserve">Hertzog &amp; Nesselroade, 2003</w:t>
        </w:r>
      </w:hyperlink>
      <w:r>
        <w:t xml:space="preserve">)</w:t>
      </w:r>
      <w:r>
        <w:t xml:space="preserve">.</w:t>
      </w:r>
      <w:r>
        <w:t xml:space="preserve"> </w:t>
      </w:r>
      <w:r>
        <w:t xml:space="preserve">By confound of change, we mean that such effects can make it appear that people have changed in their level on the construct when, it reality, they have not changed (or vice versa).</w:t>
      </w:r>
    </w:p>
    <w:bookmarkStart w:id="115" w:name="practiceretest-effects"/>
    <w:p>
      <w:pPr>
        <w:pStyle w:val="Heading3"/>
      </w:pPr>
      <w:r>
        <w:t xml:space="preserve">Practice/Retest Effects</w:t>
      </w:r>
    </w:p>
    <w:p>
      <w:pPr>
        <w:pStyle w:val="FirstParagraph"/>
      </w:pPr>
      <w:r>
        <w:t xml:space="preserve">Practice effects (also called retest effects) occur to the extent that a person’s score changes due to repeated assessment rather than due to changes in their construct level.</w:t>
      </w:r>
      <w:r>
        <w:t xml:space="preserve"> </w:t>
      </w:r>
      <w:r>
        <w:t xml:space="preserve">For instance, if researchers intend to study people’s intelligence across development and they use the same measure and stimuli at each measurement occasion, it is possible that people may perform better over time because they are learning the task and thus improving their score—even if their intelligence has not changed.</w:t>
      </w:r>
      <w:r>
        <w:t xml:space="preserve"> </w:t>
      </w:r>
      <w:r>
        <w:t xml:space="preserve">In a longitudinal study of externalizing problems using repeated surveys, retest effects might be most likely be detected in the form of decreases for a person across ages, which may reflect fatigue in reporting</w:t>
      </w:r>
      <w:r>
        <w:t xml:space="preserve"> </w:t>
      </w:r>
      <w:r>
        <w:t xml:space="preserve">(</w:t>
      </w:r>
      <w:hyperlink w:anchor="ref-Averdijk2014">
        <w:r>
          <w:rPr>
            <w:rStyle w:val="Hyperlink"/>
          </w:rPr>
          <w:t xml:space="preserve">Averdijk, 2014</w:t>
        </w:r>
      </w:hyperlink>
      <w:r>
        <w:t xml:space="preserve">)</w:t>
      </w:r>
      <w:r>
        <w:t xml:space="preserve">.</w:t>
      </w:r>
      <w:r>
        <w:t xml:space="preserve"> </w:t>
      </w:r>
      <w:r>
        <w:t xml:space="preserve">Lower ratings for an individual across time may be especially likely if the surveys include branching logic such that the respondent learns that additional items appear whenever they endorse an item (and that the additional items would not have appeared had they not endorsed the item).</w:t>
      </w:r>
      <w:r>
        <w:t xml:space="preserve"> </w:t>
      </w:r>
      <w:r>
        <w:t xml:space="preserve">Ways to reduce retest effects include changing the measure and/or stimuli</w:t>
      </w:r>
      <w:r>
        <w:t xml:space="preserve"> </w:t>
      </w:r>
      <w:r>
        <w:t xml:space="preserve">(</w:t>
      </w:r>
      <w:hyperlink w:anchor="ref-Tyrell2019">
        <w:r>
          <w:rPr>
            <w:rStyle w:val="Hyperlink"/>
          </w:rPr>
          <w:t xml:space="preserve">Tyrell et al., 2019</w:t>
        </w:r>
      </w:hyperlink>
      <w:r>
        <w:t xml:space="preserve">)</w:t>
      </w:r>
      <w:r>
        <w:t xml:space="preserve"> </w:t>
      </w:r>
      <w:r>
        <w:t xml:space="preserve">and increasing the retest interval.</w:t>
      </w:r>
      <w:r>
        <w:t xml:space="preserve"> </w:t>
      </w:r>
      <w:r>
        <w:t xml:space="preserve">Thus, an added benefit of accounting for heterotypic continuity (by changing the measure across development to align with changes in the construct manifestation) is the reduction of retest effects.</w:t>
      </w:r>
      <w:r>
        <w:t xml:space="preserve"> </w:t>
      </w:r>
      <w:r>
        <w:t xml:space="preserve">A way to account for retest effects is through the use of accelerated longitudinal (i.e., cross-sequential) designs that can separately estimate the effects of age versus timepoint because, unlike in a single-cohort longitudinal design, age and timepoint are decoupled</w:t>
      </w:r>
      <w:r>
        <w:t xml:space="preserve"> </w:t>
      </w:r>
      <w:r>
        <w:t xml:space="preserve">(</w:t>
      </w:r>
      <w:hyperlink w:anchor="ref-Ferrer2004">
        <w:r>
          <w:rPr>
            <w:rStyle w:val="Hyperlink"/>
          </w:rPr>
          <w:t xml:space="preserve">Ferrer et al., 2004</w:t>
        </w:r>
      </w:hyperlink>
      <w:r>
        <w:t xml:space="preserve">)</w:t>
      </w:r>
      <w:r>
        <w:t xml:space="preserve">.</w:t>
      </w:r>
    </w:p>
    <w:bookmarkEnd w:id="115"/>
    <w:bookmarkStart w:id="121" w:name="period-and-cohort-effects"/>
    <w:p>
      <w:pPr>
        <w:pStyle w:val="Heading3"/>
      </w:pPr>
      <w:r>
        <w:t xml:space="preserve">Period and Cohort Effects</w:t>
      </w:r>
    </w:p>
    <w:p>
      <w:pPr>
        <w:pStyle w:val="FirstParagraph"/>
      </w:pPr>
      <w:r>
        <w:t xml:space="preserve">Researchers are commonly interested in how people develop as a function of age.</w:t>
      </w:r>
      <w:r>
        <w:t xml:space="preserve"> </w:t>
      </w:r>
      <w:r>
        <w:t xml:space="preserve">Age refers to a person’s chronological age at the time of measurement.</w:t>
      </w:r>
      <w:r>
        <w:t xml:space="preserve"> </w:t>
      </w:r>
      <w:r>
        <w:t xml:space="preserve">Age is a proxy for development—a stand-in for the myriad ways one’s biology and social roles—and one’s corresponding employment, income, and family structure—change as people age</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However, apparent age-related differences in a cross-sectional or longitudinal study could reflect period or cohort effects instead of development.</w:t>
      </w:r>
      <w:r>
        <w:t xml:space="preserve"> </w:t>
      </w:r>
      <w:r>
        <w:t xml:space="preserve">Thus, it is important to consider and, to the extent possible, account for period and cohort effects.</w:t>
      </w:r>
    </w:p>
    <w:p>
      <w:pPr>
        <w:pStyle w:val="BodyText"/>
      </w:pPr>
      <w:r>
        <w:t xml:space="preserve">Period refers to the historical time at which measurement occurs.</w:t>
      </w:r>
      <w:r>
        <w:t xml:space="preserve"> </w:t>
      </w:r>
      <w:r>
        <w:t xml:space="preserve">If a group of people are assessed during a given time period (e.g., during a war, recession, pandemic, or stressor), their scores could be influenced by the historical time period.</w:t>
      </w:r>
      <w:r>
        <w:t xml:space="preserve"> </w:t>
      </w:r>
      <w:r>
        <w:t xml:space="preserve">The extent to which scores are attributable to the time period (e.g., the economic situation or prevailing standard of living) in which they are assessed is called a period effect.</w:t>
      </w:r>
    </w:p>
    <w:p>
      <w:pPr>
        <w:pStyle w:val="BodyText"/>
      </w:pPr>
      <w:r>
        <w:t xml:space="preserve">Cohort refers to a group of people who experience similar events or historical contexts at similar ages.</w:t>
      </w:r>
      <w:r>
        <w:t xml:space="preserve"> </w:t>
      </w:r>
      <w:r>
        <w:t xml:space="preserve">Cohort commonly refers to birth cohort, which represents the group of people who were born around the same time.</w:t>
      </w:r>
      <w:r>
        <w:t xml:space="preserve"> </w:t>
      </w:r>
      <w:r>
        <w:t xml:space="preserve">If a group of people were born around the same time (e.g., in 1940), their scores may differ from those of people born in other eras because they experienced different historical, social, educational, economic, or technological contexts during development.</w:t>
      </w:r>
      <w:r>
        <w:t xml:space="preserve"> </w:t>
      </w:r>
      <w:r>
        <w:t xml:space="preserve">The extent to which scores are attributable to an individual’s birth cohort is called a cohort effect—that is,</w:t>
      </w:r>
      <w:r>
        <w:t xml:space="preserve"> </w:t>
      </w:r>
      <w:r>
        <w:t xml:space="preserve">“the (enduring, constant) effects of having been a certain age at a certain point in historic time.”</w:t>
      </w:r>
      <w:r>
        <w:t xml:space="preserve"> </w:t>
      </w:r>
      <w:r>
        <w:t xml:space="preserve">(</w:t>
      </w:r>
      <w:hyperlink w:anchor="ref-Rohrer2025">
        <w:r>
          <w:rPr>
            <w:rStyle w:val="Hyperlink"/>
          </w:rPr>
          <w:t xml:space="preserve">Rohrer, 2025, p. 2</w:t>
        </w:r>
      </w:hyperlink>
      <w:r>
        <w:t xml:space="preserve">)</w:t>
      </w:r>
      <w:r>
        <w:t xml:space="preserve">.</w:t>
      </w:r>
      <w:r>
        <w:t xml:space="preserve"> </w:t>
      </w:r>
      <w:r>
        <w:t xml:space="preserve">Period and cohort—like age—are proxy variables for other, causal processes.</w:t>
      </w:r>
    </w:p>
    <w:p>
      <w:pPr>
        <w:pStyle w:val="BodyText"/>
      </w:pPr>
      <w:r>
        <w:t xml:space="preserve">Part of the challenge of estimating the unique contributions of age, period, and cohort is that they are deterministically related.</w:t>
      </w:r>
      <w:r>
        <w:t xml:space="preserve"> </w:t>
      </w:r>
      <w:r>
        <w:t xml:space="preserve">If you know two of these (e.g., age and period), you can determine the third (e.g., cohort).</w:t>
      </w:r>
      <w:r>
        <w:t xml:space="preserve"> </w:t>
      </w:r>
      <w:r>
        <w:t xml:space="preserve">That is,</w:t>
      </w:r>
      <w:r>
        <w:t xml:space="preserve"> </w:t>
      </w:r>
      <m:oMath>
        <m:r>
          <m:rPr>
            <m:nor/>
            <m:sty m:val="p"/>
          </m:rPr>
          <m:t>age</m:t>
        </m:r>
        <m:r>
          <m:rPr>
            <m:sty m:val="p"/>
          </m:rPr>
          <m:t>=</m:t>
        </m:r>
        <m:r>
          <m:rPr>
            <m:nor/>
            <m:sty m:val="p"/>
          </m:rPr>
          <m:t>period</m:t>
        </m:r>
        <m:r>
          <m:rPr>
            <m:sty m:val="p"/>
          </m:rPr>
          <m:t>−</m:t>
        </m:r>
        <m:r>
          <m:rPr>
            <m:nor/>
            <m:sty m:val="p"/>
          </m:rPr>
          <m:t>cohort</m:t>
        </m:r>
      </m:oMath>
      <w:r>
        <w:t xml:space="preserve">.</w:t>
      </w:r>
    </w:p>
    <w:p>
      <w:pPr>
        <w:pStyle w:val="BodyText"/>
      </w:pPr>
      <w:r>
        <w:t xml:space="preserve">Various types of cross-sectional and longitudinal designs are depicted in</w:t>
      </w:r>
      <w:r>
        <w:t xml:space="preserve"> </w:t>
      </w:r>
      <w:hyperlink w:anchor="fig-longitudinalDesigns">
        <w:r>
          <w:rPr>
            <w:rStyle w:val="Hyperlink"/>
          </w:rPr>
          <w:t xml:space="preserve">Figure 10</w:t>
        </w:r>
      </w:hyperlink>
      <w:r>
        <w:t xml:space="preserve">.</w:t>
      </w:r>
      <w:r>
        <w:t xml:space="preserve"> </w:t>
      </w:r>
      <w:r>
        <w:t xml:space="preserve">In a cross-sectional study, any age-related differences are confounded with cohort differences.</w:t>
      </w:r>
      <w:r>
        <w:t xml:space="preserve"> </w:t>
      </w:r>
      <w:r>
        <w:t xml:space="preserve">Thus, age-related differences in a cross-sectional study may not reflect development.</w:t>
      </w:r>
      <w:r>
        <w:t xml:space="preserve"> </w:t>
      </w:r>
      <w:r>
        <w:t xml:space="preserve">In a single-cohort longitudinal design, any observed changes with age could be due to period effects (rather than developmental change associated with aging) or could be specific to that cohort.</w:t>
      </w:r>
      <w:r>
        <w:t xml:space="preserve"> </w:t>
      </w:r>
      <w:r>
        <w:t xml:space="preserve">To combat these limitations, studies may employ longitudinal sequential designs that incorporate multiple cohorts, such as time-sequential, cross-sequential, or cohort-sequential designs.</w:t>
      </w:r>
      <w:r>
        <w:t xml:space="preserve"> </w:t>
      </w:r>
      <w:r>
        <w:t xml:space="preserve">For instance, a cross-sequential study (also called accelerated longitudinal study) starts as a cross-sectional study with participants from multiple cohorts, and then follows the participants longitudinally.</w:t>
      </w:r>
      <w:r>
        <w:t xml:space="preserve"> </w:t>
      </w:r>
      <w:r>
        <w:t xml:space="preserve">In a cohort-sequential design, multiple cohorts enter the study at the same age (e.g., age 22) and are then followed longitudinally (typically across the same duration and ages), like starting a longitudinal study at the same age over and over again.</w:t>
      </w:r>
      <w:r>
        <w:t xml:space="preserve"> </w:t>
      </w:r>
      <w:r>
        <w:t xml:space="preserve">A time-sequential design is an extension of a time-lag design.</w:t>
      </w:r>
      <w:r>
        <w:t xml:space="preserve"> </w:t>
      </w:r>
      <w:r>
        <w:t xml:space="preserve">A time-lag design assesses multiple cohorts at the same age (e.g., age 12).</w:t>
      </w:r>
      <w:r>
        <w:t xml:space="preserve"> </w:t>
      </w:r>
      <w:r>
        <w:t xml:space="preserve">A time-sequential design adds age groups to a time-lag design, repeatedly assessing the same age range (e.g., ages 12–18), with some participants followed longitudinally.</w:t>
      </w:r>
    </w:p>
    <w:bookmarkStart w:id="119" w:name="fig-longitudinalDesigns"/>
    <w:p>
      <w:pPr>
        <w:pStyle w:val="FigureTitle"/>
      </w:pPr>
      <w:r>
        <w:t xml:space="preserve">Figure 10</w:t>
      </w:r>
    </w:p>
    <w:p>
      <w:pPr>
        <w:pStyle w:val="Caption"/>
      </w:pPr>
      <w:r>
        <w:t xml:space="preserve">Research Designs by Time of Measurement and Cohort</w:t>
      </w:r>
    </w:p>
    <w:p>
      <w:pPr>
        <w:pStyle w:val="FigureWithNote"/>
      </w:pPr>
      <w:r>
        <w:drawing>
          <wp:inline>
            <wp:extent cx="5943600" cy="6619717"/>
            <wp:effectExtent b="0" l="0" r="0" t="0"/>
            <wp:docPr descr="" title="" id="117" name="Picture"/>
            <a:graphic>
              <a:graphicData uri="http://schemas.openxmlformats.org/drawingml/2006/picture">
                <pic:pic>
                  <pic:nvPicPr>
                    <pic:cNvPr descr="Figures/longitudinalDesigns.png" id="118" name="Picture"/>
                    <pic:cNvPicPr>
                      <a:picLocks noChangeArrowheads="1" noChangeAspect="1"/>
                    </pic:cNvPicPr>
                  </pic:nvPicPr>
                  <pic:blipFill>
                    <a:blip r:embed="rId116"/>
                    <a:stretch>
                      <a:fillRect/>
                    </a:stretch>
                  </pic:blipFill>
                  <pic:spPr bwMode="auto">
                    <a:xfrm>
                      <a:off x="0" y="0"/>
                      <a:ext cx="5943600" cy="6619717"/>
                    </a:xfrm>
                    <a:prstGeom prst="rect">
                      <a:avLst/>
                    </a:prstGeom>
                    <a:noFill/>
                    <a:ln w="9525">
                      <a:noFill/>
                      <a:headEnd/>
                      <a:tailEnd/>
                    </a:ln>
                  </pic:spPr>
                </pic:pic>
              </a:graphicData>
            </a:graphic>
          </wp:inline>
        </w:drawing>
      </w:r>
    </w:p>
    <w:bookmarkEnd w:id="119"/>
    <w:p>
      <w:pPr>
        <w:pStyle w:val="FigureNote"/>
      </w:pPr>
      <w:r>
        <w:rPr>
          <w:i/>
          <w:iCs/>
        </w:rPr>
        <w:t xml:space="preserve">Note</w:t>
      </w:r>
      <w:r>
        <w:t xml:space="preserve">. Values in the cells are ages of the participants. Dashed line indicates different participants were assessed at each time of measurement. (Figure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20">
        <w:r>
          <w:rPr>
            <w:rStyle w:val="Hyperlink"/>
          </w:rPr>
          <w:t xml:space="preserve">https://doi.org/10.25820/work.007199</w:t>
        </w:r>
      </w:hyperlink>
      <w:r>
        <w:t xml:space="preserve">). Although the depictions of cohort-sequential and cross-sequential designs differ from the depictions by</w:t>
      </w:r>
      <w:r>
        <w:t xml:space="preserve"> </w:t>
      </w:r>
      <w:r>
        <w:t xml:space="preserve">Schaie (</w:t>
      </w:r>
      <w:hyperlink w:anchor="ref-Schaie2005">
        <w:r>
          <w:rPr>
            <w:rStyle w:val="Hyperlink"/>
          </w:rPr>
          <w:t xml:space="preserve">2005</w:t>
        </w:r>
      </w:hyperlink>
      <w:r>
        <w:t xml:space="preserve">)</w:t>
      </w:r>
      <w:r>
        <w:t xml:space="preserve"> </w:t>
      </w:r>
      <w:r>
        <w:t xml:space="preserve">(i.e., they are reversed), they are consistent with contemporary definitions of these designs</w:t>
      </w:r>
      <w:r>
        <w:t xml:space="preserve"> </w:t>
      </w:r>
      <w:r>
        <w:t xml:space="preserve">(</w:t>
      </w:r>
      <w:hyperlink w:anchor="ref-Little2024">
        <w:r>
          <w:rPr>
            <w:rStyle w:val="Hyperlink"/>
          </w:rPr>
          <w:t xml:space="preserve">Little, 2024</w:t>
        </w:r>
      </w:hyperlink>
      <w:r>
        <w:t xml:space="preserve">;</w:t>
      </w:r>
      <w:r>
        <w:t xml:space="preserve"> </w:t>
      </w:r>
      <w:hyperlink w:anchor="ref-Masche2004">
        <w:r>
          <w:rPr>
            <w:rStyle w:val="Hyperlink"/>
          </w:rPr>
          <w:t xml:space="preserve">Masche &amp; Dulmen, 2004</w:t>
        </w:r>
      </w:hyperlink>
      <w:r>
        <w:t xml:space="preserve">;</w:t>
      </w:r>
      <w:r>
        <w:t xml:space="preserve"> </w:t>
      </w:r>
      <w:hyperlink w:anchor="ref-Whitbourne2019">
        <w:r>
          <w:rPr>
            <w:rStyle w:val="Hyperlink"/>
          </w:rPr>
          <w:t xml:space="preserve">Whitbourne, 2019</w:t>
        </w:r>
      </w:hyperlink>
      <w:r>
        <w:t xml:space="preserve">)</w:t>
      </w:r>
      <w:r>
        <w:t xml:space="preserve">.</w:t>
      </w:r>
    </w:p>
    <w:p>
      <w:pPr>
        <w:pStyle w:val="BodyText"/>
      </w:pPr>
      <w:r>
        <w:t xml:space="preserve">Longitudinal sequential designs provide greater leverage for distinguishing age, period, and cohort influences by collecting information from multiple cohorts at multiple periods and ages.</w:t>
      </w:r>
      <w:r>
        <w:t xml:space="preserve"> </w:t>
      </w:r>
      <w:r>
        <w:t xml:space="preserve">Nevertheless, they do not completely eliminate the confounding between age, period, and cohort</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No research design can fully disentangle age, period, and cohort effects.</w:t>
      </w:r>
      <w:r>
        <w:t xml:space="preserve"> </w:t>
      </w:r>
      <w:r>
        <w:t xml:space="preserve">Confidence that observed age-related differences reflect developmental change increases when there is converging evidence across multiple research designs.</w:t>
      </w:r>
      <w:r>
        <w:t xml:space="preserve"> </w:t>
      </w:r>
      <w:r>
        <w:t xml:space="preserve">However, there may be ways in a given study of accounting for period or cohort effects.</w:t>
      </w:r>
      <w:r>
        <w:t xml:space="preserve"> </w:t>
      </w:r>
      <w:r>
        <w:t xml:space="preserve">For instance, in an accelerated longitudinal study, it would be valuable to evaluate the extent to which the differing cohorts are comparable—i.e., that they show similar scores at the same ages.</w:t>
      </w:r>
      <w:r>
        <w:t xml:space="preserve"> </w:t>
      </w:r>
      <w:r>
        <w:t xml:space="preserve">Moreover, there is an entire set of analytic approaches, known as age-period-cohort analysis</w:t>
      </w:r>
      <w:r>
        <w:t xml:space="preserve"> </w:t>
      </w:r>
      <w:r>
        <w:t xml:space="preserve">(</w:t>
      </w:r>
      <w:hyperlink w:anchor="ref-Yang2013">
        <w:r>
          <w:rPr>
            <w:rStyle w:val="Hyperlink"/>
          </w:rPr>
          <w:t xml:space="preserve">Yang &amp; Land, 2013</w:t>
        </w:r>
      </w:hyperlink>
      <w:r>
        <w:t xml:space="preserve">)</w:t>
      </w:r>
      <w:r>
        <w:t xml:space="preserve">, whose goal is to disentangle the effects of age, period, and cohort.</w:t>
      </w:r>
      <w:r>
        <w:t xml:space="preserve"> </w:t>
      </w:r>
      <w:r>
        <w:t xml:space="preserve">Rohrer (</w:t>
      </w:r>
      <w:hyperlink w:anchor="ref-Rohrer2025">
        <w:r>
          <w:rPr>
            <w:rStyle w:val="Hyperlink"/>
          </w:rPr>
          <w:t xml:space="preserve">2025</w:t>
        </w:r>
      </w:hyperlink>
      <w:r>
        <w:t xml:space="preserve">)</w:t>
      </w:r>
      <w:r>
        <w:t xml:space="preserve"> </w:t>
      </w:r>
      <w:r>
        <w:t xml:space="preserve">provides additional suggestions for considering age, period, and cohort effects.</w:t>
      </w:r>
    </w:p>
    <w:bookmarkEnd w:id="121"/>
    <w:bookmarkStart w:id="122" w:name="measurement-error"/>
    <w:p>
      <w:pPr>
        <w:pStyle w:val="Heading3"/>
      </w:pPr>
      <w:r>
        <w:t xml:space="preserve">Measurement Error</w:t>
      </w:r>
    </w:p>
    <w:p>
      <w:pPr>
        <w:pStyle w:val="FirstParagraph"/>
      </w:pPr>
      <w:r>
        <w:t xml:space="preserve">Measurement error is another potential confound of change that can make it look like change has occurred when, in reality, change has not occurred.</w:t>
      </w:r>
      <w:r>
        <w:t xml:space="preserve"> </w:t>
      </w:r>
      <w:r>
        <w:t xml:space="preserve">Consider the difference between scores at two measurement occasions, a so called</w:t>
      </w:r>
      <w:r>
        <w:t xml:space="preserve"> </w:t>
      </w:r>
      <w:r>
        <w:t xml:space="preserve">“difference score”</w:t>
      </w:r>
      <w:r>
        <w:t xml:space="preserve">, which is a common way of examining change.</w:t>
      </w:r>
      <w:r>
        <w:t xml:space="preserve"> </w:t>
      </w:r>
      <w:r>
        <w:t xml:space="preserve">Difference scores are notoriously unreliable.</w:t>
      </w:r>
      <w:r>
        <w:t xml:space="preserve"> </w:t>
      </w:r>
      <w:r>
        <w:t xml:space="preserve">Difference scores tend to be lower in reliability than each of the indices that compose it, especially when the two indexes are correlated because differences depend on the reliability of both indices in the subtraction</w:t>
      </w:r>
      <w:r>
        <w:t xml:space="preserve"> </w:t>
      </w:r>
      <w:r>
        <w:t xml:space="preserve">(</w:t>
      </w:r>
      <w:hyperlink w:anchor="ref-Revelle2019">
        <w:r>
          <w:rPr>
            <w:rStyle w:val="Hyperlink"/>
          </w:rPr>
          <w:t xml:space="preserve">Revelle &amp; Condon, 2019</w:t>
        </w:r>
      </w:hyperlink>
      <w:r>
        <w:t xml:space="preserve">)</w:t>
      </w:r>
      <w:r>
        <w:t xml:space="preserve">.</w:t>
      </w:r>
      <w:r>
        <w:t xml:space="preserve"> </w:t>
      </w:r>
      <w:r>
        <w:t xml:space="preserve">To be reliable, difference scores require high reliability of the individual indices compared to the correlation between them.</w:t>
      </w:r>
      <w:r>
        <w:t xml:space="preserve"> </w:t>
      </w:r>
      <w:r>
        <w:t xml:space="preserve">That is, the more two things are the same thing, the more likely that subtracting one from the other leaves measurement error rather than construct variance.</w:t>
      </w:r>
      <w:r>
        <w:t xml:space="preserve"> </w:t>
      </w:r>
      <w:r>
        <w:t xml:space="preserve">Ways of accounting for (random) measurement error include (a) combining multiple measures in estimation of a latent variable and (b) using growth curve models with at least three timepoints to estimate model-implied trajectories and reduce the influence of occasion-specific random error.</w:t>
      </w:r>
    </w:p>
    <w:p>
      <w:pPr>
        <w:pStyle w:val="BodyText"/>
      </w:pPr>
      <w:r>
        <w:t xml:space="preserve">In general, the inference of change is strengthened to the extent that: (a) the magnitude of the difference between the scores at the time points is large (i.e., a large effect size), (b) the measurement error (unreliability) at each time point is small, (c) the measure has the same meaning and is on a comparable scale at each time point, and (d) evidence suggests that the differences across time are not likely to be due to potential confounds of change such as practice effects, cohort effects, period effects, or selective attrition.</w:t>
      </w:r>
    </w:p>
    <w:bookmarkEnd w:id="122"/>
    <w:bookmarkStart w:id="123" w:name="selective-missingness-and-attrition"/>
    <w:p>
      <w:pPr>
        <w:pStyle w:val="Heading3"/>
      </w:pPr>
      <w:r>
        <w:t xml:space="preserve">Selective Missingness and Attrition</w:t>
      </w:r>
    </w:p>
    <w:p>
      <w:pPr>
        <w:pStyle w:val="FirstParagraph"/>
      </w:pPr>
      <w:r>
        <w:t xml:space="preserve">Another potential confound of change is selective (or systematic) missingness or attrition.</w:t>
      </w:r>
      <w:r>
        <w:t xml:space="preserve"> </w:t>
      </w:r>
      <w:r>
        <w:t xml:space="preserve">If people who drop out of a longitudinal study differ in systematic ways from those who are retained, inferences about growth patterns and about associations with growth parameters can be biased.</w:t>
      </w:r>
      <w:r>
        <w:t xml:space="preserve"> </w:t>
      </w:r>
      <w:r>
        <w:t xml:space="preserve">Consider an intervention study with two groups: a treatment group that received a medication and a control group that received a placebo.</w:t>
      </w:r>
      <w:r>
        <w:t xml:space="preserve"> </w:t>
      </w:r>
      <w:r>
        <w:t xml:space="preserve">The control group showed a 30% reduction in externalizing problems, on average.</w:t>
      </w:r>
      <w:r>
        <w:t xml:space="preserve"> </w:t>
      </w:r>
      <w:r>
        <w:t xml:space="preserve">In the treatment group, some individuals showed a reduction in externalizing problems whereas others dropped out of the study due to side effects or worsening behavior.</w:t>
      </w:r>
      <w:r>
        <w:t xml:space="preserve"> </w:t>
      </w:r>
      <w:r>
        <w:t xml:space="preserve">If we analyzed only those who were followed until the end of the study, it might appear that the treatment was effective merely because we were excluding individuals for whom the treatment was harmful.</w:t>
      </w:r>
      <w:r>
        <w:t xml:space="preserve"> </w:t>
      </w:r>
      <w:r>
        <w:t xml:space="preserve">Thus, it is important to report the extent of missingness, whether missingness is systematically related to demographic and study variables, and to leverage modern approaches for handling missing data so one does not exclude participants in the analysis merely because they have missing data</w:t>
      </w:r>
      <w:r>
        <w:t xml:space="preserve"> </w:t>
      </w:r>
      <w:r>
        <w:t xml:space="preserve">(</w:t>
      </w:r>
      <w:hyperlink w:anchor="ref-Nicholson2017">
        <w:r>
          <w:rPr>
            <w:rStyle w:val="Hyperlink"/>
          </w:rPr>
          <w:t xml:space="preserve">Nicholson et al., 2017</w:t>
        </w:r>
      </w:hyperlink>
      <w:r>
        <w:t xml:space="preserve">)</w:t>
      </w:r>
      <w:r>
        <w:t xml:space="preserve">.</w:t>
      </w:r>
      <w:r>
        <w:t xml:space="preserve"> </w:t>
      </w:r>
      <w:r>
        <w:t xml:space="preserve">Multiple imputation and full information maximum likelihood are useful if data are missing at random or completely at random</w:t>
      </w:r>
      <w:r>
        <w:t xml:space="preserve"> </w:t>
      </w:r>
      <w:r>
        <w:t xml:space="preserve">(</w:t>
      </w:r>
      <w:hyperlink w:anchor="ref-Nicholson2017">
        <w:r>
          <w:rPr>
            <w:rStyle w:val="Hyperlink"/>
          </w:rPr>
          <w:t xml:space="preserve">Nicholson et al., 2017</w:t>
        </w:r>
      </w:hyperlink>
      <w:r>
        <w:t xml:space="preserve">)</w:t>
      </w:r>
      <w:r>
        <w:t xml:space="preserve">.</w:t>
      </w:r>
      <w:r>
        <w:t xml:space="preserve"> </w:t>
      </w:r>
      <w:r>
        <w:t xml:space="preserve">Enders</w:t>
      </w:r>
      <w:r>
        <w:t xml:space="preserve"> </w:t>
      </w:r>
      <w:r>
        <w:t xml:space="preserve">(</w:t>
      </w:r>
      <w:hyperlink w:anchor="ref-Enders2022">
        <w:r>
          <w:rPr>
            <w:rStyle w:val="Hyperlink"/>
          </w:rPr>
          <w:t xml:space="preserve">2022</w:t>
        </w:r>
      </w:hyperlink>
      <w:r>
        <w:t xml:space="preserve">,</w:t>
      </w:r>
      <w:r>
        <w:t xml:space="preserve"> </w:t>
      </w:r>
      <w:hyperlink w:anchor="ref-Enders2025">
        <w:r>
          <w:rPr>
            <w:rStyle w:val="Hyperlink"/>
          </w:rPr>
          <w:t xml:space="preserve">2025</w:t>
        </w:r>
      </w:hyperlink>
      <w:r>
        <w:t xml:space="preserve">)</w:t>
      </w:r>
      <w:r>
        <w:t xml:space="preserve"> </w:t>
      </w:r>
      <w:r>
        <w:t xml:space="preserve">provides contemporary guidelines for handling missing data, including when data are missing not at random using selection models and pattern mixture models—including in longitudinal studies</w:t>
      </w:r>
      <w:r>
        <w:t xml:space="preserve"> </w:t>
      </w:r>
      <w:r>
        <w:t xml:space="preserve">(</w:t>
      </w:r>
      <w:hyperlink w:anchor="ref-Enders2022">
        <w:r>
          <w:rPr>
            <w:rStyle w:val="Hyperlink"/>
          </w:rPr>
          <w:t xml:space="preserve">Enders, 2022</w:t>
        </w:r>
      </w:hyperlink>
      <w:r>
        <w:t xml:space="preserve">)</w:t>
      </w:r>
      <w:r>
        <w:t xml:space="preserve">.</w:t>
      </w:r>
      <w:r>
        <w:t xml:space="preserve"> </w:t>
      </w:r>
      <w:r>
        <w:t xml:space="preserve">Nicholson et al. (</w:t>
      </w:r>
      <w:hyperlink w:anchor="ref-Nicholson2017">
        <w:r>
          <w:rPr>
            <w:rStyle w:val="Hyperlink"/>
          </w:rPr>
          <w:t xml:space="preserve">2017</w:t>
        </w:r>
      </w:hyperlink>
      <w:r>
        <w:t xml:space="preserve">)</w:t>
      </w:r>
      <w:r>
        <w:t xml:space="preserve"> </w:t>
      </w:r>
      <w:r>
        <w:t xml:space="preserve">provides recommendations for reporting about attrition and missingness in longitudinal studies.</w:t>
      </w:r>
    </w:p>
    <w:bookmarkEnd w:id="123"/>
    <w:bookmarkStart w:id="124" w:name="change-in-meaning-of-the-scores"/>
    <w:p>
      <w:pPr>
        <w:pStyle w:val="Heading3"/>
      </w:pPr>
      <w:r>
        <w:t xml:space="preserve">Change in Meaning of the Scores</w:t>
      </w:r>
    </w:p>
    <w:p>
      <w:pPr>
        <w:pStyle w:val="FirstParagraph"/>
      </w:pPr>
      <w:r>
        <w:t xml:space="preserve">Another potential confound of change is if the same score has different meaning (with respect to the construct) at different points in development.</w:t>
      </w:r>
      <w:r>
        <w:t xml:space="preserve"> </w:t>
      </w:r>
      <w:r>
        <w:t xml:space="preserve">That is, the scores are not on the same number line across time—they do not have the same scale or location across ages.</w:t>
      </w:r>
      <w:r>
        <w:t xml:space="preserve"> </w:t>
      </w:r>
      <w:r>
        <w:t xml:space="preserve">If scores do not have the same scale or location across ages, any inferences about change (or lack thereof) could be incorrect.</w:t>
      </w:r>
      <w:r>
        <w:t xml:space="preserve"> </w:t>
      </w:r>
      <w:r>
        <w:t xml:space="preserve">Consider, for example, if a behavior such as physical aggression becomes more severe (i.e., higher difficulty) with age.</w:t>
      </w:r>
      <w:r>
        <w:t xml:space="preserve"> </w:t>
      </w:r>
      <w:r>
        <w:t xml:space="preserve">In this example, the same score—i.e., endorsement of physical aggression—would reflect a higher level externalizing behavior in adulthood compared to early childhood.</w:t>
      </w:r>
      <w:r>
        <w:t xml:space="preserve"> </w:t>
      </w:r>
      <w:r>
        <w:t xml:space="preserve">Or, consider if a behavior such as disobedience becomes less construct-valid (i.e., lower discrimination) with age.</w:t>
      </w:r>
      <w:r>
        <w:t xml:space="preserve"> </w:t>
      </w:r>
      <w:r>
        <w:t xml:space="preserve">In this example, the same score difference—i.e., between endorsement (1) versus non-endorsement (0) of disobedience to authority—would reflect a greater difference in the level of externalizing behavior in early childhood compared to adulthood.</w:t>
      </w:r>
      <w:r>
        <w:t xml:space="preserve"> </w:t>
      </w:r>
      <w:r>
        <w:t xml:space="preserve">Thus, it is important to consider and account for changes in the meaning of scores across development.</w:t>
      </w:r>
      <w:r>
        <w:t xml:space="preserve"> </w:t>
      </w:r>
      <w:r>
        <w:t xml:space="preserve">If a measure changes in the construct it assesses, this is called construct shift.</w:t>
      </w:r>
      <w:r>
        <w:t xml:space="preserve"> </w:t>
      </w:r>
      <w:r>
        <w:t xml:space="preserve">Next, we describe longitudinal factorial invariance as a way to evaluate—and account for—the possibility that scores have changed in meaning across ages.</w:t>
      </w:r>
    </w:p>
    <w:bookmarkEnd w:id="124"/>
    <w:bookmarkEnd w:id="125"/>
    <w:bookmarkStart w:id="127" w:name="factorial-invariance-across-time"/>
    <w:p>
      <w:pPr>
        <w:pStyle w:val="Heading2"/>
      </w:pPr>
      <w:r>
        <w:t xml:space="preserve">Factorial Invariance Across Time</w:t>
      </w:r>
    </w:p>
    <w:p>
      <w:pPr>
        <w:pStyle w:val="FirstParagraph"/>
      </w:pPr>
      <w:r>
        <w:t xml:space="preserve">Traditionally, it had been considered necessary to establish factorial invariance</w:t>
      </w:r>
      <w:r>
        <w:rPr>
          <w:rStyle w:val="FootnoteReference"/>
        </w:rPr>
        <w:footnoteReference w:id="126"/>
      </w:r>
      <w:r>
        <w:t xml:space="preserve"> </w:t>
      </w:r>
      <w:r>
        <w:t xml:space="preserve">of the measure(s) across time—that is, the measure(s) assess the construct in the same way across time—to study individuals’ change in those constructs</w:t>
      </w:r>
      <w:r>
        <w:t xml:space="preserve"> </w:t>
      </w:r>
      <w:r>
        <w:t xml:space="preserve">(</w:t>
      </w:r>
      <w:hyperlink w:anchor="ref-Widaman2010">
        <w:r>
          <w:rPr>
            <w:rStyle w:val="Hyperlink"/>
          </w:rPr>
          <w:t xml:space="preserve">Widaman et al., 2010</w:t>
        </w:r>
      </w:hyperlink>
      <w:r>
        <w:t xml:space="preserve">)</w:t>
      </w:r>
      <w:r>
        <w:t xml:space="preserve">.</w:t>
      </w:r>
      <w:r>
        <w:t xml:space="preserve"> </w:t>
      </w:r>
      <w:r>
        <w:t xml:space="preserve">As described earlier, a goal of longitudinal factorial invariance is to increase confidence that the latent factor at multiple timepoints is on the same scale so that meaningful changes in people’s level can be observed.</w:t>
      </w:r>
      <w:r>
        <w:t xml:space="preserve"> </w:t>
      </w:r>
      <w:r>
        <w:t xml:space="preserve">In particular, it had been considered necessary to establish at least strong factorial invariance—i.e., invariance of intercepts and factor loadings in factor analysis, or invariance of difficulty and discrimination in item response theory.</w:t>
      </w:r>
      <w:r>
        <w:t xml:space="preserve"> </w:t>
      </w:r>
      <w:r>
        <w:t xml:space="preserve">Otherwise, a researcher may wrongly conclude that levels in the construct change over time when the apparent changes in the observed scores (and the latent variables) are driven by noninvariant loadings and/or intercepts for one or more items</w:t>
      </w:r>
      <w:r>
        <w:t xml:space="preserve"> </w:t>
      </w:r>
      <w:r>
        <w:t xml:space="preserve">(</w:t>
      </w:r>
      <w:hyperlink w:anchor="ref-Lai2023">
        <w:r>
          <w:rPr>
            <w:rStyle w:val="Hyperlink"/>
          </w:rPr>
          <w:t xml:space="preserve">Lai, 2023</w:t>
        </w:r>
      </w:hyperlink>
      <w:r>
        <w:t xml:space="preserve">)</w:t>
      </w:r>
      <w:r>
        <w:t xml:space="preserve">.</w:t>
      </w:r>
      <w:r>
        <w:t xml:space="preserve"> </w:t>
      </w:r>
      <w:r>
        <w:t xml:space="preserve">However, it is now understood that violations of longitudinal factorial invariance do not mean that questions of change cannot be answered</w:t>
      </w:r>
      <w:r>
        <w:t xml:space="preserve"> </w:t>
      </w:r>
      <w:r>
        <w:t xml:space="preserve">(</w:t>
      </w:r>
      <w:hyperlink w:anchor="ref-Lai2023">
        <w:r>
          <w:rPr>
            <w:rStyle w:val="Hyperlink"/>
          </w:rPr>
          <w:t xml:space="preserve">Lai, 2023</w:t>
        </w:r>
      </w:hyperlink>
      <w:r>
        <w:t xml:space="preserve">)</w:t>
      </w:r>
      <w:r>
        <w:t xml:space="preserve">.</w:t>
      </w:r>
      <w:r>
        <w:t xml:space="preserve"> </w:t>
      </w:r>
      <w:r>
        <w:t xml:space="preserve">Strong factorial invariance frequently does not hold, so in such situations it may be necessary to find ways to accommodate or adjust for noninvariance</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At least partial strong factorial invariance (i.e., invariance of intercepts and factor loadings for a subset of items—the anchor items) is often considered a requirement for modeling individuals’ change, such that the more items that show invariance, the greater the confidence that the latent factor is on a comparable scale at each age for examining individuals’ change.</w:t>
      </w:r>
      <w:r>
        <w:t xml:space="preserve"> </w:t>
      </w:r>
      <w:r>
        <w:t xml:space="preserve">However, even that requirement may be too strong.</w:t>
      </w:r>
      <w:r>
        <w:t xml:space="preserve"> </w:t>
      </w:r>
      <w:r>
        <w:t xml:space="preserve">Researchers have argued that, in many cases, establishing factorial invariance may be unnecessary to compare latent means</w:t>
      </w:r>
      <w:r>
        <w:t xml:space="preserve"> </w:t>
      </w:r>
      <w:r>
        <w:t xml:space="preserve">(</w:t>
      </w:r>
      <w:hyperlink w:anchor="ref-DeLosReyes2025">
        <w:r>
          <w:rPr>
            <w:rStyle w:val="Hyperlink"/>
          </w:rPr>
          <w:t xml:space="preserve">De Los Reyes et al., 2025</w:t>
        </w:r>
      </w:hyperlink>
      <w:r>
        <w:t xml:space="preserve">;</w:t>
      </w:r>
      <w:r>
        <w:t xml:space="preserve"> </w:t>
      </w:r>
      <w:hyperlink w:anchor="ref-Funder2024">
        <w:r>
          <w:rPr>
            <w:rStyle w:val="Hyperlink"/>
          </w:rPr>
          <w:t xml:space="preserve">Funder &amp; Gardiner, 2024</w:t>
        </w:r>
      </w:hyperlink>
      <w:r>
        <w:t xml:space="preserve">;</w:t>
      </w:r>
      <w:r>
        <w:t xml:space="preserve"> </w:t>
      </w:r>
      <w:hyperlink w:anchor="ref-QuantitudeS3E18">
        <w:r>
          <w:rPr>
            <w:rStyle w:val="Hyperlink"/>
          </w:rPr>
          <w:t xml:space="preserve">Hancock &amp; Curran, 2022</w:t>
        </w:r>
      </w:hyperlink>
      <w:r>
        <w:t xml:space="preserve">;</w:t>
      </w:r>
      <w:r>
        <w:t xml:space="preserve"> </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 </w:t>
      </w:r>
      <w:hyperlink w:anchor="ref-Robitzsch2023">
        <w:r>
          <w:rPr>
            <w:rStyle w:val="Hyperlink"/>
          </w:rPr>
          <w:t xml:space="preserve">Robitzsch &amp; Lüdtke, 2023</w:t>
        </w:r>
      </w:hyperlink>
      <w:r>
        <w:t xml:space="preserve">;</w:t>
      </w:r>
      <w:r>
        <w:t xml:space="preserve"> </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Indeed, failed longitudinal invariance can be an artifact of differing means across groups/time rather than bias or differences in the functioning of the measure</w:t>
      </w:r>
      <w:r>
        <w:t xml:space="preserve"> </w:t>
      </w:r>
      <w:r>
        <w:t xml:space="preserve">(</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As noted by Hancock</w:t>
      </w:r>
      <w:r>
        <w:t xml:space="preserve"> </w:t>
      </w:r>
      <w:r>
        <w:t xml:space="preserve">(</w:t>
      </w:r>
      <w:hyperlink w:anchor="ref-QuantitudeS3E18">
        <w:r>
          <w:rPr>
            <w:rStyle w:val="Hyperlink"/>
          </w:rPr>
          <w:t xml:space="preserve">2022</w:t>
        </w:r>
      </w:hyperlink>
      <w:r>
        <w:t xml:space="preserve">)</w:t>
      </w:r>
      <w:r>
        <w:t xml:space="preserve">, to model differences in latent means (e.g., change over time), you do not need invariance;</w:t>
      </w:r>
      <w:r>
        <w:t xml:space="preserve"> </w:t>
      </w:r>
      <w:r>
        <w:t xml:space="preserve">“you need to have a model that is correct…That means that…you are modeling [items’] invariance properly.”</w:t>
      </w:r>
    </w:p>
    <w:p>
      <w:pPr>
        <w:pStyle w:val="BodyText"/>
      </w:pPr>
      <w:r>
        <w:t xml:space="preserve">When a construct demonstrates heterotypic continuity, longitudinal factorial invariance would not necessarily be expected because the construct’s factor structure, by definition, changes with development</w:t>
      </w:r>
      <w:r>
        <w:t xml:space="preserve"> </w:t>
      </w:r>
      <w:r>
        <w:t xml:space="preserve">(</w:t>
      </w:r>
      <w:hyperlink w:anchor="ref-Petersen2020">
        <w:r>
          <w:rPr>
            <w:rStyle w:val="Hyperlink"/>
          </w:rPr>
          <w:t xml:space="preserve">Petersen et al., 2020</w:t>
        </w:r>
      </w:hyperlink>
      <w:r>
        <w:t xml:space="preserve">)</w:t>
      </w:r>
      <w:r>
        <w:t xml:space="preserve">.</w:t>
      </w:r>
      <w:r>
        <w:t xml:space="preserve"> </w:t>
      </w:r>
      <w:r>
        <w:t xml:space="preserve">That is, noninvariances across development can be expected by theory</w:t>
      </w:r>
      <w:r>
        <w:t xml:space="preserve"> </w:t>
      </w:r>
      <w:r>
        <w:t xml:space="preserve">(</w:t>
      </w:r>
      <w:hyperlink w:anchor="ref-Sterner2026">
        <w:r>
          <w:rPr>
            <w:rStyle w:val="Hyperlink"/>
          </w:rPr>
          <w:t xml:space="preserve">Sterner et al., 2026</w:t>
        </w:r>
      </w:hyperlink>
      <w:r>
        <w:t xml:space="preserve">)</w:t>
      </w:r>
      <w:r>
        <w:t xml:space="preserve">.</w:t>
      </w:r>
      <w:r>
        <w:t xml:space="preserve"> </w:t>
      </w:r>
      <w:r>
        <w:t xml:space="preserve">As a result, theoretical considerations are crucial and establishing even partial longitudinal factorial invariance may not be required when the construct shows heterotypic continuity</w:t>
      </w:r>
      <w:r>
        <w:t xml:space="preserve"> </w:t>
      </w:r>
      <w:r>
        <w:t xml:space="preserve">(</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w:t>
      </w:r>
      <w:r>
        <w:t xml:space="preserve"> </w:t>
      </w:r>
      <w:r>
        <w:t xml:space="preserve">As noted by Millsap</w:t>
      </w:r>
      <w:r>
        <w:t xml:space="preserve"> </w:t>
      </w:r>
      <w:r>
        <w:t xml:space="preserve">(</w:t>
      </w:r>
      <w:hyperlink w:anchor="ref-Millsap2011">
        <w:r>
          <w:rPr>
            <w:rStyle w:val="Hyperlink"/>
          </w:rPr>
          <w:t xml:space="preserve">2011, p. 1</w:t>
        </w:r>
      </w:hyperlink>
      <w:r>
        <w:t xml:space="preserve">)</w:t>
      </w:r>
      <w:r>
        <w:t xml:space="preserve">,</w:t>
      </w:r>
      <w:r>
        <w:t xml:space="preserve"> </w:t>
      </w:r>
      <w:r>
        <w:t xml:space="preserve">“Measurement invariance is built on the notion that a measuring device should function in the same way across varied conditions,</w:t>
      </w:r>
      <w:r>
        <w:t xml:space="preserve"> </w:t>
      </w:r>
      <w:r>
        <w:rPr>
          <w:i/>
          <w:iCs/>
        </w:rPr>
        <w:t xml:space="preserve">so long as those varied conditions are irrelevant to the attribute being measured</w:t>
      </w:r>
      <w:r>
        <w:t xml:space="preserve">”</w:t>
      </w:r>
      <w:r>
        <w:t xml:space="preserve"> </w:t>
      </w:r>
      <w:r>
        <w:t xml:space="preserve">(emphasis added).</w:t>
      </w:r>
      <w:r>
        <w:t xml:space="preserve"> </w:t>
      </w:r>
      <w:r>
        <w:t xml:space="preserve">However, age/development would not be considered irrelevant to psychopathology.</w:t>
      </w:r>
      <w:r>
        <w:t xml:space="preserve"> </w:t>
      </w:r>
      <w:r>
        <w:t xml:space="preserve">As described earlier, externalizing (antisocial) behavior is considered to demonstrate heterotypic continuity; thus, longitudinal factorial</w:t>
      </w:r>
      <w:r>
        <w:t xml:space="preserve"> </w:t>
      </w:r>
      <w:r>
        <w:rPr>
          <w:i/>
          <w:iCs/>
        </w:rPr>
        <w:t xml:space="preserve">noninvariance</w:t>
      </w:r>
      <w:r>
        <w:t xml:space="preserve"> </w:t>
      </w:r>
      <w:r>
        <w:t xml:space="preserve">for measures assessing the development of externalizing behavior may be expected.</w:t>
      </w:r>
      <w:r>
        <w:t xml:space="preserve"> </w:t>
      </w:r>
      <w:r>
        <w:t xml:space="preserve">As noted by De Los Reyes et al.</w:t>
      </w:r>
      <w:r>
        <w:t xml:space="preserve"> </w:t>
      </w:r>
      <w:r>
        <w:t xml:space="preserve">(</w:t>
      </w:r>
      <w:hyperlink w:anchor="ref-DeLosReyes2025">
        <w:r>
          <w:rPr>
            <w:rStyle w:val="Hyperlink"/>
          </w:rPr>
          <w:t xml:space="preserve">2025, p. 301</w:t>
        </w:r>
      </w:hyperlink>
      <w:r>
        <w:t xml:space="preserve">)</w:t>
      </w:r>
      <w:r>
        <w:t xml:space="preserve">,</w:t>
      </w:r>
      <w:r>
        <w:t xml:space="preserve"> </w:t>
      </w:r>
      <w:r>
        <w:t xml:space="preserve">“developmental variations in antisocial behavior are unlikely to reflect confounds or biases in measurement.”</w:t>
      </w:r>
      <w:r>
        <w:t xml:space="preserve"> </w:t>
      </w:r>
      <w:r>
        <w:t xml:space="preserve">They characterize such tests of invariance across development—in which the conditions (age) are relevant to the construct of interest—as a questionable research practice, noting,</w:t>
      </w:r>
      <w:r>
        <w:t xml:space="preserve"> </w:t>
      </w:r>
      <w:r>
        <w:t xml:space="preserve">“To be justified in testing measurement invariance [across ages], one would have to assume that when systematic differences manifest between ratings…for younger versus older youth, they cannot possibly reflect anything valid.</w:t>
      </w:r>
      <w:r>
        <w:t xml:space="preserve"> </w:t>
      </w:r>
      <w:r>
        <w:t xml:space="preserve">For a scholar to make such an assumption, they must again ignore decades of theory and research in developmental psychopathology.”</w:t>
      </w:r>
      <w:r>
        <w:t xml:space="preserve"> </w:t>
      </w:r>
      <w:r>
        <w:t xml:space="preserve">Moreover, removing noninvariant items is not recommended if the item retains construct validity</w:t>
      </w:r>
      <w:r>
        <w:t xml:space="preserve"> </w:t>
      </w:r>
      <w:r>
        <w:t xml:space="preserve">(</w:t>
      </w:r>
      <w:hyperlink w:anchor="ref-DeLosReyes2025">
        <w:r>
          <w:rPr>
            <w:rStyle w:val="Hyperlink"/>
          </w:rPr>
          <w:t xml:space="preserve">De Los Reyes et al., 2025</w:t>
        </w:r>
      </w:hyperlink>
      <w:r>
        <w:t xml:space="preserve">;</w:t>
      </w:r>
      <w:r>
        <w:t xml:space="preserve"> </w:t>
      </w:r>
      <w:hyperlink w:anchor="ref-Knight2010">
        <w:r>
          <w:rPr>
            <w:rStyle w:val="Hyperlink"/>
          </w:rPr>
          <w:t xml:space="preserve">Knight &amp; Zerr, 2010</w:t>
        </w:r>
      </w:hyperlink>
      <w:r>
        <w:t xml:space="preserve">)</w:t>
      </w:r>
      <w:r>
        <w:t xml:space="preserve">.</w:t>
      </w:r>
      <w:r>
        <w:t xml:space="preserve"> </w:t>
      </w:r>
      <w:r>
        <w:t xml:space="preserve">When the construct changes in manifestation, models with failed longitudinal factorial invariance can yield valid inferences.</w:t>
      </w:r>
      <w:r>
        <w:t xml:space="preserve"> </w:t>
      </w:r>
      <w:r>
        <w:t xml:space="preserve">For instance, simulation work demonstrated that IRT linking approaches accurately captured changes in level on the latent factor even in the present of DIF and changing dimensionality</w:t>
      </w:r>
      <w:r>
        <w:t xml:space="preserve"> </w:t>
      </w:r>
      <w:r>
        <w:t xml:space="preserve">(</w:t>
      </w:r>
      <w:hyperlink w:anchor="ref-Edwards2012">
        <w:r>
          <w:rPr>
            <w:rStyle w:val="Hyperlink"/>
          </w:rPr>
          <w:t xml:space="preserve">Edwards &amp; Wirth, 2012</w:t>
        </w:r>
      </w:hyperlink>
      <w:r>
        <w:t xml:space="preserve">)</w:t>
      </w:r>
      <w:r>
        <w:t xml:space="preserve">.</w:t>
      </w:r>
    </w:p>
    <w:p>
      <w:pPr>
        <w:pStyle w:val="BodyText"/>
      </w:pPr>
      <w:r>
        <w:t xml:space="preserve">There are multiple ways of handling noninvariance as described above, including alignment optimization, MNLFA, and IRT-based linking.</w:t>
      </w:r>
      <w:r>
        <w:t xml:space="preserve"> </w:t>
      </w:r>
      <w:r>
        <w:t xml:space="preserve">In addition, another approach is to allow approximate factorial invariance.</w:t>
      </w:r>
      <w:r>
        <w:t xml:space="preserve"> </w:t>
      </w:r>
      <w:r>
        <w:t xml:space="preserve">Approximate measurement invariance allows invariance parameters to have small amount of noninvariance rather than fixing invariance parameters to zero</w:t>
      </w:r>
      <w:r>
        <w:t xml:space="preserve"> </w:t>
      </w:r>
      <w:r>
        <w:t xml:space="preserve">(</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is more accurate than full or partial measurement invariance for estimating true latent mean differences when there are many small differences in the intercepts and factor loadings</w:t>
      </w:r>
      <w:r>
        <w:t xml:space="preserve"> </w:t>
      </w:r>
      <w:r>
        <w:t xml:space="preserve">(</w:t>
      </w:r>
      <w:hyperlink w:anchor="ref-Cieciuch2014">
        <w:r>
          <w:rPr>
            <w:rStyle w:val="Hyperlink"/>
          </w:rPr>
          <w:t xml:space="preserve">Cieciuch et al., 2014</w:t>
        </w:r>
      </w:hyperlink>
      <w:r>
        <w:t xml:space="preserve">;</w:t>
      </w:r>
      <w:r>
        <w:t xml:space="preserve"> </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has also been applied in the longitudinal context</w:t>
      </w:r>
      <w:r>
        <w:t xml:space="preserve"> </w:t>
      </w:r>
      <w:r>
        <w:t xml:space="preserve">(e.g.,</w:t>
      </w:r>
      <w:r>
        <w:t xml:space="preserve"> </w:t>
      </w:r>
      <w:hyperlink w:anchor="ref-Seddig2018">
        <w:r>
          <w:rPr>
            <w:rStyle w:val="Hyperlink"/>
          </w:rPr>
          <w:t xml:space="preserve">Seddig &amp; Leitgöb, 2018</w:t>
        </w:r>
      </w:hyperlink>
      <w:r>
        <w:t xml:space="preserve">;</w:t>
      </w:r>
      <w:r>
        <w:t xml:space="preserve"> </w:t>
      </w:r>
      <w:hyperlink w:anchor="ref-Winter2020">
        <w:r>
          <w:rPr>
            <w:rStyle w:val="Hyperlink"/>
          </w:rPr>
          <w:t xml:space="preserve">Winter &amp; Depaoli, 2020</w:t>
        </w:r>
      </w:hyperlink>
      <w:r>
        <w:t xml:space="preserve">)</w:t>
      </w:r>
      <w:r>
        <w:t xml:space="preserve">.</w:t>
      </w:r>
      <w:r>
        <w:t xml:space="preserve"> </w:t>
      </w:r>
      <w:r>
        <w:t xml:space="preserve">Robitzsch and Lüdtke</w:t>
      </w:r>
      <w:r>
        <w:t xml:space="preserve"> </w:t>
      </w:r>
      <w:r>
        <w:t xml:space="preserve">(</w:t>
      </w:r>
      <w:hyperlink w:anchor="ref-Robitzsch2023">
        <w:r>
          <w:rPr>
            <w:rStyle w:val="Hyperlink"/>
          </w:rPr>
          <w:t xml:space="preserve">2023, p. 859</w:t>
        </w:r>
      </w:hyperlink>
      <w:r>
        <w:t xml:space="preserve">)</w:t>
      </w:r>
      <w:r>
        <w:t xml:space="preserve"> </w:t>
      </w:r>
      <w:r>
        <w:t xml:space="preserve">argue that establishing factorial invariance is neither necessary nor sufficient for comparing latent means, and they note that</w:t>
      </w:r>
      <w:r>
        <w:t xml:space="preserve"> </w:t>
      </w:r>
      <w:r>
        <w:t xml:space="preserve">“there is no support for preferring the partial invariance approach over competing approaches, such as invariance alignment, robust linking, or Bayesian approximate invariance.”</w:t>
      </w:r>
    </w:p>
    <w:bookmarkEnd w:id="127"/>
    <w:bookmarkStart w:id="128" w:name="integration-across-multiple-sources"/>
    <w:p>
      <w:pPr>
        <w:pStyle w:val="Heading2"/>
      </w:pPr>
      <w:r>
        <w:t xml:space="preserve">Integration Across Multiple Sources</w:t>
      </w:r>
    </w:p>
    <w:p>
      <w:pPr>
        <w:pStyle w:val="FirstParagraph"/>
      </w:pPr>
      <w:r>
        <w:t xml:space="preserve">The most accurate informant(s) for a person can change with development, so it may be necessary to include different informants across time.</w:t>
      </w:r>
      <w:r>
        <w:t xml:space="preserve"> </w:t>
      </w:r>
      <w:r>
        <w:t xml:space="preserve">There is widespread agreement that including multiple sources of data—e.g.. multiple informants or multiple measurement methods—is preferable.</w:t>
      </w:r>
      <w:r>
        <w:t xml:space="preserve"> </w:t>
      </w:r>
      <w:r>
        <w:t xml:space="preserve">However, there is less agreement about how to use the multiple sources of data</w:t>
      </w:r>
      <w:r>
        <w:t xml:space="preserve"> </w:t>
      </w:r>
      <w:r>
        <w:t xml:space="preserve">(</w:t>
      </w:r>
      <w:hyperlink w:anchor="ref-Bauer2013">
        <w:r>
          <w:rPr>
            <w:rStyle w:val="Hyperlink"/>
          </w:rPr>
          <w:t xml:space="preserve">Bauer et al., 2013</w:t>
        </w:r>
      </w:hyperlink>
      <w:r>
        <w:t xml:space="preserve">)</w:t>
      </w:r>
      <w:r>
        <w:t xml:space="preserve">, particularly because informants often show low correspondence with each other when rating the same person.</w:t>
      </w:r>
      <w:r>
        <w:t xml:space="preserve"> </w:t>
      </w:r>
      <w:r>
        <w:t xml:space="preserve">Some of these discrepancies may be confounded by the person behaving differently in different contexts or with different people.</w:t>
      </w:r>
      <w:r>
        <w:t xml:space="preserve"> </w:t>
      </w:r>
      <w:r>
        <w:t xml:space="preserve">The inclusion of multiple measurement methods can help account for measurement error given the considerable variance that is attributable to method bias</w:t>
      </w:r>
      <w:r>
        <w:t xml:space="preserve"> </w:t>
      </w:r>
      <w:r>
        <w:t xml:space="preserve">(</w:t>
      </w:r>
      <w:hyperlink w:anchor="ref-Podsakoff2012">
        <w:r>
          <w:rPr>
            <w:rStyle w:val="Hyperlink"/>
          </w:rPr>
          <w:t xml:space="preserve">Podsakoff et al., 2012</w:t>
        </w:r>
      </w:hyperlink>
      <w:r>
        <w:t xml:space="preserve">)</w:t>
      </w:r>
      <w:r>
        <w:t xml:space="preserve">.</w:t>
      </w:r>
      <w:r>
        <w:t xml:space="preserve"> </w:t>
      </w:r>
      <w:r>
        <w:t xml:space="preserve">The inclusion of multiple informants can be relevant for informing about the pervasiveness of a person’s behavior across contexts (e.g., home, school).</w:t>
      </w:r>
      <w:r>
        <w:t xml:space="preserve"> </w:t>
      </w:r>
      <w:r>
        <w:t xml:space="preserve">As a result of including multiple or different informants across development, it is important to consider how to leverage the multi-informant ratings.</w:t>
      </w:r>
      <w:r>
        <w:t xml:space="preserve"> </w:t>
      </w:r>
      <w:r>
        <w:t xml:space="preserve">Some researchers advocate for integrating scores using principal component approaches</w:t>
      </w:r>
      <w:r>
        <w:t xml:space="preserve"> </w:t>
      </w:r>
      <w:r>
        <w:t xml:space="preserve">(while disentangling variance attributable to trait, perspective, and context;</w:t>
      </w:r>
      <w:r>
        <w:t xml:space="preserve"> </w:t>
      </w:r>
      <w:hyperlink w:anchor="ref-Kraemer2003">
        <w:r>
          <w:rPr>
            <w:rStyle w:val="Hyperlink"/>
          </w:rPr>
          <w:t xml:space="preserve">Kraemer et al., 2003</w:t>
        </w:r>
      </w:hyperlink>
      <w:r>
        <w:t xml:space="preserve">)</w:t>
      </w:r>
      <w:r>
        <w:t xml:space="preserve"> </w:t>
      </w:r>
      <w:r>
        <w:t xml:space="preserve">or latent variable approaches</w:t>
      </w:r>
      <w:r>
        <w:t xml:space="preserve"> </w:t>
      </w:r>
      <w:r>
        <w:t xml:space="preserve">(e.g.,</w:t>
      </w:r>
      <w:r>
        <w:t xml:space="preserve"> </w:t>
      </w:r>
      <w:hyperlink w:anchor="ref-Bauer2013">
        <w:r>
          <w:rPr>
            <w:rStyle w:val="Hyperlink"/>
          </w:rPr>
          <w:t xml:space="preserve">Bauer et al., 2013</w:t>
        </w:r>
      </w:hyperlink>
      <w:r>
        <w:t xml:space="preserve">)</w:t>
      </w:r>
      <w:r>
        <w:t xml:space="preserve">, and others advocate for keeping different informants’ ratings separate without integrating them</w:t>
      </w:r>
      <w:r>
        <w:t xml:space="preserve"> </w:t>
      </w:r>
      <w:r>
        <w:t xml:space="preserve">(but including them in the same model;</w:t>
      </w:r>
      <w:r>
        <w:t xml:space="preserve"> </w:t>
      </w:r>
      <w:hyperlink w:anchor="ref-Aitken2023">
        <w:r>
          <w:rPr>
            <w:rStyle w:val="Hyperlink"/>
          </w:rPr>
          <w:t xml:space="preserve">Aitken et al., 2023</w:t>
        </w:r>
      </w:hyperlink>
      <w:r>
        <w:t xml:space="preserve">)</w:t>
      </w:r>
      <w:r>
        <w:t xml:space="preserve">.</w:t>
      </w:r>
      <w:r>
        <w:t xml:space="preserve"> </w:t>
      </w:r>
      <w:r>
        <w:t xml:space="preserve">As an example of a latent variable modeling approach,</w:t>
      </w:r>
      <w:r>
        <w:t xml:space="preserve"> </w:t>
      </w:r>
      <w:r>
        <w:t xml:space="preserve">Bauer et al. (</w:t>
      </w:r>
      <w:hyperlink w:anchor="ref-Bauer2013">
        <w:r>
          <w:rPr>
            <w:rStyle w:val="Hyperlink"/>
          </w:rPr>
          <w:t xml:space="preserve">2013</w:t>
        </w:r>
      </w:hyperlink>
      <w:r>
        <w:t xml:space="preserve">)</w:t>
      </w:r>
      <w:r>
        <w:t xml:space="preserve"> </w:t>
      </w:r>
      <w:r>
        <w:t xml:space="preserve">demonstrates a trifactor model that attempts to disentangle construct variance from the method effects tied to the specific item and the informant.</w:t>
      </w:r>
      <w:r>
        <w:t xml:space="preserve"> </w:t>
      </w:r>
      <w:r>
        <w:t xml:space="preserve">De Los Reyes et al. (</w:t>
      </w:r>
      <w:hyperlink w:anchor="ref-DeLosReyes2013">
        <w:r>
          <w:rPr>
            <w:rStyle w:val="Hyperlink"/>
          </w:rPr>
          <w:t xml:space="preserve">2013</w:t>
        </w:r>
      </w:hyperlink>
      <w:r>
        <w:t xml:space="preserve">)</w:t>
      </w:r>
      <w:r>
        <w:t xml:space="preserve"> </w:t>
      </w:r>
      <w:r>
        <w:t xml:space="preserve">provide the Operations Triad Model as a framework for using and interpreting reports from multiple informants</w:t>
      </w:r>
      <w:r>
        <w:t xml:space="preserve"> </w:t>
      </w:r>
      <w:r>
        <w:t xml:space="preserve">(for more information, see</w:t>
      </w:r>
      <w:r>
        <w:t xml:space="preserve"> </w:t>
      </w:r>
      <w:hyperlink w:anchor="ref-Makol2025">
        <w:r>
          <w:rPr>
            <w:rStyle w:val="Hyperlink"/>
          </w:rPr>
          <w:t xml:space="preserve">Makol et al., 2025</w:t>
        </w:r>
      </w:hyperlink>
      <w:r>
        <w:t xml:space="preserve">)</w:t>
      </w:r>
      <w:r>
        <w:t xml:space="preserve">.</w:t>
      </w:r>
      <w:r>
        <w:t xml:space="preserve"> </w:t>
      </w:r>
      <w:r>
        <w:t xml:space="preserve">In sum, finding ways to leverage the information from multiple informants will be crucial to study development of psychopathology across the lifespan</w:t>
      </w:r>
      <w:r>
        <w:t xml:space="preserve"> </w:t>
      </w:r>
      <w:r>
        <w:t xml:space="preserve">(</w:t>
      </w:r>
      <w:hyperlink w:anchor="ref-DeLosReyes2026">
        <w:r>
          <w:rPr>
            <w:rStyle w:val="Hyperlink"/>
          </w:rPr>
          <w:t xml:space="preserve">De Los Reyes, 2026</w:t>
        </w:r>
      </w:hyperlink>
      <w:r>
        <w:t xml:space="preserve">)</w:t>
      </w:r>
      <w:r>
        <w:t xml:space="preserve">.</w:t>
      </w:r>
    </w:p>
    <w:bookmarkEnd w:id="128"/>
    <w:bookmarkStart w:id="129" w:name="obsolescence-of-items-and-measures"/>
    <w:p>
      <w:pPr>
        <w:pStyle w:val="Heading2"/>
      </w:pPr>
      <w:r>
        <w:t xml:space="preserve">Obsolescence of Items and Measures</w:t>
      </w:r>
    </w:p>
    <w:p>
      <w:pPr>
        <w:pStyle w:val="FirstParagraph"/>
      </w:pPr>
      <w:r>
        <w:t xml:space="preserve">Another challenge is that questionniare items—whether the particular wording or the behavior itself—can become obsolete and irrelevant with secular changes.</w:t>
      </w:r>
      <w:r>
        <w:t xml:space="preserve"> </w:t>
      </w:r>
      <w:r>
        <w:t xml:space="preserve">For instance, due to technological changes, items focused on television use—without considering other forms of screen use—may miss important contemporary screen-related use.</w:t>
      </w:r>
      <w:r>
        <w:t xml:space="preserve"> </w:t>
      </w:r>
      <w:r>
        <w:t xml:space="preserve">Additionally, ways people use substances change over historical time.</w:t>
      </w:r>
      <w:r>
        <w:t xml:space="preserve"> </w:t>
      </w:r>
      <w:r>
        <w:t xml:space="preserve">For instance, vaping is a more contemporary way that many adolescents use nicotine.</w:t>
      </w:r>
      <w:r>
        <w:t xml:space="preserve"> </w:t>
      </w:r>
      <w:r>
        <w:t xml:space="preserve">The ways aggressive behavior manifests also changes across historical time.</w:t>
      </w:r>
      <w:r>
        <w:t xml:space="preserve"> </w:t>
      </w:r>
      <w:r>
        <w:t xml:space="preserve">Items focused on physical aggression would miss important contemporary manifestations of aggression, including cyberaggression, cyberbullying, online harassment, aggression on social media (e.g., exclusion).</w:t>
      </w:r>
      <w:r>
        <w:t xml:space="preserve"> </w:t>
      </w:r>
      <w:r>
        <w:t xml:space="preserve">In sum, it is important to keep items relevant for current use, and that naturally means changing item content and/or wording across historical time, a further reason why linking of scores (given differing item content) is crucial.</w:t>
      </w:r>
    </w:p>
    <w:bookmarkEnd w:id="129"/>
    <w:bookmarkEnd w:id="130"/>
    <w:bookmarkStart w:id="131"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31"/>
    <w:bookmarkStart w:id="444" w:name="references"/>
    <w:p>
      <w:pPr>
        <w:pStyle w:val="Heading1"/>
      </w:pPr>
      <w:r>
        <w:t xml:space="preserve">References</w:t>
      </w:r>
    </w:p>
    <w:bookmarkStart w:id="443" w:name="refs"/>
    <w:bookmarkStart w:id="133"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2: Testing and Assessment in Clinical and Counseling Psychology</w:t>
      </w:r>
      <w:r>
        <w:t xml:space="preserve"> </w:t>
      </w:r>
      <w:r>
        <w:t xml:space="preserve">(pp. 119–132). American Psychological Association.</w:t>
      </w:r>
      <w:r>
        <w:t xml:space="preserve"> </w:t>
      </w:r>
      <w:hyperlink r:id="rId132">
        <w:r>
          <w:rPr>
            <w:rStyle w:val="Hyperlink"/>
          </w:rPr>
          <w:t xml:space="preserve">https://doi.org/10.1037/14048-008</w:t>
        </w:r>
      </w:hyperlink>
    </w:p>
    <w:bookmarkEnd w:id="133"/>
    <w:bookmarkStart w:id="135" w:name="ref-Aitken2023"/>
    <w:p>
      <w:pPr>
        <w:pStyle w:val="Bibliography"/>
      </w:pPr>
      <w:r>
        <w:t xml:space="preserve">Aitken, M., Plamondon, A., Krzeczkowski, J., Kil, H., &amp; Andrade, B. F. (2023). Systematic integration of multi-informant externalizing ratings in clinical settings.</w:t>
      </w:r>
      <w:r>
        <w:t xml:space="preserve"> </w:t>
      </w:r>
      <w:r>
        <w:rPr>
          <w:i/>
          <w:iCs/>
        </w:rPr>
        <w:t xml:space="preserve">Research on Child and Adolescent Psychopathology</w:t>
      </w:r>
      <w:r>
        <w:t xml:space="preserve">.</w:t>
      </w:r>
      <w:r>
        <w:t xml:space="preserve"> </w:t>
      </w:r>
      <w:hyperlink r:id="rId134">
        <w:r>
          <w:rPr>
            <w:rStyle w:val="Hyperlink"/>
          </w:rPr>
          <w:t xml:space="preserve">https://doi.org/10.1007/s10802-023-01119-z</w:t>
        </w:r>
      </w:hyperlink>
    </w:p>
    <w:bookmarkEnd w:id="135"/>
    <w:bookmarkStart w:id="136"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36"/>
    <w:bookmarkStart w:id="138" w:name="ref-ApplegateInPress"/>
    <w:p>
      <w:pPr>
        <w:pStyle w:val="Bibliography"/>
      </w:pPr>
      <w:r>
        <w:t xml:space="preserve">Applegate, B., &amp; Lahey, B. B. (in press). Mapping persistence and change in psychological problems during the transition to adolescence:</w:t>
      </w:r>
      <w:r>
        <w:t xml:space="preserve"> </w:t>
      </w:r>
      <w:r>
        <w:t xml:space="preserve">Adding</w:t>
      </w:r>
      <w:r>
        <w:t xml:space="preserve">, subtracting, shifting, and persisting.</w:t>
      </w:r>
      <w:r>
        <w:t xml:space="preserve"> </w:t>
      </w:r>
      <w:r>
        <w:rPr>
          <w:i/>
          <w:iCs/>
        </w:rPr>
        <w:t xml:space="preserve">JCPP Advances</w:t>
      </w:r>
      <w:r>
        <w:t xml:space="preserve">, e70043.</w:t>
      </w:r>
      <w:r>
        <w:t xml:space="preserve"> </w:t>
      </w:r>
      <w:hyperlink r:id="rId137">
        <w:r>
          <w:rPr>
            <w:rStyle w:val="Hyperlink"/>
          </w:rPr>
          <w:t xml:space="preserve">https://doi.org/10.1002/jcv2.70043</w:t>
        </w:r>
      </w:hyperlink>
    </w:p>
    <w:bookmarkEnd w:id="138"/>
    <w:bookmarkStart w:id="140" w:name="ref-Averdijk2014"/>
    <w:p>
      <w:pPr>
        <w:pStyle w:val="Bibliography"/>
      </w:pPr>
      <w:r>
        <w:t xml:space="preserve">Averdijk, M. (2014). Methodological challenges in the study of age−victimization patterns.</w:t>
      </w:r>
      <w:r>
        <w:t xml:space="preserve"> </w:t>
      </w:r>
      <w:r>
        <w:t xml:space="preserve">Can</w:t>
      </w:r>
      <w:r>
        <w:t xml:space="preserve"> </w:t>
      </w:r>
      <w:r>
        <w:t xml:space="preserve">we use the accelerated design of the</w:t>
      </w:r>
      <w:r>
        <w:t xml:space="preserve"> </w:t>
      </w:r>
      <w:r>
        <w:t xml:space="preserve">NCVS</w:t>
      </w:r>
      <w:r>
        <w:t xml:space="preserve"> </w:t>
      </w:r>
      <w:r>
        <w:t xml:space="preserve">to reconstruct victim careers?</w:t>
      </w:r>
      <w:r>
        <w:t xml:space="preserve"> </w:t>
      </w:r>
      <w:r>
        <w:rPr>
          <w:i/>
          <w:iCs/>
        </w:rPr>
        <w:t xml:space="preserve">International Review of Victimology</w:t>
      </w:r>
      <w:r>
        <w:t xml:space="preserve">,</w:t>
      </w:r>
      <w:r>
        <w:t xml:space="preserve"> </w:t>
      </w:r>
      <w:r>
        <w:rPr>
          <w:i/>
          <w:iCs/>
        </w:rPr>
        <w:t xml:space="preserve">20</w:t>
      </w:r>
      <w:r>
        <w:t xml:space="preserve">(3), 265–288.</w:t>
      </w:r>
      <w:r>
        <w:t xml:space="preserve"> </w:t>
      </w:r>
      <w:hyperlink r:id="rId139">
        <w:r>
          <w:rPr>
            <w:rStyle w:val="Hyperlink"/>
          </w:rPr>
          <w:t xml:space="preserve">https://doi.org/10.1177/0269758014537147</w:t>
        </w:r>
      </w:hyperlink>
    </w:p>
    <w:bookmarkEnd w:id="140"/>
    <w:bookmarkStart w:id="142"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41">
        <w:r>
          <w:rPr>
            <w:rStyle w:val="Hyperlink"/>
          </w:rPr>
          <w:t xml:space="preserve">https://doi.org/10.1016/j.jpsychires.2013.08.016</w:t>
        </w:r>
      </w:hyperlink>
    </w:p>
    <w:bookmarkEnd w:id="142"/>
    <w:bookmarkStart w:id="144" w:name="ref-Bauer2017"/>
    <w:p>
      <w:pPr>
        <w:pStyle w:val="Bibliography"/>
      </w:pPr>
      <w:r>
        <w:t xml:space="preserve">Bauer, D. J. (2017). A more general model for testing measurement invariance and differential item functioning.</w:t>
      </w:r>
      <w:r>
        <w:t xml:space="preserve"> </w:t>
      </w:r>
      <w:r>
        <w:rPr>
          <w:i/>
          <w:iCs/>
        </w:rPr>
        <w:t xml:space="preserve">Psychological Methods</w:t>
      </w:r>
      <w:r>
        <w:t xml:space="preserve">,</w:t>
      </w:r>
      <w:r>
        <w:t xml:space="preserve"> </w:t>
      </w:r>
      <w:r>
        <w:rPr>
          <w:i/>
          <w:iCs/>
        </w:rPr>
        <w:t xml:space="preserve">22</w:t>
      </w:r>
      <w:r>
        <w:t xml:space="preserve">(3), 507–526.</w:t>
      </w:r>
      <w:r>
        <w:t xml:space="preserve"> </w:t>
      </w:r>
      <w:hyperlink r:id="rId143">
        <w:r>
          <w:rPr>
            <w:rStyle w:val="Hyperlink"/>
          </w:rPr>
          <w:t xml:space="preserve">https://doi.org/10.1037/met0000077</w:t>
        </w:r>
      </w:hyperlink>
    </w:p>
    <w:bookmarkEnd w:id="144"/>
    <w:bookmarkStart w:id="146" w:name="ref-Bauer2013"/>
    <w:p>
      <w:pPr>
        <w:pStyle w:val="Bibliography"/>
      </w:pPr>
      <w:r>
        <w:t xml:space="preserve">Bauer, D. J., Howard, A. L., Baldasaro, R. E., Curran, P. J., Hussong, A. M., Chassin, L., &amp; Zucker, R. A. (2013). A trifactor model for integrating ratings across multiple informants.</w:t>
      </w:r>
      <w:r>
        <w:t xml:space="preserve"> </w:t>
      </w:r>
      <w:r>
        <w:rPr>
          <w:i/>
          <w:iCs/>
        </w:rPr>
        <w:t xml:space="preserve">Psychological Methods</w:t>
      </w:r>
      <w:r>
        <w:t xml:space="preserve">,</w:t>
      </w:r>
      <w:r>
        <w:t xml:space="preserve"> </w:t>
      </w:r>
      <w:r>
        <w:rPr>
          <w:i/>
          <w:iCs/>
        </w:rPr>
        <w:t xml:space="preserve">18</w:t>
      </w:r>
      <w:r>
        <w:t xml:space="preserve">(4), 475–493.</w:t>
      </w:r>
      <w:r>
        <w:t xml:space="preserve"> </w:t>
      </w:r>
      <w:hyperlink r:id="rId145">
        <w:r>
          <w:rPr>
            <w:rStyle w:val="Hyperlink"/>
          </w:rPr>
          <w:t xml:space="preserve">https://doi.org/10.1037/a0032475</w:t>
        </w:r>
      </w:hyperlink>
    </w:p>
    <w:bookmarkEnd w:id="146"/>
    <w:bookmarkStart w:id="148" w:name="ref-Berluti2026"/>
    <w:p>
      <w:pPr>
        <w:pStyle w:val="Bibliography"/>
      </w:pPr>
      <w:r>
        <w:t xml:space="preserve">Berluti, K., Amormino, P., Potter, A., Wshah, S., &amp; Marsh, A. (2026). Machine learning prediction of conduct problems in children using the longitudinal</w:t>
      </w:r>
      <w:r>
        <w:t xml:space="preserve"> </w:t>
      </w:r>
      <w:r>
        <w:t xml:space="preserve">ABCD Study</w:t>
      </w:r>
      <w:r>
        <w:t xml:space="preserve">.</w:t>
      </w:r>
      <w:r>
        <w:t xml:space="preserve"> </w:t>
      </w:r>
      <w:r>
        <w:rPr>
          <w:i/>
          <w:iCs/>
        </w:rPr>
        <w:t xml:space="preserve">Journal of Child Psychology and Psychiatry</w:t>
      </w:r>
      <w:r>
        <w:t xml:space="preserve">,</w:t>
      </w:r>
      <w:r>
        <w:t xml:space="preserve"> </w:t>
      </w:r>
      <w:r>
        <w:rPr>
          <w:i/>
          <w:iCs/>
        </w:rPr>
        <w:t xml:space="preserve">67</w:t>
      </w:r>
      <w:r>
        <w:t xml:space="preserve">(3), 390–399.</w:t>
      </w:r>
      <w:r>
        <w:t xml:space="preserve"> </w:t>
      </w:r>
      <w:hyperlink r:id="rId147">
        <w:r>
          <w:rPr>
            <w:rStyle w:val="Hyperlink"/>
          </w:rPr>
          <w:t xml:space="preserve">https://doi.org/10.1111/jcpp.70057</w:t>
        </w:r>
      </w:hyperlink>
    </w:p>
    <w:bookmarkEnd w:id="148"/>
    <w:bookmarkStart w:id="150"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w:t>
      </w:r>
      <w:r>
        <w:t xml:space="preserve"> </w:t>
      </w:r>
      <w:r>
        <w:t xml:space="preserve">Findings</w:t>
      </w:r>
      <w:r>
        <w:t xml:space="preserve"> </w:t>
      </w:r>
      <w:r>
        <w:t xml:space="preserve">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49">
        <w:r>
          <w:rPr>
            <w:rStyle w:val="Hyperlink"/>
          </w:rPr>
          <w:t xml:space="preserve">https://doi.org/10.1017/S0954579423001505</w:t>
        </w:r>
      </w:hyperlink>
    </w:p>
    <w:bookmarkEnd w:id="150"/>
    <w:bookmarkStart w:id="152"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51">
        <w:r>
          <w:rPr>
            <w:rStyle w:val="Hyperlink"/>
          </w:rPr>
          <w:t xml:space="preserve">https://doi.org/10.1016/j.jaac.2017.05.019</w:t>
        </w:r>
      </w:hyperlink>
    </w:p>
    <w:bookmarkEnd w:id="152"/>
    <w:bookmarkStart w:id="154"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53">
        <w:r>
          <w:rPr>
            <w:rStyle w:val="Hyperlink"/>
          </w:rPr>
          <w:t xml:space="preserve">https://doi.org/10.1111/j.1467-8624.2004.00755.x</w:t>
        </w:r>
      </w:hyperlink>
    </w:p>
    <w:bookmarkEnd w:id="154"/>
    <w:bookmarkStart w:id="156"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1: Theory and Method</w:t>
      </w:r>
      <w:r>
        <w:t xml:space="preserve"> </w:t>
      </w:r>
      <w:r>
        <w:t xml:space="preserve">(pp. 1–45).</w:t>
      </w:r>
      <w:r>
        <w:t xml:space="preserve"> </w:t>
      </w:r>
      <w:hyperlink r:id="rId155">
        <w:r>
          <w:rPr>
            <w:rStyle w:val="Hyperlink"/>
          </w:rPr>
          <w:t xml:space="preserve">https://doi.org/10.1002/9781119125556.devpsy101</w:t>
        </w:r>
      </w:hyperlink>
    </w:p>
    <w:bookmarkEnd w:id="156"/>
    <w:bookmarkStart w:id="158" w:name="ref-Broeren2013"/>
    <w:p>
      <w:pPr>
        <w:pStyle w:val="Bibliography"/>
      </w:pPr>
      <w:r>
        <w:t xml:space="preserve">Broeren, S., Muris, P., Diamantopoulou, S., &amp; Baker, J. R. (2013). The course of childhood anxiety symptoms:</w:t>
      </w:r>
      <w:r>
        <w:t xml:space="preserve"> </w:t>
      </w:r>
      <w:r>
        <w:t xml:space="preserve">Developmental</w:t>
      </w:r>
      <w:r>
        <w:t xml:space="preserve"> </w:t>
      </w:r>
      <w:r>
        <w:t xml:space="preserve">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57">
        <w:r>
          <w:rPr>
            <w:rStyle w:val="Hyperlink"/>
          </w:rPr>
          <w:t xml:space="preserve">https://doi.org/10.1007/s10802-012-9669-9</w:t>
        </w:r>
      </w:hyperlink>
    </w:p>
    <w:bookmarkEnd w:id="158"/>
    <w:bookmarkStart w:id="160"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w:t>
      </w:r>
      <w:r>
        <w:t xml:space="preserve"> </w:t>
      </w:r>
      <w:r>
        <w:t xml:space="preserve">A</w:t>
      </w:r>
      <w:r>
        <w:t xml:space="preserve"> </w:t>
      </w:r>
      <w:r>
        <w:t xml:space="preserve">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59">
        <w:r>
          <w:rPr>
            <w:rStyle w:val="Hyperlink"/>
          </w:rPr>
          <w:t xml:space="preserve">https://doi.org/10.1037/0012-1649.39.2.222</w:t>
        </w:r>
      </w:hyperlink>
    </w:p>
    <w:bookmarkEnd w:id="160"/>
    <w:bookmarkStart w:id="162" w:name="ref-Burns2001"/>
    <w:p>
      <w:pPr>
        <w:pStyle w:val="Bibliography"/>
      </w:pPr>
      <w:r>
        <w:t xml:space="preserve">Burns, G. L., Walsh, J. A., Patterson, D. R., Holte, C. S., Sommers-Flanagan, R., &amp; Parker, C. M. (2001). Attention deficit and disruptive behavior disorder symptoms:</w:t>
      </w:r>
      <w:r>
        <w:t xml:space="preserve"> </w:t>
      </w:r>
      <w:r>
        <w:t xml:space="preserve">Usefulness</w:t>
      </w:r>
      <w:r>
        <w:t xml:space="preserve"> </w:t>
      </w:r>
      <w:r>
        <w:t xml:space="preserve">of a frequency count rating procedure to measure these symptoms.</w:t>
      </w:r>
      <w:r>
        <w:t xml:space="preserve"> </w:t>
      </w:r>
      <w:r>
        <w:rPr>
          <w:i/>
          <w:iCs/>
        </w:rPr>
        <w:t xml:space="preserve">European Journal of Psychological Assessment</w:t>
      </w:r>
      <w:r>
        <w:t xml:space="preserve">,</w:t>
      </w:r>
      <w:r>
        <w:t xml:space="preserve"> </w:t>
      </w:r>
      <w:r>
        <w:rPr>
          <w:i/>
          <w:iCs/>
        </w:rPr>
        <w:t xml:space="preserve">17</w:t>
      </w:r>
      <w:r>
        <w:t xml:space="preserve">(1), 25–35.</w:t>
      </w:r>
      <w:r>
        <w:t xml:space="preserve"> </w:t>
      </w:r>
      <w:hyperlink r:id="rId161">
        <w:r>
          <w:rPr>
            <w:rStyle w:val="Hyperlink"/>
          </w:rPr>
          <w:t xml:space="preserve">https://doi.org/10.1027/1015-5759.17.1.25</w:t>
        </w:r>
      </w:hyperlink>
    </w:p>
    <w:bookmarkEnd w:id="162"/>
    <w:bookmarkStart w:id="164" w:name="ref-Burt2012"/>
    <w:p>
      <w:pPr>
        <w:pStyle w:val="Bibliography"/>
      </w:pPr>
      <w:r>
        <w:t xml:space="preserve">Burt, S. A. (2012). How do we optimally conceptualize the heterogeneity within antisocial behavior?</w:t>
      </w:r>
      <w:r>
        <w:t xml:space="preserve"> </w:t>
      </w:r>
      <w:r>
        <w:t xml:space="preserve">An</w:t>
      </w:r>
      <w:r>
        <w:t xml:space="preserve"> </w:t>
      </w:r>
      <w:r>
        <w:t xml:space="preserve">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63">
        <w:r>
          <w:rPr>
            <w:rStyle w:val="Hyperlink"/>
          </w:rPr>
          <w:t xml:space="preserve">https://doi.org/10.1016/j.cpr.2012.02.006</w:t>
        </w:r>
      </w:hyperlink>
    </w:p>
    <w:bookmarkEnd w:id="164"/>
    <w:bookmarkStart w:id="166"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65">
        <w:r>
          <w:rPr>
            <w:rStyle w:val="Hyperlink"/>
          </w:rPr>
          <w:t xml:space="preserve">https://doi.org/10.1001/jamanetworkopen.2020.3221</w:t>
        </w:r>
      </w:hyperlink>
    </w:p>
    <w:bookmarkEnd w:id="166"/>
    <w:bookmarkStart w:id="168"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w:t>
      </w:r>
      <w:r>
        <w:t xml:space="preserve"> </w:t>
      </w:r>
      <w:r>
        <w:t xml:space="preserve">One</w:t>
      </w:r>
      <w:r>
        <w:t xml:space="preserve"> </w:t>
      </w:r>
      <w:r>
        <w:t xml:space="preserve">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67">
        <w:r>
          <w:rPr>
            <w:rStyle w:val="Hyperlink"/>
          </w:rPr>
          <w:t xml:space="preserve">https://doi.org/10.1177/2167702613497473</w:t>
        </w:r>
      </w:hyperlink>
    </w:p>
    <w:bookmarkEnd w:id="168"/>
    <w:bookmarkStart w:id="170"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r>
        <w:t xml:space="preserve"> </w:t>
      </w:r>
      <w:hyperlink r:id="rId169">
        <w:r>
          <w:rPr>
            <w:rStyle w:val="Hyperlink"/>
          </w:rPr>
          <w:t xml:space="preserve">https://doi.org/10.1002/9780470147658.chpsy0306</w:t>
        </w:r>
      </w:hyperlink>
    </w:p>
    <w:bookmarkEnd w:id="170"/>
    <w:bookmarkStart w:id="172"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71">
        <w:r>
          <w:rPr>
            <w:rStyle w:val="Hyperlink"/>
          </w:rPr>
          <w:t xml:space="preserve">https://doi.org/10.1007/s40865-015-0012-3</w:t>
        </w:r>
      </w:hyperlink>
    </w:p>
    <w:bookmarkEnd w:id="172"/>
    <w:bookmarkStart w:id="174" w:name="ref-ChenMBR"/>
    <w:p>
      <w:pPr>
        <w:pStyle w:val="Bibliography"/>
      </w:pPr>
      <w:r>
        <w:t xml:space="preserve">Chen, S. M., &amp; Bauer, D. J. (in pressa). Improving the evaluation of construct change over time:</w:t>
      </w:r>
      <w:r>
        <w:t xml:space="preserve"> </w:t>
      </w:r>
      <w:r>
        <w:t xml:space="preserve">Advantages</w:t>
      </w:r>
      <w:r>
        <w:t xml:space="preserve"> </w:t>
      </w:r>
      <w:r>
        <w:t xml:space="preserve">of longitudinal moderated nonlinear factor analysis over conventional first-order growth models.</w:t>
      </w:r>
      <w:r>
        <w:t xml:space="preserve"> </w:t>
      </w:r>
      <w:r>
        <w:rPr>
          <w:i/>
          <w:iCs/>
        </w:rPr>
        <w:t xml:space="preserve">Multivariate Behavioral Research</w:t>
      </w:r>
      <w:r>
        <w:t xml:space="preserve">, 1–27.</w:t>
      </w:r>
      <w:r>
        <w:t xml:space="preserve"> </w:t>
      </w:r>
      <w:hyperlink r:id="rId173">
        <w:r>
          <w:rPr>
            <w:rStyle w:val="Hyperlink"/>
          </w:rPr>
          <w:t xml:space="preserve">https://doi.org/10.1080/00273171.2026.2640576</w:t>
        </w:r>
      </w:hyperlink>
    </w:p>
    <w:bookmarkEnd w:id="174"/>
    <w:bookmarkStart w:id="176" w:name="ref-ChenPM"/>
    <w:p>
      <w:pPr>
        <w:pStyle w:val="Bibliography"/>
      </w:pPr>
      <w:r>
        <w:t xml:space="preserve">Chen, S. M., &amp; Bauer, D. J. (in pressb). Modeling construct change over time amidst potential changes in construct measurement:</w:t>
      </w:r>
      <w:r>
        <w:t xml:space="preserve"> </w:t>
      </w:r>
      <w:r>
        <w:t xml:space="preserve">A</w:t>
      </w:r>
      <w:r>
        <w:t xml:space="preserve"> </w:t>
      </w:r>
      <w:r>
        <w:t xml:space="preserve">longitudinal moderated factor analysis approach.</w:t>
      </w:r>
      <w:r>
        <w:t xml:space="preserve"> </w:t>
      </w:r>
      <w:r>
        <w:rPr>
          <w:i/>
          <w:iCs/>
        </w:rPr>
        <w:t xml:space="preserve">Psychological Methods</w:t>
      </w:r>
      <w:r>
        <w:t xml:space="preserve">.</w:t>
      </w:r>
      <w:r>
        <w:t xml:space="preserve"> </w:t>
      </w:r>
      <w:hyperlink r:id="rId175">
        <w:r>
          <w:rPr>
            <w:rStyle w:val="Hyperlink"/>
          </w:rPr>
          <w:t xml:space="preserve">https://doi.org/10.1037/met0000685</w:t>
        </w:r>
      </w:hyperlink>
    </w:p>
    <w:bookmarkEnd w:id="176"/>
    <w:bookmarkStart w:id="178"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r>
        <w:t xml:space="preserve"> </w:t>
      </w:r>
      <w:hyperlink r:id="rId177">
        <w:r>
          <w:rPr>
            <w:rStyle w:val="Hyperlink"/>
          </w:rPr>
          <w:t xml:space="preserve">https://doi.org/10.14283/jfa.2012.9</w:t>
        </w:r>
      </w:hyperlink>
    </w:p>
    <w:bookmarkEnd w:id="178"/>
    <w:bookmarkStart w:id="180"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79">
        <w:r>
          <w:rPr>
            <w:rStyle w:val="Hyperlink"/>
          </w:rPr>
          <w:t xml:space="preserve">https://doi.org/10.1037/0022-006X.70.1.6</w:t>
        </w:r>
      </w:hyperlink>
    </w:p>
    <w:bookmarkEnd w:id="180"/>
    <w:bookmarkStart w:id="182" w:name="ref-Cieciuch2014"/>
    <w:p>
      <w:pPr>
        <w:pStyle w:val="Bibliography"/>
      </w:pPr>
      <w:r>
        <w:t xml:space="preserve">Cieciuch, J., Davidov, E., Schmidt, P., Algesheimer, R., &amp; Schwartz, S. H. (2014). Comparing results of an exact vs. An approximate (bayesian) measurement invariance test:</w:t>
      </w:r>
      <w:r>
        <w:t xml:space="preserve"> </w:t>
      </w:r>
      <w:r>
        <w:t xml:space="preserve">A</w:t>
      </w:r>
      <w:r>
        <w:t xml:space="preserve"> </w:t>
      </w:r>
      <w:r>
        <w:t xml:space="preserve">cross-country illustration with a scale to measure 19 human values.</w:t>
      </w:r>
      <w:r>
        <w:t xml:space="preserve"> </w:t>
      </w:r>
      <w:r>
        <w:rPr>
          <w:i/>
          <w:iCs/>
        </w:rPr>
        <w:t xml:space="preserve">Frontiers in Psychology</w:t>
      </w:r>
      <w:r>
        <w:t xml:space="preserve">,</w:t>
      </w:r>
      <w:r>
        <w:t xml:space="preserve"> </w:t>
      </w:r>
      <w:r>
        <w:rPr>
          <w:i/>
          <w:iCs/>
        </w:rPr>
        <w:t xml:space="preserve">5</w:t>
      </w:r>
      <w:r>
        <w:t xml:space="preserve">(982).</w:t>
      </w:r>
      <w:r>
        <w:t xml:space="preserve"> </w:t>
      </w:r>
      <w:hyperlink r:id="rId181">
        <w:r>
          <w:rPr>
            <w:rStyle w:val="Hyperlink"/>
          </w:rPr>
          <w:t xml:space="preserve">https://doi.org/10.3389/fpsyg.2014.00982</w:t>
        </w:r>
      </w:hyperlink>
    </w:p>
    <w:bookmarkEnd w:id="182"/>
    <w:bookmarkStart w:id="184" w:name="ref-Coghill2012"/>
    <w:p>
      <w:pPr>
        <w:pStyle w:val="Bibliography"/>
      </w:pPr>
      <w:r>
        <w:t xml:space="preserve">Coghill, D., &amp; Sonuga-Barke, E. J. S. (2012).</w:t>
      </w:r>
      <w:r>
        <w:t xml:space="preserve"> </w:t>
      </w:r>
      <w:r>
        <w:t xml:space="preserve">Annual Research Review</w:t>
      </w:r>
      <w:r>
        <w:t xml:space="preserve">:</w:t>
      </w:r>
      <w:r>
        <w:t xml:space="preserve"> </w:t>
      </w:r>
      <w:r>
        <w:t xml:space="preserve">Categories</w:t>
      </w:r>
      <w:r>
        <w:t xml:space="preserve"> </w:t>
      </w:r>
      <w:r>
        <w:t xml:space="preserve">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83">
        <w:r>
          <w:rPr>
            <w:rStyle w:val="Hyperlink"/>
          </w:rPr>
          <w:t xml:space="preserve">https://doi.org/10.1111/j.1469-7610.2011.02511.x</w:t>
        </w:r>
      </w:hyperlink>
    </w:p>
    <w:bookmarkEnd w:id="184"/>
    <w:bookmarkStart w:id="186" w:name="ref-Culpepper2013"/>
    <w:p>
      <w:pPr>
        <w:pStyle w:val="Bibliography"/>
      </w:pPr>
      <w:r>
        <w:t xml:space="preserve">Culpepper, S. A. (2013). The reliability and precision of total scores and</w:t>
      </w:r>
      <w:r>
        <w:t xml:space="preserve"> </w:t>
      </w:r>
      <w:r>
        <w:t xml:space="preserve">IRT</w:t>
      </w:r>
      <w:r>
        <w:t xml:space="preserve"> </w:t>
      </w:r>
      <w:r>
        <w:t xml:space="preserve">estimates as a function of polytomous</w:t>
      </w:r>
      <w:r>
        <w:t xml:space="preserve"> </w:t>
      </w:r>
      <w:r>
        <w:t xml:space="preserve">IRT</w:t>
      </w:r>
      <w:r>
        <w:t xml:space="preserve"> </w:t>
      </w:r>
      <w:r>
        <w:t xml:space="preserve">parameters and latent trait distribution.</w:t>
      </w:r>
      <w:r>
        <w:t xml:space="preserve"> </w:t>
      </w:r>
      <w:r>
        <w:rPr>
          <w:i/>
          <w:iCs/>
        </w:rPr>
        <w:t xml:space="preserve">Applied Psychological Measurement</w:t>
      </w:r>
      <w:r>
        <w:t xml:space="preserve">,</w:t>
      </w:r>
      <w:r>
        <w:t xml:space="preserve"> </w:t>
      </w:r>
      <w:r>
        <w:rPr>
          <w:i/>
          <w:iCs/>
        </w:rPr>
        <w:t xml:space="preserve">37</w:t>
      </w:r>
      <w:r>
        <w:t xml:space="preserve">(3), 201–225.</w:t>
      </w:r>
      <w:r>
        <w:t xml:space="preserve"> </w:t>
      </w:r>
      <w:hyperlink r:id="rId185">
        <w:r>
          <w:rPr>
            <w:rStyle w:val="Hyperlink"/>
          </w:rPr>
          <w:t xml:space="preserve">https://doi.org/10.1177/0146621612470210</w:t>
        </w:r>
      </w:hyperlink>
    </w:p>
    <w:bookmarkEnd w:id="186"/>
    <w:bookmarkStart w:id="188" w:name="ref-Curran2008"/>
    <w:p>
      <w:pPr>
        <w:pStyle w:val="Bibliography"/>
      </w:pPr>
      <w:r>
        <w:t xml:space="preserve">Curran, P. J., Hussong, A. M., Cai, L., Huang, W., Chassin, L., Sher, K. J., &amp; Zucker, R. A. (2008). Pooling data from multiple longitudinal studies:</w:t>
      </w:r>
      <w:r>
        <w:t xml:space="preserve"> </w:t>
      </w:r>
      <w:r>
        <w:t xml:space="preserve">The</w:t>
      </w:r>
      <w:r>
        <w:t xml:space="preserve"> </w:t>
      </w:r>
      <w:r>
        <w:t xml:space="preserve">role of item response theory in integrative data analysis.</w:t>
      </w:r>
      <w:r>
        <w:t xml:space="preserve"> </w:t>
      </w:r>
      <w:r>
        <w:rPr>
          <w:i/>
          <w:iCs/>
        </w:rPr>
        <w:t xml:space="preserve">Developmental Psychology</w:t>
      </w:r>
      <w:r>
        <w:t xml:space="preserve">,</w:t>
      </w:r>
      <w:r>
        <w:t xml:space="preserve"> </w:t>
      </w:r>
      <w:r>
        <w:rPr>
          <w:i/>
          <w:iCs/>
        </w:rPr>
        <w:t xml:space="preserve">44</w:t>
      </w:r>
      <w:r>
        <w:t xml:space="preserve">(2), 365.</w:t>
      </w:r>
      <w:r>
        <w:t xml:space="preserve"> </w:t>
      </w:r>
      <w:hyperlink r:id="rId187">
        <w:r>
          <w:rPr>
            <w:rStyle w:val="Hyperlink"/>
          </w:rPr>
          <w:t xml:space="preserve">https://doi.org/10.1037/0012-1649.44.2.365</w:t>
        </w:r>
      </w:hyperlink>
    </w:p>
    <w:bookmarkEnd w:id="188"/>
    <w:bookmarkStart w:id="190" w:name="ref-Curran2014"/>
    <w:p>
      <w:pPr>
        <w:pStyle w:val="Bibliography"/>
      </w:pPr>
      <w:r>
        <w:t xml:space="preserve">Curran, P. J., McGinley, J. S., Bauer, D. J., Hussong, A. M., Burns, A., Chassin, L., Sher, K., &amp; Zucker, R. (2014). A moderated nonlinear factor model for the development of commensurate measures in integrative data analysis.</w:t>
      </w:r>
      <w:r>
        <w:t xml:space="preserve"> </w:t>
      </w:r>
      <w:r>
        <w:rPr>
          <w:i/>
          <w:iCs/>
        </w:rPr>
        <w:t xml:space="preserve">Multivariate Behavioral Research</w:t>
      </w:r>
      <w:r>
        <w:t xml:space="preserve">,</w:t>
      </w:r>
      <w:r>
        <w:t xml:space="preserve"> </w:t>
      </w:r>
      <w:r>
        <w:rPr>
          <w:i/>
          <w:iCs/>
        </w:rPr>
        <w:t xml:space="preserve">49</w:t>
      </w:r>
      <w:r>
        <w:t xml:space="preserve">(3), 214–231.</w:t>
      </w:r>
      <w:r>
        <w:t xml:space="preserve"> </w:t>
      </w:r>
      <w:hyperlink r:id="rId189">
        <w:r>
          <w:rPr>
            <w:rStyle w:val="Hyperlink"/>
          </w:rPr>
          <w:t xml:space="preserve">https://doi.org/10.1080/00273171.2014.889594</w:t>
        </w:r>
      </w:hyperlink>
    </w:p>
    <w:bookmarkEnd w:id="190"/>
    <w:bookmarkStart w:id="192" w:name="ref-DeLosReyes2026"/>
    <w:p>
      <w:pPr>
        <w:pStyle w:val="Bibliography"/>
      </w:pPr>
      <w:r>
        <w:t xml:space="preserve">De Los Reyes, A. (2026). Toward integrative, multisource, and multimodal approaches to assessing psychopathology intergenerationally and across the lifespan:</w:t>
      </w:r>
      <w:r>
        <w:t xml:space="preserve"> </w:t>
      </w:r>
      <w:r>
        <w:t xml:space="preserve">Commentary</w:t>
      </w:r>
      <w:r>
        <w:t xml:space="preserve"> </w:t>
      </w:r>
      <w:r>
        <w:t xml:space="preserve">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91">
        <w:r>
          <w:rPr>
            <w:rStyle w:val="Hyperlink"/>
          </w:rPr>
          <w:t xml:space="preserve">https://doi.org/10.1037/abn0001084</w:t>
        </w:r>
      </w:hyperlink>
    </w:p>
    <w:bookmarkEnd w:id="192"/>
    <w:bookmarkStart w:id="194" w:name="ref-DeLosReyes2025"/>
    <w:p>
      <w:pPr>
        <w:pStyle w:val="Bibliography"/>
      </w:pPr>
      <w:r>
        <w:t xml:space="preserve">De Los Reyes, A., L., O. F., J., R. S., Armando, P., D., M. B., Mo, W., &amp; Charamut, N. R. and. (2025). Editorial:</w:t>
      </w:r>
      <w:r>
        <w:t xml:space="preserve"> </w:t>
      </w:r>
      <w:r>
        <w:t xml:space="preserve">Fairness</w:t>
      </w:r>
      <w:r>
        <w:t xml:space="preserve">, validity, and transparency in what researchers assume when testing for measurement invariance.</w:t>
      </w:r>
      <w:r>
        <w:t xml:space="preserve"> </w:t>
      </w:r>
      <w:r>
        <w:rPr>
          <w:i/>
          <w:iCs/>
        </w:rPr>
        <w:t xml:space="preserve">Journal of Clinical Child &amp; Adolescent Psychology</w:t>
      </w:r>
      <w:r>
        <w:t xml:space="preserve">,</w:t>
      </w:r>
      <w:r>
        <w:t xml:space="preserve"> </w:t>
      </w:r>
      <w:r>
        <w:rPr>
          <w:i/>
          <w:iCs/>
        </w:rPr>
        <w:t xml:space="preserve">54</w:t>
      </w:r>
      <w:r>
        <w:t xml:space="preserve">(3), 299–317.</w:t>
      </w:r>
      <w:r>
        <w:t xml:space="preserve"> </w:t>
      </w:r>
      <w:hyperlink r:id="rId193">
        <w:r>
          <w:rPr>
            <w:rStyle w:val="Hyperlink"/>
          </w:rPr>
          <w:t xml:space="preserve">https://doi.org/10.1080/15374416.2025.2484813</w:t>
        </w:r>
      </w:hyperlink>
    </w:p>
    <w:bookmarkEnd w:id="194"/>
    <w:bookmarkStart w:id="196" w:name="ref-DeLosReyes2013"/>
    <w:p>
      <w:pPr>
        <w:pStyle w:val="Bibliography"/>
      </w:pPr>
      <w:r>
        <w:t xml:space="preserve">De Los Reyes, A., Thomas, S. A., Goodman, K. L., &amp; Kundey, S. M. A. (2013). Principles underlying the use of multiple informants’ reports.</w:t>
      </w:r>
      <w:r>
        <w:t xml:space="preserve"> </w:t>
      </w:r>
      <w:r>
        <w:rPr>
          <w:i/>
          <w:iCs/>
        </w:rPr>
        <w:t xml:space="preserve">Annual Review of Clinical Psychology</w:t>
      </w:r>
      <w:r>
        <w:t xml:space="preserve">,</w:t>
      </w:r>
      <w:r>
        <w:t xml:space="preserve"> </w:t>
      </w:r>
      <w:r>
        <w:rPr>
          <w:i/>
          <w:iCs/>
        </w:rPr>
        <w:t xml:space="preserve">9</w:t>
      </w:r>
      <w:r>
        <w:t xml:space="preserve">(1), 123–149.</w:t>
      </w:r>
      <w:r>
        <w:t xml:space="preserve"> </w:t>
      </w:r>
      <w:hyperlink r:id="rId195">
        <w:r>
          <w:rPr>
            <w:rStyle w:val="Hyperlink"/>
          </w:rPr>
          <w:t xml:space="preserve">https://doi.org/10.1146/annurev-clinpsy-050212-185617</w:t>
        </w:r>
      </w:hyperlink>
    </w:p>
    <w:bookmarkEnd w:id="196"/>
    <w:bookmarkStart w:id="198"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97">
        <w:r>
          <w:rPr>
            <w:rStyle w:val="Hyperlink"/>
          </w:rPr>
          <w:t xml:space="preserve">https://doi.org/10.1126/science.2270481</w:t>
        </w:r>
      </w:hyperlink>
    </w:p>
    <w:bookmarkEnd w:id="198"/>
    <w:bookmarkStart w:id="200" w:name="ref-Edwards2012"/>
    <w:p>
      <w:pPr>
        <w:pStyle w:val="Bibliography"/>
      </w:pPr>
      <w:r>
        <w:t xml:space="preserve">Edwards, M. C., &amp; Wirth, R. J. (2012). Valid measurement without factorial invariance:</w:t>
      </w:r>
      <w:r>
        <w:t xml:space="preserve"> </w:t>
      </w:r>
      <w:r>
        <w:t xml:space="preserve">A</w:t>
      </w:r>
      <w:r>
        <w:t xml:space="preserve"> </w:t>
      </w:r>
      <w:r>
        <w:t xml:space="preserve">longitudinal example. In G. R. Hancock &amp; J. R. Harring (Eds.),</w:t>
      </w:r>
      <w:r>
        <w:t xml:space="preserve"> </w:t>
      </w:r>
      <w:r>
        <w:rPr>
          <w:i/>
          <w:iCs/>
        </w:rPr>
        <w:t xml:space="preserve">Advances in longitudinal methods in the social and behavioral sciences</w:t>
      </w:r>
      <w:r>
        <w:t xml:space="preserve"> </w:t>
      </w:r>
      <w:r>
        <w:t xml:space="preserve">(pp. 289–311). Information Age Publishing.</w:t>
      </w:r>
      <w:r>
        <w:t xml:space="preserve"> </w:t>
      </w:r>
      <w:hyperlink r:id="rId199">
        <w:r>
          <w:rPr>
            <w:rStyle w:val="Hyperlink"/>
          </w:rPr>
          <w:t xml:space="preserve">https://doi.org/10.1108/978-1-61735-891-320251015</w:t>
        </w:r>
      </w:hyperlink>
    </w:p>
    <w:bookmarkEnd w:id="200"/>
    <w:bookmarkStart w:id="202" w:name="ref-Elliott1980"/>
    <w:p>
      <w:pPr>
        <w:pStyle w:val="Bibliography"/>
      </w:pPr>
      <w:r>
        <w:t xml:space="preserve">Elliott, D. S., &amp; Ageton, S. S. (1980). Reconciling race and class differences in self-reported and official estimates of delinquency.</w:t>
      </w:r>
      <w:r>
        <w:t xml:space="preserve"> </w:t>
      </w:r>
      <w:r>
        <w:rPr>
          <w:i/>
          <w:iCs/>
        </w:rPr>
        <w:t xml:space="preserve">American Sociological Review</w:t>
      </w:r>
      <w:r>
        <w:t xml:space="preserve">,</w:t>
      </w:r>
      <w:r>
        <w:t xml:space="preserve"> </w:t>
      </w:r>
      <w:r>
        <w:rPr>
          <w:i/>
          <w:iCs/>
        </w:rPr>
        <w:t xml:space="preserve">45</w:t>
      </w:r>
      <w:r>
        <w:t xml:space="preserve">(1), 95–110.</w:t>
      </w:r>
      <w:r>
        <w:t xml:space="preserve"> </w:t>
      </w:r>
      <w:hyperlink r:id="rId201">
        <w:r>
          <w:rPr>
            <w:rStyle w:val="Hyperlink"/>
          </w:rPr>
          <w:t xml:space="preserve">https://doi.org/10.2307/2095245</w:t>
        </w:r>
      </w:hyperlink>
    </w:p>
    <w:bookmarkEnd w:id="202"/>
    <w:bookmarkStart w:id="203" w:name="ref-Enders2022"/>
    <w:p>
      <w:pPr>
        <w:pStyle w:val="Bibliography"/>
      </w:pPr>
      <w:r>
        <w:t xml:space="preserve">Enders, C. K. (2022).</w:t>
      </w:r>
      <w:r>
        <w:t xml:space="preserve"> </w:t>
      </w:r>
      <w:r>
        <w:rPr>
          <w:i/>
          <w:iCs/>
        </w:rPr>
        <w:t xml:space="preserve">Applied missing data analysis</w:t>
      </w:r>
      <w:r>
        <w:t xml:space="preserve">. Guilford Publications.</w:t>
      </w:r>
    </w:p>
    <w:bookmarkEnd w:id="203"/>
    <w:bookmarkStart w:id="205" w:name="ref-Enders2025"/>
    <w:p>
      <w:pPr>
        <w:pStyle w:val="Bibliography"/>
      </w:pPr>
      <w:r>
        <w:t xml:space="preserve">Enders, C. K. (2025). Missing data:</w:t>
      </w:r>
      <w:r>
        <w:t xml:space="preserve"> </w:t>
      </w:r>
      <w:r>
        <w:t xml:space="preserve">An</w:t>
      </w:r>
      <w:r>
        <w:t xml:space="preserve"> </w:t>
      </w:r>
      <w:r>
        <w:t xml:space="preserve">update on the state of the art.</w:t>
      </w:r>
      <w:r>
        <w:t xml:space="preserve"> </w:t>
      </w:r>
      <w:r>
        <w:rPr>
          <w:i/>
          <w:iCs/>
        </w:rPr>
        <w:t xml:space="preserve">Psychological Methods</w:t>
      </w:r>
      <w:r>
        <w:t xml:space="preserve">,</w:t>
      </w:r>
      <w:r>
        <w:t xml:space="preserve"> </w:t>
      </w:r>
      <w:r>
        <w:rPr>
          <w:i/>
          <w:iCs/>
        </w:rPr>
        <w:t xml:space="preserve">30</w:t>
      </w:r>
      <w:r>
        <w:t xml:space="preserve">(2), 322–339.</w:t>
      </w:r>
      <w:r>
        <w:t xml:space="preserve"> </w:t>
      </w:r>
      <w:hyperlink r:id="rId204">
        <w:r>
          <w:rPr>
            <w:rStyle w:val="Hyperlink"/>
          </w:rPr>
          <w:t xml:space="preserve">https://doi.org/10.1037/met0000563</w:t>
        </w:r>
      </w:hyperlink>
    </w:p>
    <w:bookmarkEnd w:id="205"/>
    <w:bookmarkStart w:id="207" w:name="ref-Fairchild2013"/>
    <w:p>
      <w:pPr>
        <w:pStyle w:val="Bibliography"/>
      </w:pPr>
      <w:r>
        <w:t xml:space="preserve">Fairchild, G., Goozen, S. H. M. van, Calder, A. J., &amp; Goodyer, I. M. (2013).</w:t>
      </w:r>
      <w:r>
        <w:t xml:space="preserve"> </w:t>
      </w:r>
      <w:r>
        <w:t xml:space="preserve">Research Review</w:t>
      </w:r>
      <w:r>
        <w:t xml:space="preserve">:</w:t>
      </w:r>
      <w:r>
        <w:t xml:space="preserve"> </w:t>
      </w:r>
      <w:r>
        <w:t xml:space="preserve">Evaluating and reformulating the developmental taxonomic theory of antisocial behaviour</w:t>
      </w:r>
      <w:r>
        <w:t xml:space="preserve">.</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206">
        <w:r>
          <w:rPr>
            <w:rStyle w:val="Hyperlink"/>
          </w:rPr>
          <w:t xml:space="preserve">https://doi.org/10.1111/jcpp.12102</w:t>
        </w:r>
      </w:hyperlink>
    </w:p>
    <w:bookmarkEnd w:id="207"/>
    <w:bookmarkStart w:id="209" w:name="ref-Farrington2023"/>
    <w:p>
      <w:pPr>
        <w:pStyle w:val="Bibliography"/>
      </w:pPr>
      <w:r>
        <w:t xml:space="preserve">Farrington, D. P., Piquero, A. R., Jennings, W. G., &amp; Jolliffe, D. (2023).</w:t>
      </w:r>
      <w:r>
        <w:t xml:space="preserve"> </w:t>
      </w:r>
      <w:r>
        <w:rPr>
          <w:i/>
          <w:iCs/>
        </w:rPr>
        <w:t xml:space="preserve">Offending from childhood to late middle age:</w:t>
      </w:r>
      <w:r>
        <w:rPr>
          <w:i/>
          <w:iCs/>
        </w:rPr>
        <w:t xml:space="preserve"> </w:t>
      </w:r>
      <w:r>
        <w:rPr>
          <w:i/>
          <w:iCs/>
        </w:rPr>
        <w:t xml:space="preserve">Recent</w:t>
      </w:r>
      <w:r>
        <w:rPr>
          <w:i/>
          <w:iCs/>
        </w:rPr>
        <w:t xml:space="preserve"> </w:t>
      </w:r>
      <w:r>
        <w:rPr>
          <w:i/>
          <w:iCs/>
        </w:rPr>
        <w:t xml:space="preserve">results from the</w:t>
      </w:r>
      <w:r>
        <w:rPr>
          <w:i/>
          <w:iCs/>
        </w:rPr>
        <w:t xml:space="preserve"> </w:t>
      </w:r>
      <w:r>
        <w:rPr>
          <w:i/>
          <w:iCs/>
        </w:rPr>
        <w:t xml:space="preserve">Cambridge Study in Delinquent Development</w:t>
      </w:r>
      <w:r>
        <w:t xml:space="preserve"> </w:t>
      </w:r>
      <w:r>
        <w:t xml:space="preserve">(pp. 47–71). Springer New York.</w:t>
      </w:r>
      <w:r>
        <w:t xml:space="preserve"> </w:t>
      </w:r>
      <w:hyperlink r:id="rId208">
        <w:r>
          <w:rPr>
            <w:rStyle w:val="Hyperlink"/>
          </w:rPr>
          <w:t xml:space="preserve">https://doi.org/10.1007/978-1-0716-3335-9_5</w:t>
        </w:r>
      </w:hyperlink>
    </w:p>
    <w:bookmarkEnd w:id="209"/>
    <w:bookmarkStart w:id="211" w:name="ref-Ferrer2004"/>
    <w:p>
      <w:pPr>
        <w:pStyle w:val="Bibliography"/>
      </w:pPr>
      <w:r>
        <w:t xml:space="preserve">Ferrer, E., Salthouse, T. A., Stewart, W. F., &amp; Schwartz, B. S. (2004). Modeling age and retest processes in longitudinal studies of cognitive abilities.</w:t>
      </w:r>
      <w:r>
        <w:t xml:space="preserve"> </w:t>
      </w:r>
      <w:r>
        <w:rPr>
          <w:i/>
          <w:iCs/>
        </w:rPr>
        <w:t xml:space="preserve">Psychology and Aging</w:t>
      </w:r>
      <w:r>
        <w:t xml:space="preserve">,</w:t>
      </w:r>
      <w:r>
        <w:t xml:space="preserve"> </w:t>
      </w:r>
      <w:r>
        <w:rPr>
          <w:i/>
          <w:iCs/>
        </w:rPr>
        <w:t xml:space="preserve">19</w:t>
      </w:r>
      <w:r>
        <w:t xml:space="preserve">(2), 243–259.</w:t>
      </w:r>
      <w:r>
        <w:t xml:space="preserve"> </w:t>
      </w:r>
      <w:hyperlink r:id="rId210">
        <w:r>
          <w:rPr>
            <w:rStyle w:val="Hyperlink"/>
          </w:rPr>
          <w:t xml:space="preserve">https://doi.org/10.1037/0882-7974.19.2.243</w:t>
        </w:r>
      </w:hyperlink>
    </w:p>
    <w:bookmarkEnd w:id="211"/>
    <w:bookmarkStart w:id="213" w:name="ref-Forbes2016"/>
    <w:p>
      <w:pPr>
        <w:pStyle w:val="Bibliography"/>
      </w:pPr>
      <w:r>
        <w:t xml:space="preserve">Forbes, M. K., Tackett, J. L., Markon, K. E., &amp; Krueger, R. F. (2016). Beyond comorbidity:</w:t>
      </w:r>
      <w:r>
        <w:t xml:space="preserve"> </w:t>
      </w:r>
      <w:r>
        <w:t xml:space="preserve">Toward</w:t>
      </w:r>
      <w:r>
        <w:t xml:space="preserve"> </w:t>
      </w:r>
      <w:r>
        <w:t xml:space="preserve">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212">
        <w:r>
          <w:rPr>
            <w:rStyle w:val="Hyperlink"/>
          </w:rPr>
          <w:t xml:space="preserve">https://doi.org/10.1017/S0954579416000651</w:t>
        </w:r>
      </w:hyperlink>
    </w:p>
    <w:bookmarkEnd w:id="213"/>
    <w:bookmarkStart w:id="215" w:name="ref-Funder2024"/>
    <w:p>
      <w:pPr>
        <w:pStyle w:val="Bibliography"/>
      </w:pPr>
      <w:r>
        <w:t xml:space="preserve">Funder, D. C., &amp; Gardiner, G. (2024).</w:t>
      </w:r>
      <w:r>
        <w:t xml:space="preserve"> </w:t>
      </w:r>
      <w:r>
        <w:t xml:space="preserve">MIsgivings</w:t>
      </w:r>
      <w:r>
        <w:t xml:space="preserve"> </w:t>
      </w:r>
      <w:r>
        <w:t xml:space="preserve">about measurement invariance.</w:t>
      </w:r>
      <w:r>
        <w:t xml:space="preserve"> </w:t>
      </w:r>
      <w:r>
        <w:rPr>
          <w:i/>
          <w:iCs/>
        </w:rPr>
        <w:t xml:space="preserve">European Journal of Personality</w:t>
      </w:r>
      <w:r>
        <w:t xml:space="preserve">,</w:t>
      </w:r>
      <w:r>
        <w:t xml:space="preserve"> </w:t>
      </w:r>
      <w:r>
        <w:rPr>
          <w:i/>
          <w:iCs/>
        </w:rPr>
        <w:t xml:space="preserve">38</w:t>
      </w:r>
      <w:r>
        <w:t xml:space="preserve">(6), 889–895.</w:t>
      </w:r>
      <w:r>
        <w:t xml:space="preserve"> </w:t>
      </w:r>
      <w:hyperlink r:id="rId214">
        <w:r>
          <w:rPr>
            <w:rStyle w:val="Hyperlink"/>
          </w:rPr>
          <w:t xml:space="preserve">https://doi.org/10.1177/08902070241228338</w:t>
        </w:r>
      </w:hyperlink>
    </w:p>
    <w:bookmarkEnd w:id="215"/>
    <w:bookmarkStart w:id="216"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216"/>
    <w:bookmarkStart w:id="218" w:name="ref-Godoy2021"/>
    <w:p>
      <w:pPr>
        <w:pStyle w:val="Bibliography"/>
      </w:pPr>
      <w:r>
        <w:t xml:space="preserve">Godoy, L. L. de, Alves, C. A. P. F., Saavedra, J. S. M., Studart-Neto, A., Nitrini, R., Costa Leite, C. da, &amp; Bisdas, S. (2021). Understanding brain resilience in superagers:</w:t>
      </w:r>
      <w:r>
        <w:t xml:space="preserve"> </w:t>
      </w:r>
      <w:r>
        <w:t xml:space="preserve">A</w:t>
      </w:r>
      <w:r>
        <w:t xml:space="preserve"> </w:t>
      </w:r>
      <w:r>
        <w:t xml:space="preserve">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217">
        <w:r>
          <w:rPr>
            <w:rStyle w:val="Hyperlink"/>
          </w:rPr>
          <w:t xml:space="preserve">https://doi.org/10.1007/s00234-020-02562-1</w:t>
        </w:r>
      </w:hyperlink>
    </w:p>
    <w:bookmarkEnd w:id="218"/>
    <w:bookmarkStart w:id="220"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219">
        <w:r>
          <w:rPr>
            <w:rStyle w:val="Hyperlink"/>
          </w:rPr>
          <w:t xml:space="preserve">https://doi.org/10.1017/S0954579421001772</w:t>
        </w:r>
      </w:hyperlink>
    </w:p>
    <w:bookmarkEnd w:id="220"/>
    <w:bookmarkStart w:id="222" w:name="ref-Grant1999"/>
    <w:p>
      <w:pPr>
        <w:pStyle w:val="Bibliography"/>
      </w:pPr>
      <w:r>
        <w:t xml:space="preserve">Grant, S. J., Aitchison, T., Henderson, E., Christie, J., Zare, S., McMurray, J., &amp; Dargie, H. (1999). A comparison of the reproducibility and the sensitivity to change of visual analogue scales,</w:t>
      </w:r>
      <w:r>
        <w:t xml:space="preserve"> </w:t>
      </w:r>
      <w:r>
        <w:t xml:space="preserve">Borg</w:t>
      </w:r>
      <w:r>
        <w:t xml:space="preserve"> </w:t>
      </w:r>
      <w:r>
        <w:t xml:space="preserve">scales, and</w:t>
      </w:r>
      <w:r>
        <w:t xml:space="preserve"> </w:t>
      </w:r>
      <w:r>
        <w:t xml:space="preserve">Likert</w:t>
      </w:r>
      <w:r>
        <w:t xml:space="preserve"> </w:t>
      </w:r>
      <w:r>
        <w:t xml:space="preserve">scales in normal subjects during submaximal exercise.</w:t>
      </w:r>
      <w:r>
        <w:t xml:space="preserve"> </w:t>
      </w:r>
      <w:r>
        <w:rPr>
          <w:i/>
          <w:iCs/>
        </w:rPr>
        <w:t xml:space="preserve">Chest</w:t>
      </w:r>
      <w:r>
        <w:t xml:space="preserve">,</w:t>
      </w:r>
      <w:r>
        <w:t xml:space="preserve"> </w:t>
      </w:r>
      <w:r>
        <w:rPr>
          <w:i/>
          <w:iCs/>
        </w:rPr>
        <w:t xml:space="preserve">116</w:t>
      </w:r>
      <w:r>
        <w:t xml:space="preserve">(5), 1208–1217.</w:t>
      </w:r>
      <w:r>
        <w:t xml:space="preserve"> </w:t>
      </w:r>
      <w:hyperlink r:id="rId221">
        <w:r>
          <w:rPr>
            <w:rStyle w:val="Hyperlink"/>
          </w:rPr>
          <w:t xml:space="preserve">https://doi.org/10.1378/chest.116.5.1208</w:t>
        </w:r>
      </w:hyperlink>
    </w:p>
    <w:bookmarkEnd w:id="222"/>
    <w:bookmarkStart w:id="224" w:name="ref-Hancock2008"/>
    <w:p>
      <w:pPr>
        <w:pStyle w:val="Bibliography"/>
      </w:pPr>
      <w:r>
        <w:t xml:space="preserve">Hancock, G. R., &amp; Buehl, M. M. (2008). Second-order latent growth models with shifting indicators.</w:t>
      </w:r>
      <w:r>
        <w:t xml:space="preserve"> </w:t>
      </w:r>
      <w:r>
        <w:rPr>
          <w:i/>
          <w:iCs/>
        </w:rPr>
        <w:t xml:space="preserve">Journal of Modern Applied Statistical Methods</w:t>
      </w:r>
      <w:r>
        <w:t xml:space="preserve">,</w:t>
      </w:r>
      <w:r>
        <w:t xml:space="preserve"> </w:t>
      </w:r>
      <w:r>
        <w:rPr>
          <w:i/>
          <w:iCs/>
        </w:rPr>
        <w:t xml:space="preserve">7</w:t>
      </w:r>
      <w:r>
        <w:t xml:space="preserve">(1), 39–55.</w:t>
      </w:r>
      <w:r>
        <w:t xml:space="preserve"> </w:t>
      </w:r>
      <w:hyperlink r:id="rId223">
        <w:r>
          <w:rPr>
            <w:rStyle w:val="Hyperlink"/>
          </w:rPr>
          <w:t xml:space="preserve">https://doi.org/10.22237/jmasm/1209614640</w:t>
        </w:r>
      </w:hyperlink>
    </w:p>
    <w:bookmarkEnd w:id="224"/>
    <w:bookmarkStart w:id="226" w:name="ref-QuantitudeS3E18"/>
    <w:p>
      <w:pPr>
        <w:pStyle w:val="Bibliography"/>
      </w:pPr>
      <w:r>
        <w:t xml:space="preserve">Hancock, G. R., &amp; Curran, P. J. (Hosts). (2022, February 1).</w:t>
      </w:r>
      <w:r>
        <w:t xml:space="preserve"> </w:t>
      </w:r>
      <w:r>
        <w:rPr>
          <w:i/>
          <w:iCs/>
        </w:rPr>
        <w:t xml:space="preserve">Quantitude: S3E18:</w:t>
      </w:r>
      <w:r>
        <w:rPr>
          <w:i/>
          <w:iCs/>
        </w:rPr>
        <w:t xml:space="preserve"> </w:t>
      </w:r>
      <w:r>
        <w:rPr>
          <w:i/>
          <w:iCs/>
        </w:rPr>
        <w:t xml:space="preserve">Aunt Roz’s</w:t>
      </w:r>
      <w:r>
        <w:rPr>
          <w:i/>
          <w:iCs/>
        </w:rPr>
        <w:t xml:space="preserve"> </w:t>
      </w:r>
      <w:r>
        <w:rPr>
          <w:i/>
          <w:iCs/>
        </w:rPr>
        <w:t xml:space="preserve">guide to latent means models</w:t>
      </w:r>
      <w:r>
        <w:t xml:space="preserve"> </w:t>
      </w:r>
      <w:r>
        <w:t xml:space="preserve">[Audio recording]. In Quantitude; Quantitude.</w:t>
      </w:r>
      <w:r>
        <w:t xml:space="preserve"> </w:t>
      </w:r>
      <w:hyperlink r:id="rId225">
        <w:r>
          <w:rPr>
            <w:rStyle w:val="Hyperlink"/>
          </w:rPr>
          <w:t xml:space="preserve">https://quantitudepod.org/latent-means/ (archived at: https://perma.cc/5JL3-YUPA)</w:t>
        </w:r>
      </w:hyperlink>
    </w:p>
    <w:bookmarkEnd w:id="226"/>
    <w:bookmarkStart w:id="228"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227">
        <w:r>
          <w:rPr>
            <w:rStyle w:val="Hyperlink"/>
          </w:rPr>
          <w:t xml:space="preserve">https://doi.org/10.1017/S0954579424000713</w:t>
        </w:r>
      </w:hyperlink>
    </w:p>
    <w:bookmarkEnd w:id="228"/>
    <w:bookmarkStart w:id="230" w:name="ref-Haslam2012"/>
    <w:p>
      <w:pPr>
        <w:pStyle w:val="Bibliography"/>
      </w:pPr>
      <w:r>
        <w:t xml:space="preserve">Haslam, N., Holland, E., &amp; Kuppens, P. (2012). Categories versus dimensions in personality and psychopathology:</w:t>
      </w:r>
      <w:r>
        <w:t xml:space="preserve"> </w:t>
      </w:r>
      <w:r>
        <w:t xml:space="preserve">A</w:t>
      </w:r>
      <w:r>
        <w:t xml:space="preserve"> </w:t>
      </w:r>
      <w:r>
        <w:t xml:space="preserve">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229">
        <w:r>
          <w:rPr>
            <w:rStyle w:val="Hyperlink"/>
          </w:rPr>
          <w:t xml:space="preserve">https://doi.org/10.1017/S0033291711001966</w:t>
        </w:r>
      </w:hyperlink>
    </w:p>
    <w:bookmarkEnd w:id="230"/>
    <w:bookmarkStart w:id="232" w:name="ref-Haslam2020"/>
    <w:p>
      <w:pPr>
        <w:pStyle w:val="Bibliography"/>
      </w:pPr>
      <w:r>
        <w:t xml:space="preserve">Haslam, N., McGrath, M. J., Viechtbauer, W., &amp; Kuppens, P. (2020). Dimensions over categories:</w:t>
      </w:r>
      <w:r>
        <w:t xml:space="preserve"> </w:t>
      </w:r>
      <w:r>
        <w:t xml:space="preserve">A</w:t>
      </w:r>
      <w:r>
        <w:t xml:space="preserve"> </w:t>
      </w:r>
      <w:r>
        <w:t xml:space="preserve">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231">
        <w:r>
          <w:rPr>
            <w:rStyle w:val="Hyperlink"/>
          </w:rPr>
          <w:t xml:space="preserve">https://doi.org/10.1017/S003329172000183X</w:t>
        </w:r>
      </w:hyperlink>
    </w:p>
    <w:bookmarkEnd w:id="232"/>
    <w:bookmarkStart w:id="234" w:name="ref-Hertzog2003"/>
    <w:p>
      <w:pPr>
        <w:pStyle w:val="Bibliography"/>
      </w:pPr>
      <w:r>
        <w:t xml:space="preserve">Hertzog, C., &amp; Nesselroade, J. R. (2003). Assessing psychological change in adulthood:</w:t>
      </w:r>
      <w:r>
        <w:t xml:space="preserve"> </w:t>
      </w:r>
      <w:r>
        <w:t xml:space="preserve">An</w:t>
      </w:r>
      <w:r>
        <w:t xml:space="preserve"> </w:t>
      </w:r>
      <w:r>
        <w:t xml:space="preserve">overview of methodological issues.</w:t>
      </w:r>
      <w:r>
        <w:t xml:space="preserve"> </w:t>
      </w:r>
      <w:r>
        <w:rPr>
          <w:i/>
          <w:iCs/>
        </w:rPr>
        <w:t xml:space="preserve">Psychology and Aging</w:t>
      </w:r>
      <w:r>
        <w:t xml:space="preserve">,</w:t>
      </w:r>
      <w:r>
        <w:t xml:space="preserve"> </w:t>
      </w:r>
      <w:r>
        <w:rPr>
          <w:i/>
          <w:iCs/>
        </w:rPr>
        <w:t xml:space="preserve">18</w:t>
      </w:r>
      <w:r>
        <w:t xml:space="preserve">(4), 639–657.</w:t>
      </w:r>
      <w:r>
        <w:t xml:space="preserve"> </w:t>
      </w:r>
      <w:hyperlink r:id="rId233">
        <w:r>
          <w:rPr>
            <w:rStyle w:val="Hyperlink"/>
          </w:rPr>
          <w:t xml:space="preserve">https://doi.org/10.1037/0882-7974.18.4.639</w:t>
        </w:r>
      </w:hyperlink>
    </w:p>
    <w:bookmarkEnd w:id="234"/>
    <w:bookmarkStart w:id="236" w:name="ref-Hosch2022"/>
    <w:p>
      <w:pPr>
        <w:pStyle w:val="Bibliography"/>
      </w:pPr>
      <w:r>
        <w:t xml:space="preserve">Hosch, A., Oleson, J. J., Harris, J. L., Goeltz, M. T., Neumann, T., LeBeau, B., Hazeltine, E., &amp; Petersen, I. T. (2022). Studying children’s growth in self-regulation using changing measures to account for heterotypic continuity:</w:t>
      </w:r>
      <w:r>
        <w:t xml:space="preserve"> </w:t>
      </w:r>
      <w:r>
        <w:t xml:space="preserve">A</w:t>
      </w:r>
      <w:r>
        <w:t xml:space="preserve"> </w:t>
      </w:r>
      <w:r>
        <w:t xml:space="preserve">Bayesian</w:t>
      </w:r>
      <w:r>
        <w:t xml:space="preserve"> </w:t>
      </w:r>
      <w:r>
        <w:t xml:space="preserve">approach to developmental scaling.</w:t>
      </w:r>
      <w:r>
        <w:t xml:space="preserve"> </w:t>
      </w:r>
      <w:r>
        <w:rPr>
          <w:i/>
          <w:iCs/>
        </w:rPr>
        <w:t xml:space="preserve">Developmental Science</w:t>
      </w:r>
      <w:r>
        <w:t xml:space="preserve">,</w:t>
      </w:r>
      <w:r>
        <w:t xml:space="preserve"> </w:t>
      </w:r>
      <w:r>
        <w:rPr>
          <w:i/>
          <w:iCs/>
        </w:rPr>
        <w:t xml:space="preserve">25</w:t>
      </w:r>
      <w:r>
        <w:t xml:space="preserve">(6), e13280.</w:t>
      </w:r>
      <w:r>
        <w:t xml:space="preserve"> </w:t>
      </w:r>
      <w:hyperlink r:id="rId235">
        <w:r>
          <w:rPr>
            <w:rStyle w:val="Hyperlink"/>
          </w:rPr>
          <w:t xml:space="preserve">https://doi.org/10.1111/desc.13280</w:t>
        </w:r>
      </w:hyperlink>
    </w:p>
    <w:bookmarkEnd w:id="236"/>
    <w:bookmarkStart w:id="238"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237">
        <w:r>
          <w:rPr>
            <w:rStyle w:val="Hyperlink"/>
          </w:rPr>
          <w:t xml:space="preserve">https://doi.org/10.1176/appi.ajp.2008.08030366</w:t>
        </w:r>
      </w:hyperlink>
    </w:p>
    <w:bookmarkEnd w:id="238"/>
    <w:bookmarkStart w:id="240" w:name="ref-Kaat2019"/>
    <w:p>
      <w:pPr>
        <w:pStyle w:val="Bibliography"/>
      </w:pPr>
      <w:r>
        <w:t xml:space="preserve">Kaat, A. J., Blackwell, C. K., Estabrook, R., Burns, J. L., Petitclerc, A., Briggs-Gowan, M. J., Gershon, R. C., Cella, D., Perlman, S. B., &amp; Wakschlag, L. S. (2019). Linking the</w:t>
      </w:r>
      <w:r>
        <w:t xml:space="preserve"> </w:t>
      </w:r>
      <w:r>
        <w:t xml:space="preserve">Child Behavior Checklist</w:t>
      </w:r>
      <w:r>
        <w:t xml:space="preserve"> </w:t>
      </w:r>
      <w:r>
        <w:t xml:space="preserve">(</w:t>
      </w:r>
      <w:r>
        <w:t xml:space="preserve">CBCL</w:t>
      </w:r>
      <w:r>
        <w:t xml:space="preserve">) with the</w:t>
      </w:r>
      <w:r>
        <w:t xml:space="preserve"> </w:t>
      </w:r>
      <w:r>
        <w:t xml:space="preserve">Multidimensional Assessment Profile of Disruptive Behavior</w:t>
      </w:r>
      <w:r>
        <w:t xml:space="preserve"> </w:t>
      </w:r>
      <w:r>
        <w:t xml:space="preserve">(</w:t>
      </w:r>
      <w:r>
        <w:t xml:space="preserve">MAP-DB</w:t>
      </w:r>
      <w:r>
        <w:t xml:space="preserve">):</w:t>
      </w:r>
      <w:r>
        <w:t xml:space="preserve"> </w:t>
      </w:r>
      <w:r>
        <w:t xml:space="preserve">Advancing</w:t>
      </w:r>
      <w:r>
        <w:t xml:space="preserve"> </w:t>
      </w:r>
      <w:r>
        <w:t xml:space="preserve">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239">
        <w:r>
          <w:rPr>
            <w:rStyle w:val="Hyperlink"/>
          </w:rPr>
          <w:t xml:space="preserve">https://doi.org/10.1007/s10826-018-1272-4</w:t>
        </w:r>
      </w:hyperlink>
    </w:p>
    <w:bookmarkEnd w:id="240"/>
    <w:bookmarkStart w:id="241"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241"/>
    <w:bookmarkStart w:id="242" w:name="ref-Kagan1971"/>
    <w:p>
      <w:pPr>
        <w:pStyle w:val="Bibliography"/>
      </w:pPr>
      <w:r>
        <w:t xml:space="preserve">Kagan, J. (1971).</w:t>
      </w:r>
      <w:r>
        <w:t xml:space="preserve"> </w:t>
      </w:r>
      <w:r>
        <w:rPr>
          <w:i/>
          <w:iCs/>
        </w:rPr>
        <w:t xml:space="preserve">Change and continuity in infancy</w:t>
      </w:r>
      <w:r>
        <w:t xml:space="preserve">. Wiley.</w:t>
      </w:r>
    </w:p>
    <w:bookmarkEnd w:id="242"/>
    <w:bookmarkStart w:id="243"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243"/>
    <w:bookmarkStart w:id="245" w:name="ref-Kagan1962"/>
    <w:p>
      <w:pPr>
        <w:pStyle w:val="Bibliography"/>
      </w:pPr>
      <w:r>
        <w:t xml:space="preserve">Kagan, J., &amp; Moss, H. A. (1962).</w:t>
      </w:r>
      <w:r>
        <w:t xml:space="preserve"> </w:t>
      </w:r>
      <w:r>
        <w:rPr>
          <w:i/>
          <w:iCs/>
        </w:rPr>
        <w:t xml:space="preserve">Birth to maturity:</w:t>
      </w:r>
      <w:r>
        <w:rPr>
          <w:i/>
          <w:iCs/>
        </w:rPr>
        <w:t xml:space="preserve"> </w:t>
      </w:r>
      <w:r>
        <w:rPr>
          <w:i/>
          <w:iCs/>
        </w:rPr>
        <w:t xml:space="preserve">A</w:t>
      </w:r>
      <w:r>
        <w:rPr>
          <w:i/>
          <w:iCs/>
        </w:rPr>
        <w:t xml:space="preserve"> </w:t>
      </w:r>
      <w:r>
        <w:rPr>
          <w:i/>
          <w:iCs/>
        </w:rPr>
        <w:t xml:space="preserve">study in psychological development</w:t>
      </w:r>
      <w:r>
        <w:t xml:space="preserve">. Wiley.</w:t>
      </w:r>
      <w:r>
        <w:t xml:space="preserve"> </w:t>
      </w:r>
      <w:hyperlink r:id="rId244">
        <w:r>
          <w:rPr>
            <w:rStyle w:val="Hyperlink"/>
          </w:rPr>
          <w:t xml:space="preserve">https://doi.org/10.1037/13129-000</w:t>
        </w:r>
      </w:hyperlink>
    </w:p>
    <w:bookmarkEnd w:id="245"/>
    <w:bookmarkStart w:id="247" w:name="ref-Keijsers2012"/>
    <w:p>
      <w:pPr>
        <w:pStyle w:val="Bibliography"/>
      </w:pPr>
      <w:r>
        <w:t xml:space="preserve">Keijsers, L., Loeber, R., Branje, S., &amp; Meeus, W. (2012). Parent-child relationships of boys in different offending trajectories.</w:t>
      </w:r>
      <w:r>
        <w:t xml:space="preserve"> </w:t>
      </w:r>
      <w:r>
        <w:t xml:space="preserve">A</w:t>
      </w:r>
      <w:r>
        <w:t xml:space="preserve"> </w:t>
      </w:r>
      <w:r>
        <w:t xml:space="preserve">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246">
        <w:r>
          <w:rPr>
            <w:rStyle w:val="Hyperlink"/>
          </w:rPr>
          <w:t xml:space="preserve">https://doi.org/10.1111/j.1469-7610.2012.02585.x</w:t>
        </w:r>
      </w:hyperlink>
    </w:p>
    <w:bookmarkEnd w:id="247"/>
    <w:bookmarkStart w:id="249" w:name="ref-Kim2009"/>
    <w:p>
      <w:pPr>
        <w:pStyle w:val="Bibliography"/>
      </w:pPr>
      <w:r>
        <w:t xml:space="preserve">Kim, H. K., Capaldi, D. M., Pears, K. C., Kerr, D. C. R., &amp; Owen, L. D. (2009). Intergenerational transmission of internalising and externalising behaviours across three generations:</w:t>
      </w:r>
      <w:r>
        <w:t xml:space="preserve"> </w:t>
      </w:r>
      <w:r>
        <w:t xml:space="preserve">Gender</w:t>
      </w:r>
      <w:r>
        <w:t xml:space="preserve">-specific pathways.</w:t>
      </w:r>
      <w:r>
        <w:t xml:space="preserve"> </w:t>
      </w:r>
      <w:r>
        <w:rPr>
          <w:i/>
          <w:iCs/>
        </w:rPr>
        <w:t xml:space="preserve">Criminal Behaviour and Mental Health</w:t>
      </w:r>
      <w:r>
        <w:t xml:space="preserve">,</w:t>
      </w:r>
      <w:r>
        <w:t xml:space="preserve"> </w:t>
      </w:r>
      <w:r>
        <w:rPr>
          <w:i/>
          <w:iCs/>
        </w:rPr>
        <w:t xml:space="preserve">19</w:t>
      </w:r>
      <w:r>
        <w:t xml:space="preserve">(2), 125–141.</w:t>
      </w:r>
      <w:r>
        <w:t xml:space="preserve"> </w:t>
      </w:r>
      <w:hyperlink r:id="rId248">
        <w:r>
          <w:rPr>
            <w:rStyle w:val="Hyperlink"/>
          </w:rPr>
          <w:t xml:space="preserve">https://doi.org/10.1002/cbm.708</w:t>
        </w:r>
      </w:hyperlink>
    </w:p>
    <w:bookmarkEnd w:id="249"/>
    <w:bookmarkStart w:id="251"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250">
        <w:r>
          <w:rPr>
            <w:rStyle w:val="Hyperlink"/>
          </w:rPr>
          <w:t xml:space="preserve">https://doi.org/10.1111/jora.12252</w:t>
        </w:r>
      </w:hyperlink>
    </w:p>
    <w:bookmarkEnd w:id="251"/>
    <w:bookmarkStart w:id="253" w:name="ref-Kliem2018"/>
    <w:p>
      <w:pPr>
        <w:pStyle w:val="Bibliography"/>
      </w:pPr>
      <w:r>
        <w:t xml:space="preserve">Kliem, S., Heinrichs, N., Lohmann, A., Bussing, R., Schwarzer, G., &amp; Briegel, W. (2018). Dimensional latent structure of early disruptive behavior disorders:</w:t>
      </w:r>
      <w:r>
        <w:t xml:space="preserve"> </w:t>
      </w:r>
      <w:r>
        <w:t xml:space="preserve">A</w:t>
      </w:r>
      <w:r>
        <w:t xml:space="preserve"> </w:t>
      </w:r>
      <w:r>
        <w:t xml:space="preserve">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252">
        <w:r>
          <w:rPr>
            <w:rStyle w:val="Hyperlink"/>
          </w:rPr>
          <w:t xml:space="preserve">https://doi.org/10.1007/s10802-017-0383-5</w:t>
        </w:r>
      </w:hyperlink>
    </w:p>
    <w:bookmarkEnd w:id="253"/>
    <w:bookmarkStart w:id="255"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254">
        <w:r>
          <w:rPr>
            <w:rStyle w:val="Hyperlink"/>
          </w:rPr>
          <w:t xml:space="preserve">https://doi.org/10.1007/s10802-021-00885-y</w:t>
        </w:r>
      </w:hyperlink>
    </w:p>
    <w:bookmarkEnd w:id="255"/>
    <w:bookmarkStart w:id="257" w:name="ref-Knight2010"/>
    <w:p>
      <w:pPr>
        <w:pStyle w:val="Bibliography"/>
      </w:pPr>
      <w:r>
        <w:t xml:space="preserve">Knight, G. P., &amp; Zerr, A. A. (2010). Informed theory and measurement equivalence in child development research.</w:t>
      </w:r>
      <w:r>
        <w:t xml:space="preserve"> </w:t>
      </w:r>
      <w:r>
        <w:rPr>
          <w:i/>
          <w:iCs/>
        </w:rPr>
        <w:t xml:space="preserve">Child Development Perspectives</w:t>
      </w:r>
      <w:r>
        <w:t xml:space="preserve">,</w:t>
      </w:r>
      <w:r>
        <w:t xml:space="preserve"> </w:t>
      </w:r>
      <w:r>
        <w:rPr>
          <w:i/>
          <w:iCs/>
        </w:rPr>
        <w:t xml:space="preserve">4</w:t>
      </w:r>
      <w:r>
        <w:t xml:space="preserve">(1), 25–30.</w:t>
      </w:r>
      <w:r>
        <w:t xml:space="preserve"> </w:t>
      </w:r>
      <w:hyperlink r:id="rId256">
        <w:r>
          <w:rPr>
            <w:rStyle w:val="Hyperlink"/>
          </w:rPr>
          <w:t xml:space="preserve">https://doi.org/10.1111/j.1750-8606.2009.00112.x</w:t>
        </w:r>
      </w:hyperlink>
    </w:p>
    <w:bookmarkEnd w:id="257"/>
    <w:bookmarkStart w:id="259" w:name="ref-Kolen2014"/>
    <w:p>
      <w:pPr>
        <w:pStyle w:val="Bibliography"/>
      </w:pPr>
      <w:r>
        <w:t xml:space="preserve">Kolen, M. J., &amp; Brennan, R. L. (2014).</w:t>
      </w:r>
      <w:r>
        <w:t xml:space="preserve"> </w:t>
      </w:r>
      <w:r>
        <w:rPr>
          <w:i/>
          <w:iCs/>
        </w:rPr>
        <w:t xml:space="preserve">Test equating, scaling, and linking:</w:t>
      </w:r>
      <w:r>
        <w:rPr>
          <w:i/>
          <w:iCs/>
        </w:rPr>
        <w:t xml:space="preserve"> </w:t>
      </w:r>
      <w:r>
        <w:rPr>
          <w:i/>
          <w:iCs/>
        </w:rPr>
        <w:t xml:space="preserve">Methods</w:t>
      </w:r>
      <w:r>
        <w:rPr>
          <w:i/>
          <w:iCs/>
        </w:rPr>
        <w:t xml:space="preserve"> </w:t>
      </w:r>
      <w:r>
        <w:rPr>
          <w:i/>
          <w:iCs/>
        </w:rPr>
        <w:t xml:space="preserve">and practices</w:t>
      </w:r>
      <w:r>
        <w:t xml:space="preserve"> </w:t>
      </w:r>
      <w:r>
        <w:t xml:space="preserve">(3rd ed., p. 566). Springer.</w:t>
      </w:r>
      <w:r>
        <w:t xml:space="preserve"> </w:t>
      </w:r>
      <w:hyperlink r:id="rId258">
        <w:r>
          <w:rPr>
            <w:rStyle w:val="Hyperlink"/>
          </w:rPr>
          <w:t xml:space="preserve">https://doi.org/10.1007/978-1-4939-0317-7</w:t>
        </w:r>
      </w:hyperlink>
    </w:p>
    <w:bookmarkEnd w:id="259"/>
    <w:bookmarkStart w:id="260"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260"/>
    <w:bookmarkStart w:id="262"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w:t>
      </w:r>
      <w:r>
        <w:t xml:space="preserve"> </w:t>
      </w:r>
      <w:r>
        <w:t xml:space="preserve">A</w:t>
      </w:r>
      <w:r>
        <w:t xml:space="preserve"> </w:t>
      </w:r>
      <w:r>
        <w:t xml:space="preserve">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261">
        <w:r>
          <w:rPr>
            <w:rStyle w:val="Hyperlink"/>
          </w:rPr>
          <w:t xml:space="preserve">https://doi.org/10.1037/abn0000258</w:t>
        </w:r>
      </w:hyperlink>
    </w:p>
    <w:bookmarkEnd w:id="262"/>
    <w:bookmarkStart w:id="264" w:name="ref-Kraemer2003"/>
    <w:p>
      <w:pPr>
        <w:pStyle w:val="Bibliography"/>
      </w:pPr>
      <w:r>
        <w:t xml:space="preserve">Kraemer, H. C., Measelle, J. R., Ablow, J. C., Essex, M. J., Boyce, W. T., &amp; Kupfer, D. J. (2003). A new approach to integrating data from multiple informants in psychiatric assessment and research:</w:t>
      </w:r>
      <w:r>
        <w:t xml:space="preserve"> </w:t>
      </w:r>
      <w:r>
        <w:t xml:space="preserve">Mixing</w:t>
      </w:r>
      <w:r>
        <w:t xml:space="preserve"> </w:t>
      </w:r>
      <w:r>
        <w:t xml:space="preserve">and matching contexts and perspectives.</w:t>
      </w:r>
      <w:r>
        <w:t xml:space="preserve"> </w:t>
      </w:r>
      <w:r>
        <w:rPr>
          <w:i/>
          <w:iCs/>
        </w:rPr>
        <w:t xml:space="preserve">American Journal of Psychiatry</w:t>
      </w:r>
      <w:r>
        <w:t xml:space="preserve">,</w:t>
      </w:r>
      <w:r>
        <w:t xml:space="preserve"> </w:t>
      </w:r>
      <w:r>
        <w:rPr>
          <w:i/>
          <w:iCs/>
        </w:rPr>
        <w:t xml:space="preserve">160</w:t>
      </w:r>
      <w:r>
        <w:t xml:space="preserve">(9), 1566–1577.</w:t>
      </w:r>
      <w:r>
        <w:t xml:space="preserve"> </w:t>
      </w:r>
      <w:hyperlink r:id="rId263">
        <w:r>
          <w:rPr>
            <w:rStyle w:val="Hyperlink"/>
          </w:rPr>
          <w:t xml:space="preserve">https://doi.org/10.1176/appi.ajp.160.9.1566</w:t>
        </w:r>
      </w:hyperlink>
    </w:p>
    <w:bookmarkEnd w:id="264"/>
    <w:bookmarkStart w:id="266" w:name="ref-Krueger2016"/>
    <w:p>
      <w:pPr>
        <w:pStyle w:val="Bibliography"/>
      </w:pPr>
      <w:r>
        <w:t xml:space="preserve">Krueger, R. F., &amp; DeYoung, C. G. (2016). The</w:t>
      </w:r>
      <w:r>
        <w:t xml:space="preserve"> </w:t>
      </w:r>
      <w:r>
        <w:t xml:space="preserve">RDoC</w:t>
      </w:r>
      <w:r>
        <w:t xml:space="preserve"> </w:t>
      </w:r>
      <w:r>
        <w:t xml:space="preserve">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265">
        <w:r>
          <w:rPr>
            <w:rStyle w:val="Hyperlink"/>
          </w:rPr>
          <w:t xml:space="preserve">https://doi.org/10.1111/psyp.12551</w:t>
        </w:r>
      </w:hyperlink>
    </w:p>
    <w:bookmarkEnd w:id="266"/>
    <w:bookmarkStart w:id="268"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w:t>
      </w:r>
      <w:r>
        <w:t xml:space="preserve"> </w:t>
      </w:r>
      <w:r>
        <w:t xml:space="preserve">Externalizing</w:t>
      </w:r>
      <w:r>
        <w:t xml:space="preserve"> </w:t>
      </w:r>
      <w:r>
        <w:t xml:space="preserve">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267">
        <w:r>
          <w:rPr>
            <w:rStyle w:val="Hyperlink"/>
          </w:rPr>
          <w:t xml:space="preserve">https://doi.org/10.1002/wps.20844</w:t>
        </w:r>
      </w:hyperlink>
    </w:p>
    <w:bookmarkEnd w:id="268"/>
    <w:bookmarkStart w:id="270" w:name="ref-Krueger2011"/>
    <w:p>
      <w:pPr>
        <w:pStyle w:val="Bibliography"/>
      </w:pPr>
      <w:r>
        <w:t xml:space="preserve">Krueger, R. F., &amp; Markon, K. E. (2011). A dimensional-spectrum model of psychopathology:</w:t>
      </w:r>
      <w:r>
        <w:t xml:space="preserve"> </w:t>
      </w:r>
      <w:r>
        <w:t xml:space="preserve">Progress</w:t>
      </w:r>
      <w:r>
        <w:t xml:space="preserve"> </w:t>
      </w:r>
      <w:r>
        <w:t xml:space="preserve">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269">
        <w:r>
          <w:rPr>
            <w:rStyle w:val="Hyperlink"/>
          </w:rPr>
          <w:t xml:space="preserve">https://doi.org/10.1001/archgenpsychiatry.2010.188</w:t>
        </w:r>
      </w:hyperlink>
    </w:p>
    <w:bookmarkEnd w:id="270"/>
    <w:bookmarkStart w:id="272" w:name="ref-Krueger2007"/>
    <w:p>
      <w:pPr>
        <w:pStyle w:val="Bibliography"/>
      </w:pPr>
      <w:r>
        <w:t xml:space="preserve">Krueger, R. F., Markon, K. E., Patrick, C. J., Benning, S. D., &amp; Kramer, M. D. (2007). Linking antisocial behavior, substance use, and personality:</w:t>
      </w:r>
      <w:r>
        <w:t xml:space="preserve"> </w:t>
      </w:r>
      <w:r>
        <w:t xml:space="preserve">An</w:t>
      </w:r>
      <w:r>
        <w:t xml:space="preserve"> </w:t>
      </w:r>
      <w:r>
        <w:t xml:space="preserve">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271">
        <w:r>
          <w:rPr>
            <w:rStyle w:val="Hyperlink"/>
          </w:rPr>
          <w:t xml:space="preserve">https://doi.org/10.1037/0021-843X.116.4.645</w:t>
        </w:r>
      </w:hyperlink>
    </w:p>
    <w:bookmarkEnd w:id="272"/>
    <w:bookmarkStart w:id="274" w:name="ref-Krueger2005"/>
    <w:p>
      <w:pPr>
        <w:pStyle w:val="Bibliography"/>
      </w:pPr>
      <w:r>
        <w:t xml:space="preserve">Krueger, R. F., Markon, K. E., Patrick, C. J., &amp; Iacono, W. G. (2005). Externalizing psychopathology in adulthood:</w:t>
      </w:r>
      <w:r>
        <w:t xml:space="preserve"> </w:t>
      </w:r>
      <w:r>
        <w:t xml:space="preserve">A</w:t>
      </w:r>
      <w:r>
        <w:t xml:space="preserve"> </w:t>
      </w:r>
      <w:r>
        <w:t xml:space="preserve">dimensional-spectrum conceptualization and its implications for</w:t>
      </w:r>
      <w:r>
        <w:t xml:space="preserve"> </w:t>
      </w:r>
      <w:r>
        <w:t xml:space="preserve">DSM-V</w:t>
      </w:r>
      <w:r>
        <w:t xml:space="preserve">.</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273">
        <w:r>
          <w:rPr>
            <w:rStyle w:val="Hyperlink"/>
          </w:rPr>
          <w:t xml:space="preserve">https://doi.org/10.1037/0021-843x.114.4.537</w:t>
        </w:r>
      </w:hyperlink>
    </w:p>
    <w:bookmarkEnd w:id="274"/>
    <w:bookmarkStart w:id="276"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75">
        <w:r>
          <w:rPr>
            <w:rStyle w:val="Hyperlink"/>
          </w:rPr>
          <w:t xml:space="preserve">https://doi.org/10.1037/1040-3590.16.2.107</w:t>
        </w:r>
      </w:hyperlink>
    </w:p>
    <w:bookmarkEnd w:id="276"/>
    <w:bookmarkStart w:id="278"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77">
        <w:r>
          <w:rPr>
            <w:rStyle w:val="Hyperlink"/>
          </w:rPr>
          <w:t xml:space="preserve">https://doi.org/10.1016/S0005-7967(02)00016-5</w:t>
        </w:r>
      </w:hyperlink>
    </w:p>
    <w:bookmarkEnd w:id="278"/>
    <w:bookmarkStart w:id="280" w:name="ref-Lai2023"/>
    <w:p>
      <w:pPr>
        <w:pStyle w:val="Bibliography"/>
      </w:pPr>
      <w:r>
        <w:t xml:space="preserve">Lai, M. H. C. (2023). Adjusting for measurement noninvariance with alignment in growth modeling.</w:t>
      </w:r>
      <w:r>
        <w:t xml:space="preserve"> </w:t>
      </w:r>
      <w:r>
        <w:rPr>
          <w:i/>
          <w:iCs/>
        </w:rPr>
        <w:t xml:space="preserve">Multivariate Behavioral Research</w:t>
      </w:r>
      <w:r>
        <w:t xml:space="preserve">,</w:t>
      </w:r>
      <w:r>
        <w:t xml:space="preserve"> </w:t>
      </w:r>
      <w:r>
        <w:rPr>
          <w:i/>
          <w:iCs/>
        </w:rPr>
        <w:t xml:space="preserve">58</w:t>
      </w:r>
      <w:r>
        <w:t xml:space="preserve">(1), 30–47.</w:t>
      </w:r>
      <w:r>
        <w:t xml:space="preserve"> </w:t>
      </w:r>
      <w:hyperlink r:id="rId279">
        <w:r>
          <w:rPr>
            <w:rStyle w:val="Hyperlink"/>
          </w:rPr>
          <w:t xml:space="preserve">https://doi.org/10.1080/00273171.2021.1941730</w:t>
        </w:r>
      </w:hyperlink>
    </w:p>
    <w:bookmarkEnd w:id="280"/>
    <w:bookmarkStart w:id="282"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81">
        <w:r>
          <w:rPr>
            <w:rStyle w:val="Hyperlink"/>
          </w:rPr>
          <w:t xml:space="preserve">https://doi.org/10.1017/S0954579410000301</w:t>
        </w:r>
      </w:hyperlink>
    </w:p>
    <w:bookmarkEnd w:id="282"/>
    <w:bookmarkStart w:id="284" w:name="ref-LeBlanc2021"/>
    <w:p>
      <w:pPr>
        <w:pStyle w:val="Bibliography"/>
      </w:pPr>
      <w:r>
        <w:t xml:space="preserve">Le Blanc, M. (2021).</w:t>
      </w:r>
      <w:r>
        <w:t xml:space="preserve"> </w:t>
      </w:r>
      <w:r>
        <w:rPr>
          <w:i/>
          <w:iCs/>
        </w:rPr>
        <w:t xml:space="preserve">The development of antisocial behavior and crime</w:t>
      </w:r>
      <w:r>
        <w:t xml:space="preserve">. Springer.</w:t>
      </w:r>
      <w:r>
        <w:t xml:space="preserve"> </w:t>
      </w:r>
      <w:hyperlink r:id="rId283">
        <w:r>
          <w:rPr>
            <w:rStyle w:val="Hyperlink"/>
          </w:rPr>
          <w:t xml:space="preserve">https://doi.org/10.1007/978-3-030-68429-7</w:t>
        </w:r>
      </w:hyperlink>
    </w:p>
    <w:bookmarkEnd w:id="284"/>
    <w:bookmarkStart w:id="285" w:name="ref-Little2024"/>
    <w:p>
      <w:pPr>
        <w:pStyle w:val="Bibliography"/>
      </w:pPr>
      <w:r>
        <w:t xml:space="preserve">Little, T. D. (2024).</w:t>
      </w:r>
      <w:r>
        <w:t xml:space="preserve"> </w:t>
      </w:r>
      <w:r>
        <w:rPr>
          <w:i/>
          <w:iCs/>
        </w:rPr>
        <w:t xml:space="preserve">Longitudinal structural equation modeling</w:t>
      </w:r>
      <w:r>
        <w:t xml:space="preserve"> </w:t>
      </w:r>
      <w:r>
        <w:t xml:space="preserve">(2nd ed.). Guilford Publications.</w:t>
      </w:r>
    </w:p>
    <w:bookmarkEnd w:id="285"/>
    <w:bookmarkStart w:id="287" w:name="ref-Makol2025"/>
    <w:p>
      <w:pPr>
        <w:pStyle w:val="Bibliography"/>
      </w:pPr>
      <w:r>
        <w:t xml:space="preserve">Makol, B. A., Yang, J., Wang, M., &amp; De Los Reyes, A. (2025).</w:t>
      </w:r>
      <w:r>
        <w:t xml:space="preserve"> </w:t>
      </w:r>
      <w:r>
        <w:rPr>
          <w:i/>
          <w:iCs/>
        </w:rPr>
        <w:t xml:space="preserve">Youth development in context:</w:t>
      </w:r>
      <w:r>
        <w:rPr>
          <w:i/>
          <w:iCs/>
        </w:rPr>
        <w:t xml:space="preserve"> </w:t>
      </w:r>
      <w:r>
        <w:rPr>
          <w:i/>
          <w:iCs/>
        </w:rPr>
        <w:t xml:space="preserve">Integrating</w:t>
      </w:r>
      <w:r>
        <w:rPr>
          <w:i/>
          <w:iCs/>
        </w:rPr>
        <w:t xml:space="preserve"> </w:t>
      </w:r>
      <w:r>
        <w:rPr>
          <w:i/>
          <w:iCs/>
        </w:rPr>
        <w:t xml:space="preserve">multiple informants to assess behavior</w:t>
      </w:r>
      <w:r>
        <w:t xml:space="preserve">. Springer Nature Switzerland.</w:t>
      </w:r>
      <w:r>
        <w:t xml:space="preserve"> </w:t>
      </w:r>
      <w:hyperlink r:id="rId286">
        <w:r>
          <w:rPr>
            <w:rStyle w:val="Hyperlink"/>
          </w:rPr>
          <w:t xml:space="preserve">https://doi.org/10.1007/978-3-031-80549-3</w:t>
        </w:r>
      </w:hyperlink>
    </w:p>
    <w:bookmarkEnd w:id="287"/>
    <w:bookmarkStart w:id="289" w:name="ref-Markon2011"/>
    <w:p>
      <w:pPr>
        <w:pStyle w:val="Bibliography"/>
      </w:pPr>
      <w:r>
        <w:t xml:space="preserve">Markon, K. E., Chmielewski, M., &amp; Miller, C. J. (2011). The reliability and validity of discrete and continuous measures of psychopathology:</w:t>
      </w:r>
      <w:r>
        <w:t xml:space="preserve"> </w:t>
      </w:r>
      <w:r>
        <w:t xml:space="preserve">A</w:t>
      </w:r>
      <w:r>
        <w:t xml:space="preserve"> </w:t>
      </w:r>
      <w:r>
        <w:t xml:space="preserve">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88">
        <w:r>
          <w:rPr>
            <w:rStyle w:val="Hyperlink"/>
          </w:rPr>
          <w:t xml:space="preserve">https://doi.org/10.1037/a0023678</w:t>
        </w:r>
      </w:hyperlink>
    </w:p>
    <w:bookmarkEnd w:id="289"/>
    <w:bookmarkStart w:id="291" w:name="ref-Markon2005"/>
    <w:p>
      <w:pPr>
        <w:pStyle w:val="Bibliography"/>
      </w:pPr>
      <w:r>
        <w:t xml:space="preserve">Markon, K. E., &amp; Krueger, R. F. (2005). Categorical and continuous models of liability to externalizing disorders:</w:t>
      </w:r>
      <w:r>
        <w:t xml:space="preserve"> </w:t>
      </w:r>
      <w:r>
        <w:t xml:space="preserve">A</w:t>
      </w:r>
      <w:r>
        <w:t xml:space="preserve"> </w:t>
      </w:r>
      <w:r>
        <w:t xml:space="preserve">direct comparison in</w:t>
      </w:r>
      <w:r>
        <w:t xml:space="preserve"> </w:t>
      </w:r>
      <w:r>
        <w:t xml:space="preserve">NESARC</w:t>
      </w:r>
      <w:r>
        <w:t xml:space="preserve">.</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90">
        <w:r>
          <w:rPr>
            <w:rStyle w:val="Hyperlink"/>
          </w:rPr>
          <w:t xml:space="preserve">https://doi.org/10.1001/archpsyc.62.12.1352</w:t>
        </w:r>
      </w:hyperlink>
    </w:p>
    <w:bookmarkEnd w:id="291"/>
    <w:bookmarkStart w:id="293" w:name="ref-Masche2004"/>
    <w:p>
      <w:pPr>
        <w:pStyle w:val="Bibliography"/>
      </w:pPr>
      <w:r>
        <w:t xml:space="preserve">Masche, J. G., &amp; Dulmen, M. H. M. van. (2004). Advances in disentangling age, cohort, and time effects:</w:t>
      </w:r>
      <w:r>
        <w:t xml:space="preserve"> </w:t>
      </w:r>
      <w:r>
        <w:t xml:space="preserve">No</w:t>
      </w:r>
      <w:r>
        <w:t xml:space="preserve"> </w:t>
      </w:r>
      <w:r>
        <w:t xml:space="preserve">quadrature of the circle, but a help.</w:t>
      </w:r>
      <w:r>
        <w:t xml:space="preserve"> </w:t>
      </w:r>
      <w:r>
        <w:rPr>
          <w:i/>
          <w:iCs/>
        </w:rPr>
        <w:t xml:space="preserve">Developmental Review</w:t>
      </w:r>
      <w:r>
        <w:t xml:space="preserve">,</w:t>
      </w:r>
      <w:r>
        <w:t xml:space="preserve"> </w:t>
      </w:r>
      <w:r>
        <w:rPr>
          <w:i/>
          <w:iCs/>
        </w:rPr>
        <w:t xml:space="preserve">24</w:t>
      </w:r>
      <w:r>
        <w:t xml:space="preserve">(3), 322–342.</w:t>
      </w:r>
      <w:r>
        <w:t xml:space="preserve"> </w:t>
      </w:r>
      <w:hyperlink r:id="rId292">
        <w:r>
          <w:rPr>
            <w:rStyle w:val="Hyperlink"/>
          </w:rPr>
          <w:t xml:space="preserve">https://doi.org/10.1016/j.dr.2004.04.002</w:t>
        </w:r>
      </w:hyperlink>
    </w:p>
    <w:bookmarkEnd w:id="293"/>
    <w:bookmarkStart w:id="294" w:name="ref-McArdle2011"/>
    <w:p>
      <w:pPr>
        <w:pStyle w:val="Bibliography"/>
      </w:pPr>
      <w:r>
        <w:t xml:space="preserve">McArdle, J. J., &amp; Grimm, K. J. (2011). An empirical example of change analysis by linking longitudinal item response data from multiple tests. In A. A. von Davier (Ed.),</w:t>
      </w:r>
      <w:r>
        <w:t xml:space="preserve"> </w:t>
      </w:r>
      <w:r>
        <w:rPr>
          <w:i/>
          <w:iCs/>
        </w:rPr>
        <w:t xml:space="preserve">Statistical models for test equating, scaling, and linking</w:t>
      </w:r>
      <w:r>
        <w:t xml:space="preserve"> </w:t>
      </w:r>
      <w:r>
        <w:t xml:space="preserve">(pp. 71–88). Springer Science &amp; Business Media.</w:t>
      </w:r>
    </w:p>
    <w:bookmarkEnd w:id="294"/>
    <w:bookmarkStart w:id="296" w:name="ref-McArdle2009"/>
    <w:p>
      <w:pPr>
        <w:pStyle w:val="Bibliography"/>
      </w:pPr>
      <w:r>
        <w:t xml:space="preserve">McArdle, J. J., Grimm, K. J., Hamagami, F., Bowles, R. P., &amp; Meredith, W. (2009). Modeling life-span growth curves of cognition using longitudinal data with multiple samples and changing scales of measurement.</w:t>
      </w:r>
      <w:r>
        <w:t xml:space="preserve"> </w:t>
      </w:r>
      <w:r>
        <w:rPr>
          <w:i/>
          <w:iCs/>
        </w:rPr>
        <w:t xml:space="preserve">Psychological Methods</w:t>
      </w:r>
      <w:r>
        <w:t xml:space="preserve">,</w:t>
      </w:r>
      <w:r>
        <w:t xml:space="preserve"> </w:t>
      </w:r>
      <w:r>
        <w:rPr>
          <w:i/>
          <w:iCs/>
        </w:rPr>
        <w:t xml:space="preserve">14</w:t>
      </w:r>
      <w:r>
        <w:t xml:space="preserve">(2), 126–149.</w:t>
      </w:r>
      <w:r>
        <w:t xml:space="preserve"> </w:t>
      </w:r>
      <w:hyperlink r:id="rId295">
        <w:r>
          <w:rPr>
            <w:rStyle w:val="Hyperlink"/>
          </w:rPr>
          <w:t xml:space="preserve">https://doi.org/10.1037/a0015857</w:t>
        </w:r>
      </w:hyperlink>
    </w:p>
    <w:bookmarkEnd w:id="296"/>
    <w:bookmarkStart w:id="298" w:name="ref-McDaniel2023"/>
    <w:p>
      <w:pPr>
        <w:pStyle w:val="Bibliography"/>
      </w:pPr>
      <w:r>
        <w:t xml:space="preserve">McDaniel, H. L., Saavedra, L. M., Morgan-López, A. A., Bradshaw, C. P., Lochman, J. E., Kaihoi, C. A., Powell, N. P., Qu, L., &amp; Yaros, A. C. (2023). Harmonizing social, emotional, and behavioral constructs in prevention science:</w:t>
      </w:r>
      <w:r>
        <w:t xml:space="preserve"> </w:t>
      </w:r>
      <w:r>
        <w:t xml:space="preserve">Digging</w:t>
      </w:r>
      <w:r>
        <w:t xml:space="preserve"> </w:t>
      </w:r>
      <w:r>
        <w:t xml:space="preserve">into the weeds of aligning disparate measures.</w:t>
      </w:r>
      <w:r>
        <w:t xml:space="preserve"> </w:t>
      </w:r>
      <w:r>
        <w:rPr>
          <w:i/>
          <w:iCs/>
        </w:rPr>
        <w:t xml:space="preserve">Prevention Science</w:t>
      </w:r>
      <w:r>
        <w:t xml:space="preserve">.</w:t>
      </w:r>
      <w:r>
        <w:t xml:space="preserve"> </w:t>
      </w:r>
      <w:hyperlink r:id="rId297">
        <w:r>
          <w:rPr>
            <w:rStyle w:val="Hyperlink"/>
          </w:rPr>
          <w:t xml:space="preserve">https://doi.org/10.1007/s11121-022-01467-0</w:t>
        </w:r>
      </w:hyperlink>
    </w:p>
    <w:bookmarkEnd w:id="298"/>
    <w:bookmarkStart w:id="300" w:name="ref-McDermott2013"/>
    <w:p>
      <w:pPr>
        <w:pStyle w:val="Bibliography"/>
      </w:pPr>
      <w:r>
        <w:t xml:space="preserve">McDermott, P. A., Watkins, M. W., Rovine, M. J., &amp; Rikoon, S. H. (2013). Assessing changes in socioemotional adjustment across early school transitions―</w:t>
      </w:r>
      <w:r>
        <w:t xml:space="preserve">New</w:t>
      </w:r>
      <w:r>
        <w:t xml:space="preserve"> </w:t>
      </w:r>
      <w:r>
        <w:t xml:space="preserve">national scales for children at risk.</w:t>
      </w:r>
      <w:r>
        <w:t xml:space="preserve"> </w:t>
      </w:r>
      <w:r>
        <w:rPr>
          <w:i/>
          <w:iCs/>
        </w:rPr>
        <w:t xml:space="preserve">Journal of School Psychology</w:t>
      </w:r>
      <w:r>
        <w:t xml:space="preserve">,</w:t>
      </w:r>
      <w:r>
        <w:t xml:space="preserve"> </w:t>
      </w:r>
      <w:r>
        <w:rPr>
          <w:i/>
          <w:iCs/>
        </w:rPr>
        <w:t xml:space="preserve">51</w:t>
      </w:r>
      <w:r>
        <w:t xml:space="preserve">(1), 97–115.</w:t>
      </w:r>
      <w:r>
        <w:t xml:space="preserve"> </w:t>
      </w:r>
      <w:hyperlink r:id="rId299">
        <w:r>
          <w:rPr>
            <w:rStyle w:val="Hyperlink"/>
          </w:rPr>
          <w:t xml:space="preserve">https://doi.org/10.1016/j.jsp.2012.10.002</w:t>
        </w:r>
      </w:hyperlink>
    </w:p>
    <w:bookmarkEnd w:id="300"/>
    <w:bookmarkStart w:id="302" w:name="ref-Miller2009"/>
    <w:p>
      <w:pPr>
        <w:pStyle w:val="Bibliography"/>
      </w:pPr>
      <w:r>
        <w:t xml:space="preserve">Miller, J. L., Vaillancourt, T., &amp; Boyle, M. H. (2009). Examining the heterotypic continuity of aggression using teacher reports:</w:t>
      </w:r>
      <w:r>
        <w:t xml:space="preserve"> </w:t>
      </w:r>
      <w:r>
        <w:t xml:space="preserve">Results</w:t>
      </w:r>
      <w:r>
        <w:t xml:space="preserve"> </w:t>
      </w:r>
      <w:r>
        <w:t xml:space="preserve">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301">
        <w:r>
          <w:rPr>
            <w:rStyle w:val="Hyperlink"/>
          </w:rPr>
          <w:t xml:space="preserve">https://doi.org/10.1111/j.1467-9507.2008.00480.x</w:t>
        </w:r>
      </w:hyperlink>
    </w:p>
    <w:bookmarkEnd w:id="302"/>
    <w:bookmarkStart w:id="303" w:name="ref-Millsap2011"/>
    <w:p>
      <w:pPr>
        <w:pStyle w:val="Bibliography"/>
      </w:pPr>
      <w:r>
        <w:t xml:space="preserve">Millsap, R. E. (2011).</w:t>
      </w:r>
      <w:r>
        <w:t xml:space="preserve"> </w:t>
      </w:r>
      <w:r>
        <w:rPr>
          <w:i/>
          <w:iCs/>
        </w:rPr>
        <w:t xml:space="preserve">Statistical approaches to measurement invariance</w:t>
      </w:r>
      <w:r>
        <w:t xml:space="preserve">. Taylor &amp; Francis.</w:t>
      </w:r>
    </w:p>
    <w:bookmarkEnd w:id="303"/>
    <w:bookmarkStart w:id="305"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304">
        <w:r>
          <w:rPr>
            <w:rStyle w:val="Hyperlink"/>
          </w:rPr>
          <w:t xml:space="preserve">https://news.harvard.edu/gazette/story/2017/04/over-nearly-80-years-harvard-study-has-been-showing-how-to-live-a-healthy-and-happy-life/</w:t>
        </w:r>
      </w:hyperlink>
    </w:p>
    <w:bookmarkEnd w:id="305"/>
    <w:bookmarkStart w:id="307" w:name="ref-Moeller2015"/>
    <w:p>
      <w:pPr>
        <w:pStyle w:val="Bibliography"/>
      </w:pPr>
      <w:r>
        <w:t xml:space="preserve">Moeller, J. (2015). A word on standardization in longitudinal studies:</w:t>
      </w:r>
      <w:r>
        <w:t xml:space="preserve"> </w:t>
      </w:r>
      <w:r>
        <w:t xml:space="preserve">Don’t</w:t>
      </w:r>
      <w:r>
        <w:t xml:space="preserve">.</w:t>
      </w:r>
      <w:r>
        <w:t xml:space="preserve"> </w:t>
      </w:r>
      <w:r>
        <w:rPr>
          <w:i/>
          <w:iCs/>
        </w:rPr>
        <w:t xml:space="preserve">Frontiers in Psychology</w:t>
      </w:r>
      <w:r>
        <w:t xml:space="preserve">,</w:t>
      </w:r>
      <w:r>
        <w:t xml:space="preserve"> </w:t>
      </w:r>
      <w:r>
        <w:rPr>
          <w:i/>
          <w:iCs/>
        </w:rPr>
        <w:t xml:space="preserve">6</w:t>
      </w:r>
      <w:r>
        <w:t xml:space="preserve">(1389), 1–4.</w:t>
      </w:r>
      <w:r>
        <w:t xml:space="preserve"> </w:t>
      </w:r>
      <w:hyperlink r:id="rId306">
        <w:r>
          <w:rPr>
            <w:rStyle w:val="Hyperlink"/>
          </w:rPr>
          <w:t xml:space="preserve">https://doi.org/10.3389/fpsyg.2015.01389</w:t>
        </w:r>
      </w:hyperlink>
    </w:p>
    <w:bookmarkEnd w:id="307"/>
    <w:bookmarkStart w:id="309" w:name="ref-Moffitt1993"/>
    <w:p>
      <w:pPr>
        <w:pStyle w:val="Bibliography"/>
      </w:pPr>
      <w:r>
        <w:t xml:space="preserve">Moffitt, T. E. (1993). Adolescence-limited and life-course-persistent antisocial behavior:</w:t>
      </w:r>
      <w:r>
        <w:t xml:space="preserve"> </w:t>
      </w:r>
      <w:r>
        <w:t xml:space="preserve">A</w:t>
      </w:r>
      <w:r>
        <w:t xml:space="preserve"> </w:t>
      </w:r>
      <w:r>
        <w:t xml:space="preserve">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308">
        <w:r>
          <w:rPr>
            <w:rStyle w:val="Hyperlink"/>
          </w:rPr>
          <w:t xml:space="preserve">https://doi.org/10.1037/0033-295X.100.4.674</w:t>
        </w:r>
      </w:hyperlink>
    </w:p>
    <w:bookmarkEnd w:id="309"/>
    <w:bookmarkStart w:id="311"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310">
        <w:r>
          <w:rPr>
            <w:rStyle w:val="Hyperlink"/>
          </w:rPr>
          <w:t xml:space="preserve">https://doi.org/10.1073/pnas.1010076108</w:t>
        </w:r>
      </w:hyperlink>
    </w:p>
    <w:bookmarkEnd w:id="311"/>
    <w:bookmarkStart w:id="313"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312">
        <w:r>
          <w:rPr>
            <w:rStyle w:val="Hyperlink"/>
          </w:rPr>
          <w:t xml:space="preserve">https://doi.org/10.1159/000270073</w:t>
        </w:r>
      </w:hyperlink>
    </w:p>
    <w:bookmarkEnd w:id="313"/>
    <w:bookmarkStart w:id="315" w:name="ref-Murayama2013"/>
    <w:p>
      <w:pPr>
        <w:pStyle w:val="Bibliography"/>
      </w:pPr>
      <w:r>
        <w:t xml:space="preserve">Murayama, K., Pekrun, R., Lichtenfeld, S., &amp; Hofe, R. vom. (2013). Predicting long-term growth in students’ mathematics achievement:</w:t>
      </w:r>
      <w:r>
        <w:t xml:space="preserve"> </w:t>
      </w:r>
      <w:r>
        <w:t xml:space="preserve">The</w:t>
      </w:r>
      <w:r>
        <w:t xml:space="preserve"> </w:t>
      </w:r>
      <w:r>
        <w:t xml:space="preserve">unique contributions of motivation and cognitive strategies.</w:t>
      </w:r>
      <w:r>
        <w:t xml:space="preserve"> </w:t>
      </w:r>
      <w:r>
        <w:rPr>
          <w:i/>
          <w:iCs/>
        </w:rPr>
        <w:t xml:space="preserve">Child Development</w:t>
      </w:r>
      <w:r>
        <w:t xml:space="preserve">,</w:t>
      </w:r>
      <w:r>
        <w:t xml:space="preserve"> </w:t>
      </w:r>
      <w:r>
        <w:rPr>
          <w:i/>
          <w:iCs/>
        </w:rPr>
        <w:t xml:space="preserve">84</w:t>
      </w:r>
      <w:r>
        <w:t xml:space="preserve">(4), 1475–1490.</w:t>
      </w:r>
      <w:r>
        <w:t xml:space="preserve"> </w:t>
      </w:r>
      <w:hyperlink r:id="rId314">
        <w:r>
          <w:rPr>
            <w:rStyle w:val="Hyperlink"/>
          </w:rPr>
          <w:t xml:space="preserve">https://doi.org/10.1111/cdev.12036</w:t>
        </w:r>
      </w:hyperlink>
    </w:p>
    <w:bookmarkEnd w:id="315"/>
    <w:bookmarkStart w:id="317" w:name="ref-Muthen2014"/>
    <w:p>
      <w:pPr>
        <w:pStyle w:val="Bibliography"/>
      </w:pPr>
      <w:r>
        <w:t xml:space="preserve">Muthén, B. O., &amp; Asparouhov, T. (2014).</w:t>
      </w:r>
      <w:r>
        <w:t xml:space="preserve"> </w:t>
      </w:r>
      <w:r>
        <w:t xml:space="preserve">IRT</w:t>
      </w:r>
      <w:r>
        <w:t xml:space="preserve"> </w:t>
      </w:r>
      <w:r>
        <w:t xml:space="preserve">studies of many groups: The alignment method.</w:t>
      </w:r>
      <w:r>
        <w:t xml:space="preserve"> </w:t>
      </w:r>
      <w:r>
        <w:rPr>
          <w:i/>
          <w:iCs/>
        </w:rPr>
        <w:t xml:space="preserve">Frontiers in Psychology</w:t>
      </w:r>
      <w:r>
        <w:t xml:space="preserve">,</w:t>
      </w:r>
      <w:r>
        <w:t xml:space="preserve"> </w:t>
      </w:r>
      <w:r>
        <w:rPr>
          <w:i/>
          <w:iCs/>
        </w:rPr>
        <w:t xml:space="preserve">5</w:t>
      </w:r>
      <w:r>
        <w:t xml:space="preserve">(978).</w:t>
      </w:r>
      <w:r>
        <w:t xml:space="preserve"> </w:t>
      </w:r>
      <w:hyperlink r:id="rId316">
        <w:r>
          <w:rPr>
            <w:rStyle w:val="Hyperlink"/>
          </w:rPr>
          <w:t xml:space="preserve">https://doi.org/10.3389/fpsyg.2014.00978</w:t>
        </w:r>
      </w:hyperlink>
    </w:p>
    <w:bookmarkEnd w:id="317"/>
    <w:bookmarkStart w:id="319" w:name="ref-Nicholson2017"/>
    <w:p>
      <w:pPr>
        <w:pStyle w:val="Bibliography"/>
      </w:pPr>
      <w:r>
        <w:t xml:space="preserve">Nicholson, J. S., Deboeck, P. R., &amp; Howard, W. (2017). Attrition in developmental psychology:</w:t>
      </w:r>
      <w:r>
        <w:t xml:space="preserve"> </w:t>
      </w:r>
      <w:r>
        <w:t xml:space="preserve">A</w:t>
      </w:r>
      <w:r>
        <w:t xml:space="preserve"> </w:t>
      </w:r>
      <w:r>
        <w:t xml:space="preserve">review of modern missing data reporting and practices.</w:t>
      </w:r>
      <w:r>
        <w:t xml:space="preserve"> </w:t>
      </w:r>
      <w:r>
        <w:rPr>
          <w:i/>
          <w:iCs/>
        </w:rPr>
        <w:t xml:space="preserve">International Journal of Behavioral Development</w:t>
      </w:r>
      <w:r>
        <w:t xml:space="preserve">,</w:t>
      </w:r>
      <w:r>
        <w:t xml:space="preserve"> </w:t>
      </w:r>
      <w:r>
        <w:rPr>
          <w:i/>
          <w:iCs/>
        </w:rPr>
        <w:t xml:space="preserve">41</w:t>
      </w:r>
      <w:r>
        <w:t xml:space="preserve">(1), 143–153.</w:t>
      </w:r>
      <w:r>
        <w:t xml:space="preserve"> </w:t>
      </w:r>
      <w:hyperlink r:id="rId318">
        <w:r>
          <w:rPr>
            <w:rStyle w:val="Hyperlink"/>
          </w:rPr>
          <w:t xml:space="preserve">https://doi.org/10.1177/0165025415618275</w:t>
        </w:r>
      </w:hyperlink>
    </w:p>
    <w:bookmarkEnd w:id="319"/>
    <w:bookmarkStart w:id="321" w:name="ref-Nickerson2026"/>
    <w:p>
      <w:pPr>
        <w:pStyle w:val="Bibliography"/>
      </w:pPr>
      <w:r>
        <w:t xml:space="preserve">Nickerson, A. B., &amp; Fredrick, S. S. (2026). Cyberbullying and mental health in children and adolescents.</w:t>
      </w:r>
      <w:r>
        <w:t xml:space="preserve"> </w:t>
      </w:r>
      <w:r>
        <w:rPr>
          <w:i/>
          <w:iCs/>
        </w:rPr>
        <w:t xml:space="preserve">Annual Review of Clinical Psychology</w:t>
      </w:r>
      <w:r>
        <w:t xml:space="preserve">,</w:t>
      </w:r>
      <w:r>
        <w:t xml:space="preserve"> </w:t>
      </w:r>
      <w:r>
        <w:rPr>
          <w:i/>
          <w:iCs/>
        </w:rPr>
        <w:t xml:space="preserve">22</w:t>
      </w:r>
      <w:r>
        <w:t xml:space="preserve">(Volume 22, 2026), 559–586.</w:t>
      </w:r>
      <w:r>
        <w:t xml:space="preserve"> </w:t>
      </w:r>
      <w:hyperlink r:id="rId320">
        <w:r>
          <w:rPr>
            <w:rStyle w:val="Hyperlink"/>
          </w:rPr>
          <w:t xml:space="preserve">https://doi.org/10.1146/annurev-clinpsy-061324-073435</w:t>
        </w:r>
      </w:hyperlink>
    </w:p>
    <w:bookmarkEnd w:id="321"/>
    <w:bookmarkStart w:id="323" w:name="ref-Odgers2008"/>
    <w:p>
      <w:pPr>
        <w:pStyle w:val="Bibliography"/>
      </w:pPr>
      <w:r>
        <w:t xml:space="preserve">Odgers, C. L., Moffitt, T. E., Broadbent, J. M., Dickson, N., Hancox, R. J., Harrington, H., Poulton, R., Sears, M. R., Thomson, W. M., &amp; Caspi, A. (2008). Female and male antisocial trajectories:</w:t>
      </w:r>
      <w:r>
        <w:t xml:space="preserve"> </w:t>
      </w:r>
      <w:r>
        <w:t xml:space="preserve">From</w:t>
      </w:r>
      <w:r>
        <w:t xml:space="preserve"> </w:t>
      </w:r>
      <w:r>
        <w:t xml:space="preserve">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322">
        <w:r>
          <w:rPr>
            <w:rStyle w:val="Hyperlink"/>
          </w:rPr>
          <w:t xml:space="preserve">https://doi.org/10.1017/S0954579408000333</w:t>
        </w:r>
      </w:hyperlink>
    </w:p>
    <w:bookmarkEnd w:id="323"/>
    <w:bookmarkStart w:id="325" w:name="ref-Owens2003"/>
    <w:p>
      <w:pPr>
        <w:pStyle w:val="Bibliography"/>
      </w:pPr>
      <w:r>
        <w:t xml:space="preserve">Owens, E. B., &amp; Shaw, D. S. (2003). Predicting growth curves of externalizing behavior across the preschool years.</w:t>
      </w:r>
      <w:r>
        <w:t xml:space="preserve"> </w:t>
      </w:r>
      <w:r>
        <w:rPr>
          <w:i/>
          <w:iCs/>
        </w:rPr>
        <w:t xml:space="preserve">Journal of Abnormal Child Psychology</w:t>
      </w:r>
      <w:r>
        <w:t xml:space="preserve">,</w:t>
      </w:r>
      <w:r>
        <w:t xml:space="preserve"> </w:t>
      </w:r>
      <w:r>
        <w:rPr>
          <w:i/>
          <w:iCs/>
        </w:rPr>
        <w:t xml:space="preserve">31</w:t>
      </w:r>
      <w:r>
        <w:t xml:space="preserve">(6), 575–590.</w:t>
      </w:r>
      <w:r>
        <w:t xml:space="preserve"> </w:t>
      </w:r>
      <w:hyperlink r:id="rId324">
        <w:r>
          <w:rPr>
            <w:rStyle w:val="Hyperlink"/>
          </w:rPr>
          <w:t xml:space="preserve">https://doi.org/10.1023/a:1026254005632</w:t>
        </w:r>
      </w:hyperlink>
    </w:p>
    <w:bookmarkEnd w:id="325"/>
    <w:bookmarkStart w:id="327" w:name="ref-Paalman2013"/>
    <w:p>
      <w:pPr>
        <w:pStyle w:val="Bibliography"/>
      </w:pPr>
      <w:r>
        <w:t xml:space="preserve">Paalman, C. H., Terwee, C. B., Jansma, E. P., &amp; Jansen, L. M. C. (2013). Instruments measuring externalizing mental health problems in immigrant ethnic minority youths:</w:t>
      </w:r>
      <w:r>
        <w:t xml:space="preserve"> </w:t>
      </w:r>
      <w:r>
        <w:t xml:space="preserve">A</w:t>
      </w:r>
      <w:r>
        <w:t xml:space="preserve"> </w:t>
      </w:r>
      <w:r>
        <w:t xml:space="preserve">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326">
        <w:r>
          <w:rPr>
            <w:rStyle w:val="Hyperlink"/>
          </w:rPr>
          <w:t xml:space="preserve">https://doi.org/10.1371/journal.pone.0063109</w:t>
        </w:r>
      </w:hyperlink>
    </w:p>
    <w:bookmarkEnd w:id="327"/>
    <w:bookmarkStart w:id="329" w:name="ref-Patterson1993"/>
    <w:p>
      <w:pPr>
        <w:pStyle w:val="Bibliography"/>
      </w:pPr>
      <w:r>
        <w:t xml:space="preserve">Patterson, G. R. (1993). Orderly change in a stable world:</w:t>
      </w:r>
      <w:r>
        <w:t xml:space="preserve"> </w:t>
      </w:r>
      <w:r>
        <w:t xml:space="preserve">The</w:t>
      </w:r>
      <w:r>
        <w:t xml:space="preserve"> </w:t>
      </w:r>
      <w:r>
        <w:t xml:space="preserve">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328">
        <w:r>
          <w:rPr>
            <w:rStyle w:val="Hyperlink"/>
          </w:rPr>
          <w:t xml:space="preserve">https://doi.org/10.1037/0022-006X.61.6.911</w:t>
        </w:r>
      </w:hyperlink>
    </w:p>
    <w:bookmarkEnd w:id="329"/>
    <w:bookmarkStart w:id="331" w:name="ref-Pavlovich2026"/>
    <w:p>
      <w:pPr>
        <w:pStyle w:val="Bibliography"/>
      </w:pPr>
      <w:r>
        <w:t xml:space="preserve">Pavlovich, K., Tiego, J., Constable, T., Fornito, A., &amp; Imaging, M. B. (2026). Assessing the psychometric properties of the</w:t>
      </w:r>
      <w:r>
        <w:t xml:space="preserve"> </w:t>
      </w:r>
      <w:r>
        <w:t xml:space="preserve">Child Behavior Checklist</w:t>
      </w:r>
      <w:r>
        <w:t xml:space="preserve"> </w:t>
      </w:r>
      <w:r>
        <w:t xml:space="preserve">in the</w:t>
      </w:r>
      <w:r>
        <w:t xml:space="preserve"> </w:t>
      </w:r>
      <w:r>
        <w:t xml:space="preserve">ABCD Study</w:t>
      </w:r>
      <w:r>
        <w:t xml:space="preserve">.</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330">
        <w:r>
          <w:rPr>
            <w:rStyle w:val="Hyperlink"/>
          </w:rPr>
          <w:t xml:space="preserve">https://doi.org/10.1111/desc.70216</w:t>
        </w:r>
      </w:hyperlink>
    </w:p>
    <w:bookmarkEnd w:id="331"/>
    <w:bookmarkStart w:id="333" w:name="ref-Petersen2024"/>
    <w:p>
      <w:pPr>
        <w:pStyle w:val="Bibliography"/>
      </w:pPr>
      <w:r>
        <w:t xml:space="preserve">Petersen, I. T. (2024). Reexamining developmental continuity and discontinuity in the 21st century:</w:t>
      </w:r>
      <w:r>
        <w:t xml:space="preserve"> </w:t>
      </w:r>
      <w:r>
        <w:t xml:space="preserve">Better</w:t>
      </w:r>
      <w:r>
        <w:t xml:space="preserve"> </w:t>
      </w:r>
      <w:r>
        <w:t xml:space="preserve">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332">
        <w:r>
          <w:rPr>
            <w:rStyle w:val="Hyperlink"/>
          </w:rPr>
          <w:t xml:space="preserve">https://doi.org/10.1037/dev0001657</w:t>
        </w:r>
      </w:hyperlink>
    </w:p>
    <w:bookmarkEnd w:id="333"/>
    <w:bookmarkStart w:id="334" w:name="ref-PetersenPrinciplesPsychAssessment"/>
    <w:p>
      <w:pPr>
        <w:pStyle w:val="Bibliography"/>
      </w:pPr>
      <w:r>
        <w:t xml:space="preserve">Petersen, I. T. (2026).</w:t>
      </w:r>
      <w:r>
        <w:t xml:space="preserve"> </w:t>
      </w:r>
      <w:r>
        <w:rPr>
          <w:i/>
          <w:iCs/>
        </w:rPr>
        <w:t xml:space="preserve">Principles of psychological assessment:</w:t>
      </w:r>
      <w:r>
        <w:rPr>
          <w:i/>
          <w:iCs/>
        </w:rPr>
        <w:t xml:space="preserve"> </w:t>
      </w:r>
      <w:r>
        <w:rPr>
          <w:i/>
          <w:iCs/>
        </w:rPr>
        <w:t xml:space="preserve">With</w:t>
      </w:r>
      <w:r>
        <w:rPr>
          <w:i/>
          <w:iCs/>
        </w:rPr>
        <w:t xml:space="preserve"> </w:t>
      </w:r>
      <w:r>
        <w:rPr>
          <w:i/>
          <w:iCs/>
        </w:rPr>
        <w:t xml:space="preserve">applied examples in</w:t>
      </w:r>
      <w:r>
        <w:rPr>
          <w:i/>
          <w:iCs/>
        </w:rPr>
        <w:t xml:space="preserve"> </w:t>
      </w:r>
      <w:r>
        <w:rPr>
          <w:i/>
          <w:iCs/>
        </w:rPr>
        <w:t xml:space="preserve">R</w:t>
      </w:r>
      <w:r>
        <w:t xml:space="preserve">. University of Iowa Libraries.</w:t>
      </w:r>
      <w:r>
        <w:t xml:space="preserve"> </w:t>
      </w:r>
      <w:hyperlink r:id="rId120">
        <w:r>
          <w:rPr>
            <w:rStyle w:val="Hyperlink"/>
          </w:rPr>
          <w:t xml:space="preserve">https://doi.org/10.25820/work.007199</w:t>
        </w:r>
      </w:hyperlink>
    </w:p>
    <w:bookmarkEnd w:id="334"/>
    <w:bookmarkStart w:id="336"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335">
        <w:r>
          <w:rPr>
            <w:rStyle w:val="Hyperlink"/>
          </w:rPr>
          <w:t xml:space="preserve">https://doi.org/10.1017/S0954579414000789</w:t>
        </w:r>
      </w:hyperlink>
    </w:p>
    <w:bookmarkEnd w:id="336"/>
    <w:bookmarkStart w:id="338" w:name="ref-Petersen2020"/>
    <w:p>
      <w:pPr>
        <w:pStyle w:val="Bibliography"/>
      </w:pPr>
      <w:r>
        <w:t xml:space="preserve">Petersen, I. T., Choe, D. E., &amp; LeBeau, B. (2020). Studying a moving target in development:</w:t>
      </w:r>
      <w:r>
        <w:t xml:space="preserve"> </w:t>
      </w:r>
      <w:r>
        <w:t xml:space="preserve">The</w:t>
      </w:r>
      <w:r>
        <w:t xml:space="preserve"> </w:t>
      </w:r>
      <w:r>
        <w:t xml:space="preserve">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337">
        <w:r>
          <w:rPr>
            <w:rStyle w:val="Hyperlink"/>
          </w:rPr>
          <w:t xml:space="preserve">https://doi.org/10.1016/j.dr.2020.100935</w:t>
        </w:r>
      </w:hyperlink>
    </w:p>
    <w:bookmarkEnd w:id="338"/>
    <w:bookmarkStart w:id="339" w:name="ref-Petersen2026b"/>
    <w:p>
      <w:pPr>
        <w:pStyle w:val="Bibliography"/>
      </w:pPr>
      <w:r>
        <w:t xml:space="preserve">Petersen, I. T., Demko, Z., Doebler, P., Sabel, L., Oleson, J. J., &amp; Krueger, R. F. (2026). How often is</w:t>
      </w:r>
      <w:r>
        <w:t xml:space="preserve"> </w:t>
      </w:r>
      <w:r>
        <w:t xml:space="preserve">“often”</w:t>
      </w:r>
      <w:r>
        <w:t xml:space="preserve">?</w:t>
      </w:r>
      <w:r>
        <w:t xml:space="preserve"> </w:t>
      </w:r>
      <w:r>
        <w:t xml:space="preserve">Improving</w:t>
      </w:r>
      <w:r>
        <w:t xml:space="preserve"> </w:t>
      </w:r>
      <w:r>
        <w:t xml:space="preserve">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5">
        <w:r>
          <w:rPr>
            <w:rStyle w:val="Hyperlink"/>
          </w:rPr>
          <w:t xml:space="preserve">https://doi.org/10.1037/pas0001441</w:t>
        </w:r>
      </w:hyperlink>
    </w:p>
    <w:bookmarkEnd w:id="339"/>
    <w:bookmarkStart w:id="340" w:name="ref-Petersen2026a"/>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5">
        <w:r>
          <w:rPr>
            <w:rStyle w:val="Hyperlink"/>
          </w:rPr>
          <w:t xml:space="preserve">https://doi.org/10.1016/j.jaacop.2025.10.008</w:t>
        </w:r>
      </w:hyperlink>
    </w:p>
    <w:bookmarkEnd w:id="340"/>
    <w:bookmarkStart w:id="341" w:name="ref-Petersen2021b"/>
    <w:p>
      <w:pPr>
        <w:pStyle w:val="Bibliography"/>
      </w:pPr>
      <w:r>
        <w:t xml:space="preserve">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1">
        <w:r>
          <w:rPr>
            <w:rStyle w:val="Hyperlink"/>
          </w:rPr>
          <w:t xml:space="preserve">https://doi.org/10.1037/edu0000461</w:t>
        </w:r>
      </w:hyperlink>
    </w:p>
    <w:bookmarkEnd w:id="341"/>
    <w:bookmarkStart w:id="343" w:name="ref-Petersen2022"/>
    <w:p>
      <w:pPr>
        <w:pStyle w:val="Bibliography"/>
      </w:pPr>
      <w:r>
        <w:t xml:space="preserve">Petersen, I. T., &amp; LeBeau, B. (2022). Creating a developmental scale to chart the development of psychopathology with different informants and measures across time.</w:t>
      </w:r>
      <w:r>
        <w:t xml:space="preserve"> </w:t>
      </w:r>
      <w:r>
        <w:rPr>
          <w:i/>
          <w:iCs/>
        </w:rPr>
        <w:t xml:space="preserve">Journal of Psychopathology and Clinical Science</w:t>
      </w:r>
      <w:r>
        <w:t xml:space="preserve">,</w:t>
      </w:r>
      <w:r>
        <w:t xml:space="preserve"> </w:t>
      </w:r>
      <w:r>
        <w:rPr>
          <w:i/>
          <w:iCs/>
        </w:rPr>
        <w:t xml:space="preserve">131</w:t>
      </w:r>
      <w:r>
        <w:t xml:space="preserve">(6), 611–625.</w:t>
      </w:r>
      <w:r>
        <w:t xml:space="preserve"> </w:t>
      </w:r>
      <w:hyperlink r:id="rId342">
        <w:r>
          <w:rPr>
            <w:rStyle w:val="Hyperlink"/>
          </w:rPr>
          <w:t xml:space="preserve">https://doi.org/10.1037/abn0000649</w:t>
        </w:r>
      </w:hyperlink>
    </w:p>
    <w:bookmarkEnd w:id="343"/>
    <w:bookmarkStart w:id="345" w:name="ref-Petersen2021a"/>
    <w:p>
      <w:pPr>
        <w:pStyle w:val="Bibliography"/>
      </w:pPr>
      <w:r>
        <w:t xml:space="preserve">Petersen, I. T., LeBeau, B., &amp; Choe, D. E. (2021). Creating a developmental scale to account for heterotypic continuity in development:</w:t>
      </w:r>
      <w:r>
        <w:t xml:space="preserve"> </w:t>
      </w:r>
      <w:r>
        <w:t xml:space="preserve">A</w:t>
      </w:r>
      <w:r>
        <w:t xml:space="preserve"> </w:t>
      </w:r>
      <w:r>
        <w:t xml:space="preserve">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344">
        <w:r>
          <w:rPr>
            <w:rStyle w:val="Hyperlink"/>
          </w:rPr>
          <w:t xml:space="preserve">https://doi.org/10.1111/cdev.13433</w:t>
        </w:r>
      </w:hyperlink>
    </w:p>
    <w:bookmarkEnd w:id="345"/>
    <w:bookmarkStart w:id="347" w:name="ref-Petersen2018"/>
    <w:p>
      <w:pPr>
        <w:pStyle w:val="Bibliography"/>
      </w:pPr>
      <w:r>
        <w:t xml:space="preserve">Petersen, I. T., Lindhiem, O., LeBeau, B., Bates, J. E., Pettit, G. S., Lansford, J. E., &amp; Dodge, K. A. (2018). Development of internalizing problems from adolescence to emerging adulthood:</w:t>
      </w:r>
      <w:r>
        <w:t xml:space="preserve"> </w:t>
      </w:r>
      <w:r>
        <w:t xml:space="preserve">Accounting</w:t>
      </w:r>
      <w:r>
        <w:t xml:space="preserve"> </w:t>
      </w:r>
      <w:r>
        <w:t xml:space="preserve">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346">
        <w:r>
          <w:rPr>
            <w:rStyle w:val="Hyperlink"/>
          </w:rPr>
          <w:t xml:space="preserve">https://doi.org/10.1037/dev0000449</w:t>
        </w:r>
      </w:hyperlink>
    </w:p>
    <w:bookmarkEnd w:id="347"/>
    <w:bookmarkStart w:id="349" w:name="ref-Petscher2018"/>
    <w:p>
      <w:pPr>
        <w:pStyle w:val="Bibliography"/>
      </w:pPr>
      <w:r>
        <w:t xml:space="preserve">Petscher, Y., Justice, L. M., &amp; Hogan, T. (2018). Modeling the early language trajectory of language development when the measures change and its relation to poor reading comprehension.</w:t>
      </w:r>
      <w:r>
        <w:t xml:space="preserve"> </w:t>
      </w:r>
      <w:r>
        <w:rPr>
          <w:i/>
          <w:iCs/>
        </w:rPr>
        <w:t xml:space="preserve">Child Development</w:t>
      </w:r>
      <w:r>
        <w:t xml:space="preserve">,</w:t>
      </w:r>
      <w:r>
        <w:t xml:space="preserve"> </w:t>
      </w:r>
      <w:r>
        <w:rPr>
          <w:i/>
          <w:iCs/>
        </w:rPr>
        <w:t xml:space="preserve">89</w:t>
      </w:r>
      <w:r>
        <w:t xml:space="preserve">(6), 2136–2156.</w:t>
      </w:r>
      <w:r>
        <w:t xml:space="preserve"> </w:t>
      </w:r>
      <w:hyperlink r:id="rId348">
        <w:r>
          <w:rPr>
            <w:rStyle w:val="Hyperlink"/>
          </w:rPr>
          <w:t xml:space="preserve">https://doi.org/10.1111/cdev.12880</w:t>
        </w:r>
      </w:hyperlink>
    </w:p>
    <w:bookmarkEnd w:id="349"/>
    <w:bookmarkStart w:id="351" w:name="ref-Podsakoff2012"/>
    <w:p>
      <w:pPr>
        <w:pStyle w:val="Bibliography"/>
      </w:pPr>
      <w:r>
        <w:t xml:space="preserve">Podsakoff, P. M., MacKenzie, S. B., &amp; Podsakoff, N. P. (2012). Sources of method bias in social science research and recommendations on how to control it.</w:t>
      </w:r>
      <w:r>
        <w:t xml:space="preserve"> </w:t>
      </w:r>
      <w:r>
        <w:rPr>
          <w:i/>
          <w:iCs/>
        </w:rPr>
        <w:t xml:space="preserve">Annual Review of Psychology</w:t>
      </w:r>
      <w:r>
        <w:t xml:space="preserve">,</w:t>
      </w:r>
      <w:r>
        <w:t xml:space="preserve"> </w:t>
      </w:r>
      <w:r>
        <w:rPr>
          <w:i/>
          <w:iCs/>
        </w:rPr>
        <w:t xml:space="preserve">63</w:t>
      </w:r>
      <w:r>
        <w:t xml:space="preserve">(1), 539–569.</w:t>
      </w:r>
      <w:r>
        <w:t xml:space="preserve"> </w:t>
      </w:r>
      <w:hyperlink r:id="rId350">
        <w:r>
          <w:rPr>
            <w:rStyle w:val="Hyperlink"/>
          </w:rPr>
          <w:t xml:space="preserve">https://doi.org/10.1146/annurev-psych-120710-100452</w:t>
        </w:r>
      </w:hyperlink>
    </w:p>
    <w:bookmarkEnd w:id="351"/>
    <w:bookmarkStart w:id="353" w:name="ref-Poulton2015"/>
    <w:p>
      <w:pPr>
        <w:pStyle w:val="Bibliography"/>
      </w:pPr>
      <w:r>
        <w:t xml:space="preserve">Poulton, R., Moffitt, T. E., &amp; Silva, P. A. (2015). The</w:t>
      </w:r>
      <w:r>
        <w:t xml:space="preserve"> </w:t>
      </w:r>
      <w:r>
        <w:t xml:space="preserve">Dunedin Multidisciplinary Health and Development Study</w:t>
      </w:r>
      <w:r>
        <w:t xml:space="preserve">:</w:t>
      </w:r>
      <w:r>
        <w:t xml:space="preserve"> </w:t>
      </w:r>
      <w:r>
        <w:t xml:space="preserve">Overview</w:t>
      </w:r>
      <w:r>
        <w:t xml:space="preserve"> </w:t>
      </w:r>
      <w:r>
        <w:t xml:space="preserve">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352">
        <w:r>
          <w:rPr>
            <w:rStyle w:val="Hyperlink"/>
          </w:rPr>
          <w:t xml:space="preserve">https://doi.org/10.1007/s00127-015-1048-8</w:t>
        </w:r>
      </w:hyperlink>
    </w:p>
    <w:bookmarkEnd w:id="353"/>
    <w:bookmarkStart w:id="355" w:name="ref-Revelle2019"/>
    <w:p>
      <w:pPr>
        <w:pStyle w:val="Bibliography"/>
      </w:pPr>
      <w:r>
        <w:t xml:space="preserve">Revelle, W., &amp; Condon, D. M. (2019). Reliability from</w:t>
      </w:r>
      <w:r>
        <w:t xml:space="preserve"> </w:t>
      </w:r>
      <m:oMath>
        <m:r>
          <m:t>α</m:t>
        </m:r>
      </m:oMath>
      <w:r>
        <w:t xml:space="preserve"> </w:t>
      </w:r>
      <w:r>
        <w:t xml:space="preserve">to</w:t>
      </w:r>
      <w:r>
        <w:t xml:space="preserve"> </w:t>
      </w:r>
      <m:oMath>
        <m:r>
          <m:t>ω</m:t>
        </m:r>
      </m:oMath>
      <w:r>
        <w:t xml:space="preserve">:</w:t>
      </w:r>
      <w:r>
        <w:t xml:space="preserve"> </w:t>
      </w:r>
      <w:r>
        <w:t xml:space="preserve">A</w:t>
      </w:r>
      <w:r>
        <w:t xml:space="preserve"> </w:t>
      </w:r>
      <w:r>
        <w:t xml:space="preserve">tutorial.</w:t>
      </w:r>
      <w:r>
        <w:t xml:space="preserve"> </w:t>
      </w:r>
      <w:r>
        <w:rPr>
          <w:i/>
          <w:iCs/>
        </w:rPr>
        <w:t xml:space="preserve">Psychological Assessment</w:t>
      </w:r>
      <w:r>
        <w:t xml:space="preserve">,</w:t>
      </w:r>
      <w:r>
        <w:t xml:space="preserve"> </w:t>
      </w:r>
      <w:r>
        <w:rPr>
          <w:i/>
          <w:iCs/>
        </w:rPr>
        <w:t xml:space="preserve">31</w:t>
      </w:r>
      <w:r>
        <w:t xml:space="preserve">(12), 1395–1411.</w:t>
      </w:r>
      <w:r>
        <w:t xml:space="preserve"> </w:t>
      </w:r>
      <w:hyperlink r:id="rId354">
        <w:r>
          <w:rPr>
            <w:rStyle w:val="Hyperlink"/>
          </w:rPr>
          <w:t xml:space="preserve">https://doi.org/10.1037/pas0000754</w:t>
        </w:r>
      </w:hyperlink>
    </w:p>
    <w:bookmarkEnd w:id="355"/>
    <w:bookmarkStart w:id="357" w:name="ref-Robitzsch2023"/>
    <w:p>
      <w:pPr>
        <w:pStyle w:val="Bibliography"/>
      </w:pPr>
      <w:r>
        <w:t xml:space="preserve">Robitzsch, A., &amp; Lüdtke, O. (2023). Why full, partial, or approximate measurement invariance are not a prerequisite for meaningful and valid group comparisons.</w:t>
      </w:r>
      <w:r>
        <w:t xml:space="preserve"> </w:t>
      </w:r>
      <w:r>
        <w:rPr>
          <w:i/>
          <w:iCs/>
        </w:rPr>
        <w:t xml:space="preserve">Structural Equation Modeling: A Multidisciplinary Journal</w:t>
      </w:r>
      <w:r>
        <w:t xml:space="preserve">,</w:t>
      </w:r>
      <w:r>
        <w:t xml:space="preserve"> </w:t>
      </w:r>
      <w:r>
        <w:rPr>
          <w:i/>
          <w:iCs/>
        </w:rPr>
        <w:t xml:space="preserve">30</w:t>
      </w:r>
      <w:r>
        <w:t xml:space="preserve">(6), 859–870.</w:t>
      </w:r>
      <w:r>
        <w:t xml:space="preserve"> </w:t>
      </w:r>
      <w:hyperlink r:id="rId356">
        <w:r>
          <w:rPr>
            <w:rStyle w:val="Hyperlink"/>
          </w:rPr>
          <w:t xml:space="preserve">https://doi.org/10.1080/10705511.2023.2191292</w:t>
        </w:r>
      </w:hyperlink>
    </w:p>
    <w:bookmarkEnd w:id="357"/>
    <w:bookmarkStart w:id="358" w:name="ref-Roche1992"/>
    <w:p>
      <w:pPr>
        <w:pStyle w:val="Bibliography"/>
      </w:pPr>
      <w:r>
        <w:t xml:space="preserve">Roche, A. F. (1992).</w:t>
      </w:r>
      <w:r>
        <w:t xml:space="preserve"> </w:t>
      </w:r>
      <w:r>
        <w:rPr>
          <w:i/>
          <w:iCs/>
        </w:rPr>
        <w:t xml:space="preserve">Growth, maturation, and body composition:</w:t>
      </w:r>
      <w:r>
        <w:rPr>
          <w:i/>
          <w:iCs/>
        </w:rPr>
        <w:t xml:space="preserve"> </w:t>
      </w:r>
      <w:r>
        <w:rPr>
          <w:i/>
          <w:iCs/>
        </w:rPr>
        <w:t xml:space="preserve">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358"/>
    <w:bookmarkStart w:id="360" w:name="ref-Rohrer2025"/>
    <w:p>
      <w:pPr>
        <w:pStyle w:val="Bibliography"/>
      </w:pPr>
      <w:r>
        <w:t xml:space="preserve">Rohrer, J. M. (2025). Thinking clearly about age, period, and cohort effects.</w:t>
      </w:r>
      <w:r>
        <w:t xml:space="preserve"> </w:t>
      </w:r>
      <w:r>
        <w:rPr>
          <w:i/>
          <w:iCs/>
        </w:rPr>
        <w:t xml:space="preserve">Advances in Methods and Practices in Psychological Science</w:t>
      </w:r>
      <w:r>
        <w:t xml:space="preserve">,</w:t>
      </w:r>
      <w:r>
        <w:t xml:space="preserve"> </w:t>
      </w:r>
      <w:r>
        <w:rPr>
          <w:i/>
          <w:iCs/>
        </w:rPr>
        <w:t xml:space="preserve">8</w:t>
      </w:r>
      <w:r>
        <w:t xml:space="preserve">(2), 25152459251342750.</w:t>
      </w:r>
      <w:r>
        <w:t xml:space="preserve"> </w:t>
      </w:r>
      <w:hyperlink r:id="rId359">
        <w:r>
          <w:rPr>
            <w:rStyle w:val="Hyperlink"/>
          </w:rPr>
          <w:t xml:space="preserve">https://doi.org/10.1177/25152459251342750</w:t>
        </w:r>
      </w:hyperlink>
    </w:p>
    <w:bookmarkEnd w:id="360"/>
    <w:bookmarkStart w:id="362"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361">
        <w:r>
          <w:rPr>
            <w:rStyle w:val="Hyperlink"/>
          </w:rPr>
          <w:t xml:space="preserve">https://doi.org/10.1111/j.1469-7610.2006.01614.x</w:t>
        </w:r>
      </w:hyperlink>
    </w:p>
    <w:bookmarkEnd w:id="362"/>
    <w:bookmarkStart w:id="364" w:name="ref-SacuInPress"/>
    <w:p>
      <w:pPr>
        <w:pStyle w:val="Bibliography"/>
      </w:pPr>
      <w:r>
        <w:t xml:space="preserve">Sacu, S., Streit, F., Witt, S. H., Banaschewski, T., Holz, N. E., &amp; Schultebraucks, K. (in press). Predicting psychopathology symptom trajectories using machine learning:</w:t>
      </w:r>
      <w:r>
        <w:t xml:space="preserve"> </w:t>
      </w:r>
      <w:r>
        <w:t xml:space="preserve">A</w:t>
      </w:r>
      <w:r>
        <w:t xml:space="preserve"> </w:t>
      </w:r>
      <w:r>
        <w:t xml:space="preserve">33-year prospective study.</w:t>
      </w:r>
      <w:r>
        <w:t xml:space="preserve"> </w:t>
      </w:r>
      <w:r>
        <w:rPr>
          <w:i/>
          <w:iCs/>
        </w:rPr>
        <w:t xml:space="preserve">Journal of Child Psychology and Psychiatry</w:t>
      </w:r>
      <w:r>
        <w:t xml:space="preserve">,</w:t>
      </w:r>
      <w:r>
        <w:t xml:space="preserve"> </w:t>
      </w:r>
      <w:r>
        <w:rPr>
          <w:i/>
          <w:iCs/>
        </w:rPr>
        <w:t xml:space="preserve">n/a</w:t>
      </w:r>
      <w:r>
        <w:t xml:space="preserve">(n/a).</w:t>
      </w:r>
      <w:r>
        <w:t xml:space="preserve"> </w:t>
      </w:r>
      <w:hyperlink r:id="rId363">
        <w:r>
          <w:rPr>
            <w:rStyle w:val="Hyperlink"/>
          </w:rPr>
          <w:t xml:space="preserve">https://doi.org/10.1111/jcpp.70180</w:t>
        </w:r>
      </w:hyperlink>
    </w:p>
    <w:bookmarkEnd w:id="364"/>
    <w:bookmarkStart w:id="366" w:name="ref-Schaefer2017"/>
    <w:p>
      <w:pPr>
        <w:pStyle w:val="Bibliography"/>
      </w:pPr>
      <w:r>
        <w:t xml:space="preserve">Schaefer, J. D., Caspi, A., Belsky, D. W., Harrington, H., Houts, R., Horwood, L. J., Hussong, A., Ramrakha, S., Poulton, R., &amp; Moffitt, T. E. (2017). Enduring mental health:</w:t>
      </w:r>
      <w:r>
        <w:t xml:space="preserve"> </w:t>
      </w:r>
      <w:r>
        <w:t xml:space="preserve">Prevalence</w:t>
      </w:r>
      <w:r>
        <w:t xml:space="preserve"> </w:t>
      </w:r>
      <w:r>
        <w:t xml:space="preserve">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365">
        <w:r>
          <w:rPr>
            <w:rStyle w:val="Hyperlink"/>
          </w:rPr>
          <w:t xml:space="preserve">https://doi.org/10.1037/abn0000232</w:t>
        </w:r>
      </w:hyperlink>
    </w:p>
    <w:bookmarkEnd w:id="366"/>
    <w:bookmarkStart w:id="368" w:name="ref-Schaeffer1991"/>
    <w:p>
      <w:pPr>
        <w:pStyle w:val="Bibliography"/>
      </w:pPr>
      <w:r>
        <w:t xml:space="preserve">Schaeffer, N. C. (1991). Hardly ever or constantly?</w:t>
      </w:r>
      <w:r>
        <w:t xml:space="preserve"> </w:t>
      </w:r>
      <w:r>
        <w:t xml:space="preserve">Group</w:t>
      </w:r>
      <w:r>
        <w:t xml:space="preserve"> </w:t>
      </w:r>
      <w:r>
        <w:t xml:space="preserve">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367">
        <w:r>
          <w:rPr>
            <w:rStyle w:val="Hyperlink"/>
          </w:rPr>
          <w:t xml:space="preserve">https://doi.org/10.1086/269270</w:t>
        </w:r>
      </w:hyperlink>
    </w:p>
    <w:bookmarkEnd w:id="368"/>
    <w:bookmarkStart w:id="369" w:name="ref-Schaie2005"/>
    <w:p>
      <w:pPr>
        <w:pStyle w:val="Bibliography"/>
      </w:pPr>
      <w:r>
        <w:t xml:space="preserve">Schaie, K. W. (2005).</w:t>
      </w:r>
      <w:r>
        <w:t xml:space="preserve"> </w:t>
      </w:r>
      <w:r>
        <w:rPr>
          <w:i/>
          <w:iCs/>
        </w:rPr>
        <w:t xml:space="preserve">Developmental influences on adult intelligence:</w:t>
      </w:r>
      <w:r>
        <w:rPr>
          <w:i/>
          <w:iCs/>
        </w:rPr>
        <w:t xml:space="preserve"> </w:t>
      </w:r>
      <w:r>
        <w:rPr>
          <w:i/>
          <w:iCs/>
        </w:rPr>
        <w:t xml:space="preserve">The</w:t>
      </w:r>
      <w:r>
        <w:rPr>
          <w:i/>
          <w:iCs/>
        </w:rPr>
        <w:t xml:space="preserve"> </w:t>
      </w:r>
      <w:r>
        <w:rPr>
          <w:i/>
          <w:iCs/>
        </w:rPr>
        <w:t xml:space="preserve">Seattle Longitudinal Study</w:t>
      </w:r>
      <w:r>
        <w:t xml:space="preserve">. Oxford University Press.</w:t>
      </w:r>
    </w:p>
    <w:bookmarkEnd w:id="369"/>
    <w:bookmarkStart w:id="371" w:name="ref-Schwarz1999"/>
    <w:p>
      <w:pPr>
        <w:pStyle w:val="Bibliography"/>
      </w:pPr>
      <w:r>
        <w:t xml:space="preserve">Schwarz, N. (1999). Self-reports:</w:t>
      </w:r>
      <w:r>
        <w:t xml:space="preserve"> </w:t>
      </w:r>
      <w:r>
        <w:t xml:space="preserve">How</w:t>
      </w:r>
      <w:r>
        <w:t xml:space="preserve"> </w:t>
      </w:r>
      <w:r>
        <w:t xml:space="preserve">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370">
        <w:r>
          <w:rPr>
            <w:rStyle w:val="Hyperlink"/>
          </w:rPr>
          <w:t xml:space="preserve">https://doi.org/10.1037/0003-066X.54.2.93</w:t>
        </w:r>
      </w:hyperlink>
    </w:p>
    <w:bookmarkEnd w:id="371"/>
    <w:bookmarkStart w:id="373" w:name="ref-Seddig2018"/>
    <w:p>
      <w:pPr>
        <w:pStyle w:val="Bibliography"/>
      </w:pPr>
      <w:r>
        <w:t xml:space="preserve">Seddig, D., &amp; Leitgöb, H. (2018). Approximate measurement invariance and longitudinal confirmatory factor analysis:</w:t>
      </w:r>
      <w:r>
        <w:t xml:space="preserve"> </w:t>
      </w:r>
      <w:r>
        <w:t xml:space="preserve">Concept</w:t>
      </w:r>
      <w:r>
        <w:t xml:space="preserve"> </w:t>
      </w:r>
      <w:r>
        <w:t xml:space="preserve">and application with panel data.</w:t>
      </w:r>
      <w:r>
        <w:t xml:space="preserve"> </w:t>
      </w:r>
      <w:r>
        <w:rPr>
          <w:i/>
          <w:iCs/>
        </w:rPr>
        <w:t xml:space="preserve">Survey Research Methods</w:t>
      </w:r>
      <w:r>
        <w:t xml:space="preserve">,</w:t>
      </w:r>
      <w:r>
        <w:t xml:space="preserve"> </w:t>
      </w:r>
      <w:r>
        <w:rPr>
          <w:i/>
          <w:iCs/>
        </w:rPr>
        <w:t xml:space="preserve">12</w:t>
      </w:r>
      <w:r>
        <w:t xml:space="preserve">(1).</w:t>
      </w:r>
      <w:r>
        <w:t xml:space="preserve"> </w:t>
      </w:r>
      <w:hyperlink r:id="rId372">
        <w:r>
          <w:rPr>
            <w:rStyle w:val="Hyperlink"/>
          </w:rPr>
          <w:t xml:space="preserve">https://doi.org/10.18148/srm/2018.v12i1.7210</w:t>
        </w:r>
      </w:hyperlink>
    </w:p>
    <w:bookmarkEnd w:id="373"/>
    <w:bookmarkStart w:id="375"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374">
        <w:r>
          <w:rPr>
            <w:rStyle w:val="Hyperlink"/>
          </w:rPr>
          <w:t xml:space="preserve">https://doi.org/10.1037/abn0000171</w:t>
        </w:r>
      </w:hyperlink>
    </w:p>
    <w:bookmarkEnd w:id="375"/>
    <w:bookmarkStart w:id="377" w:name="ref-Shi2020"/>
    <w:p>
      <w:pPr>
        <w:pStyle w:val="Bibliography"/>
      </w:pPr>
      <w:r>
        <w:t xml:space="preserve">Shi, Q., Ettekal, I., Deutz, M. H. F., &amp; Woltering, S. (2020). Trajectories of pure and co-occurring internalizing and externalizing problems from early childhood to adolescence:</w:t>
      </w:r>
      <w:r>
        <w:t xml:space="preserve"> </w:t>
      </w:r>
      <w:r>
        <w:t xml:space="preserve">Associations</w:t>
      </w:r>
      <w:r>
        <w:t xml:space="preserve"> </w:t>
      </w:r>
      <w:r>
        <w:t xml:space="preserve">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376">
        <w:r>
          <w:rPr>
            <w:rStyle w:val="Hyperlink"/>
          </w:rPr>
          <w:t xml:space="preserve">https://doi.org/10.1037/dev0001095</w:t>
        </w:r>
      </w:hyperlink>
    </w:p>
    <w:bookmarkEnd w:id="377"/>
    <w:bookmarkStart w:id="379" w:name="ref-Simms2019"/>
    <w:p>
      <w:pPr>
        <w:pStyle w:val="Bibliography"/>
      </w:pPr>
      <w:r>
        <w:t xml:space="preserve">Simms, L. J., Zelazny, K., Williams, T. F., &amp; Bernstein, L. (2019). Does the number of response options matter?</w:t>
      </w:r>
      <w:r>
        <w:t xml:space="preserve"> </w:t>
      </w:r>
      <w:r>
        <w:t xml:space="preserve">Psychometric</w:t>
      </w:r>
      <w:r>
        <w:t xml:space="preserve"> </w:t>
      </w:r>
      <w:r>
        <w:t xml:space="preserve">perspectives using personality questionnaire data.</w:t>
      </w:r>
      <w:r>
        <w:t xml:space="preserve"> </w:t>
      </w:r>
      <w:r>
        <w:rPr>
          <w:i/>
          <w:iCs/>
        </w:rPr>
        <w:t xml:space="preserve">Psychological Assessment</w:t>
      </w:r>
      <w:r>
        <w:t xml:space="preserve">,</w:t>
      </w:r>
      <w:r>
        <w:t xml:space="preserve"> </w:t>
      </w:r>
      <w:r>
        <w:rPr>
          <w:i/>
          <w:iCs/>
        </w:rPr>
        <w:t xml:space="preserve">31</w:t>
      </w:r>
      <w:r>
        <w:t xml:space="preserve">(4), 557–566.</w:t>
      </w:r>
      <w:r>
        <w:t xml:space="preserve"> </w:t>
      </w:r>
      <w:hyperlink r:id="rId378">
        <w:r>
          <w:rPr>
            <w:rStyle w:val="Hyperlink"/>
          </w:rPr>
          <w:t xml:space="preserve">https://doi.org/10.1037/pas0000648</w:t>
        </w:r>
      </w:hyperlink>
    </w:p>
    <w:bookmarkEnd w:id="379"/>
    <w:bookmarkStart w:id="381" w:name="ref-Sivertsson2024"/>
    <w:p>
      <w:pPr>
        <w:pStyle w:val="Bibliography"/>
      </w:pPr>
      <w:r>
        <w:t xml:space="preserve">Sivertsson, F., Carlsson, C., Almquist, Y. B., &amp; Brännström, L. (2024). Offending trajectories from childhood to retirement age:</w:t>
      </w:r>
      <w:r>
        <w:t xml:space="preserve"> </w:t>
      </w:r>
      <w:r>
        <w:t xml:space="preserve">Findings</w:t>
      </w:r>
      <w:r>
        <w:t xml:space="preserve"> </w:t>
      </w:r>
      <w:r>
        <w:t xml:space="preserve">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380">
        <w:r>
          <w:rPr>
            <w:rStyle w:val="Hyperlink"/>
          </w:rPr>
          <w:t xml:space="preserve">https://doi.org/10.1016/j.jcrimjus.2024.102155</w:t>
        </w:r>
      </w:hyperlink>
    </w:p>
    <w:bookmarkEnd w:id="381"/>
    <w:bookmarkStart w:id="383" w:name="ref-Speyer2022"/>
    <w:p>
      <w:pPr>
        <w:pStyle w:val="Bibliography"/>
      </w:pPr>
      <w:r>
        <w:t xml:space="preserve">Speyer, L. G., Neaves, S., Hall, H. A., Hemani, G., Lombardo, M. V., Murray, A. L., Auyeung, B., &amp; Luciano, M. (2022). Polygenic risks for joint developmental trajectories of internalizing and externalizing problems:</w:t>
      </w:r>
      <w:r>
        <w:t xml:space="preserve"> </w:t>
      </w:r>
      <w:r>
        <w:t xml:space="preserve">Findings</w:t>
      </w:r>
      <w:r>
        <w:t xml:space="preserve"> </w:t>
      </w:r>
      <w:r>
        <w:t xml:space="preserve">from the</w:t>
      </w:r>
      <w:r>
        <w:t xml:space="preserve"> </w:t>
      </w:r>
      <w:r>
        <w:t xml:space="preserve">ALSPAC</w:t>
      </w:r>
      <w:r>
        <w:t xml:space="preserve"> </w:t>
      </w:r>
      <w:r>
        <w:t xml:space="preserve">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382">
        <w:r>
          <w:rPr>
            <w:rStyle w:val="Hyperlink"/>
          </w:rPr>
          <w:t xml:space="preserve">https://doi.org/10.1111/jcpp.13549</w:t>
        </w:r>
      </w:hyperlink>
    </w:p>
    <w:bookmarkEnd w:id="383"/>
    <w:bookmarkStart w:id="384"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384"/>
    <w:bookmarkStart w:id="386" w:name="ref-Sterba2007"/>
    <w:p>
      <w:pPr>
        <w:pStyle w:val="Bibliography"/>
      </w:pPr>
      <w:r>
        <w:t xml:space="preserve">Sterba, S. K., Prinstein, M. J., &amp; Cox, M. J. (2007). Trajectories of internalizing problems across childhood:</w:t>
      </w:r>
      <w:r>
        <w:t xml:space="preserve"> </w:t>
      </w:r>
      <w:r>
        <w:t xml:space="preserve">Heterogeneity</w:t>
      </w:r>
      <w:r>
        <w:t xml:space="preserve">,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385">
        <w:r>
          <w:rPr>
            <w:rStyle w:val="Hyperlink"/>
          </w:rPr>
          <w:t xml:space="preserve">https://doi.org/10.1017/S0954579407070174</w:t>
        </w:r>
      </w:hyperlink>
    </w:p>
    <w:bookmarkEnd w:id="386"/>
    <w:bookmarkStart w:id="388" w:name="ref-Sterner2026"/>
    <w:p>
      <w:pPr>
        <w:pStyle w:val="Bibliography"/>
      </w:pPr>
      <w:r>
        <w:t xml:space="preserve">Sterner, P., Pargent, F., &amp; Goretzko, D. (2026). Don’t let</w:t>
      </w:r>
      <w:r>
        <w:t xml:space="preserve"> </w:t>
      </w:r>
      <w:r>
        <w:t xml:space="preserve">MI</w:t>
      </w:r>
      <w:r>
        <w:t xml:space="preserve"> </w:t>
      </w:r>
      <w:r>
        <w:t xml:space="preserve">be misunderstood:</w:t>
      </w:r>
      <w:r>
        <w:t xml:space="preserve"> </w:t>
      </w:r>
      <w:r>
        <w:t xml:space="preserve">A</w:t>
      </w:r>
      <w:r>
        <w:t xml:space="preserve"> </w:t>
      </w:r>
      <w:r>
        <w:t xml:space="preserve">causal view on measurement invariance.</w:t>
      </w:r>
      <w:r>
        <w:t xml:space="preserve"> </w:t>
      </w:r>
      <w:r>
        <w:rPr>
          <w:i/>
          <w:iCs/>
        </w:rPr>
        <w:t xml:space="preserve">Current Research in Ecological and Social Psychology</w:t>
      </w:r>
      <w:r>
        <w:t xml:space="preserve">,</w:t>
      </w:r>
      <w:r>
        <w:t xml:space="preserve"> </w:t>
      </w:r>
      <w:r>
        <w:rPr>
          <w:i/>
          <w:iCs/>
        </w:rPr>
        <w:t xml:space="preserve">10</w:t>
      </w:r>
      <w:r>
        <w:t xml:space="preserve">, 100261.</w:t>
      </w:r>
      <w:r>
        <w:t xml:space="preserve"> </w:t>
      </w:r>
      <w:hyperlink r:id="rId387">
        <w:r>
          <w:rPr>
            <w:rStyle w:val="Hyperlink"/>
          </w:rPr>
          <w:t xml:space="preserve">https://doi.org/10.1016/j.cresp.2025.100261</w:t>
        </w:r>
      </w:hyperlink>
    </w:p>
    <w:bookmarkEnd w:id="388"/>
    <w:bookmarkStart w:id="390"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389">
        <w:r>
          <w:rPr>
            <w:rStyle w:val="Hyperlink"/>
          </w:rPr>
          <w:t xml:space="preserve">https://doi.org/10.1177/1362361320908972</w:t>
        </w:r>
      </w:hyperlink>
    </w:p>
    <w:bookmarkEnd w:id="390"/>
    <w:bookmarkStart w:id="392" w:name="ref-Student2025"/>
    <w:p>
      <w:pPr>
        <w:pStyle w:val="Bibliography"/>
      </w:pPr>
      <w:r>
        <w:t xml:space="preserve">Student, S. R. (2025). Vertical scaling with moderated nonlinear factor analysis.</w:t>
      </w:r>
      <w:r>
        <w:t xml:space="preserve"> </w:t>
      </w:r>
      <w:r>
        <w:rPr>
          <w:i/>
          <w:iCs/>
        </w:rPr>
        <w:t xml:space="preserve">Journal of Educational Measurement</w:t>
      </w:r>
      <w:r>
        <w:t xml:space="preserve">,</w:t>
      </w:r>
      <w:r>
        <w:t xml:space="preserve"> </w:t>
      </w:r>
      <w:r>
        <w:rPr>
          <w:i/>
          <w:iCs/>
        </w:rPr>
        <w:t xml:space="preserve">62</w:t>
      </w:r>
      <w:r>
        <w:t xml:space="preserve">(4), 929–958.</w:t>
      </w:r>
      <w:r>
        <w:t xml:space="preserve"> </w:t>
      </w:r>
      <w:hyperlink r:id="rId391">
        <w:r>
          <w:rPr>
            <w:rStyle w:val="Hyperlink"/>
          </w:rPr>
          <w:t xml:space="preserve">https://doi.org/10.1111/jedm.70019</w:t>
        </w:r>
      </w:hyperlink>
    </w:p>
    <w:bookmarkEnd w:id="392"/>
    <w:bookmarkStart w:id="394" w:name="ref-Tackett2022"/>
    <w:p>
      <w:pPr>
        <w:pStyle w:val="Bibliography"/>
      </w:pPr>
      <w:r>
        <w:t xml:space="preserve">Tackett, J. L., &amp; Hallquist, M. (2022). The need to grow:</w:t>
      </w:r>
      <w:r>
        <w:t xml:space="preserve"> </w:t>
      </w:r>
      <w:r>
        <w:t xml:space="preserve">Developmental</w:t>
      </w:r>
      <w:r>
        <w:t xml:space="preserve"> </w:t>
      </w:r>
      <w:r>
        <w:t xml:space="preserve">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393">
        <w:r>
          <w:rPr>
            <w:rStyle w:val="Hyperlink"/>
          </w:rPr>
          <w:t xml:space="preserve">https://doi.org/10.1037/abn0000751</w:t>
        </w:r>
      </w:hyperlink>
    </w:p>
    <w:bookmarkEnd w:id="394"/>
    <w:bookmarkStart w:id="396"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395">
        <w:r>
          <w:rPr>
            <w:rStyle w:val="Hyperlink"/>
          </w:rPr>
          <w:t xml:space="preserve">https://doi.org/10.1038/s44220-023-00057-5</w:t>
        </w:r>
      </w:hyperlink>
    </w:p>
    <w:bookmarkEnd w:id="396"/>
    <w:bookmarkStart w:id="398" w:name="ref-Tyrell2019"/>
    <w:p>
      <w:pPr>
        <w:pStyle w:val="Bibliography"/>
      </w:pPr>
      <w:r>
        <w:t xml:space="preserve">Tyrell, F. A., Yates, T. M., Widaman, K. F., Reynolds, C. A., &amp; Fabricius, W. V. (2019). Data harmonization:</w:t>
      </w:r>
      <w:r>
        <w:t xml:space="preserve"> </w:t>
      </w:r>
      <w:r>
        <w:t xml:space="preserve">Establishing</w:t>
      </w:r>
      <w:r>
        <w:t xml:space="preserve"> </w:t>
      </w:r>
      <w:r>
        <w:t xml:space="preserve">measurement invariance across different assessments of the same construct across adolescence.</w:t>
      </w:r>
      <w:r>
        <w:t xml:space="preserve"> </w:t>
      </w:r>
      <w:r>
        <w:rPr>
          <w:i/>
          <w:iCs/>
        </w:rPr>
        <w:t xml:space="preserve">Journal of Clinical Child &amp; Adolescent Psychology</w:t>
      </w:r>
      <w:r>
        <w:t xml:space="preserve">,</w:t>
      </w:r>
      <w:r>
        <w:t xml:space="preserve"> </w:t>
      </w:r>
      <w:r>
        <w:rPr>
          <w:i/>
          <w:iCs/>
        </w:rPr>
        <w:t xml:space="preserve">48</w:t>
      </w:r>
      <w:r>
        <w:t xml:space="preserve">(4), 555–567.</w:t>
      </w:r>
      <w:r>
        <w:t xml:space="preserve"> </w:t>
      </w:r>
      <w:hyperlink r:id="rId397">
        <w:r>
          <w:rPr>
            <w:rStyle w:val="Hyperlink"/>
          </w:rPr>
          <w:t xml:space="preserve">https://doi.org/10.1080/15374416.2019.1622124</w:t>
        </w:r>
      </w:hyperlink>
    </w:p>
    <w:bookmarkEnd w:id="398"/>
    <w:bookmarkStart w:id="400" w:name="ref-Vaillant2012"/>
    <w:p>
      <w:pPr>
        <w:pStyle w:val="Bibliography"/>
      </w:pPr>
      <w:r>
        <w:t xml:space="preserve">Vaillant, G. E. (2012).</w:t>
      </w:r>
      <w:r>
        <w:t xml:space="preserve"> </w:t>
      </w:r>
      <w:r>
        <w:rPr>
          <w:i/>
          <w:iCs/>
        </w:rPr>
        <w:t xml:space="preserve">Triumphs of experience:</w:t>
      </w:r>
      <w:r>
        <w:rPr>
          <w:i/>
          <w:iCs/>
        </w:rPr>
        <w:t xml:space="preserve"> </w:t>
      </w:r>
      <w:r>
        <w:rPr>
          <w:i/>
          <w:iCs/>
        </w:rPr>
        <w:t xml:space="preserve">The</w:t>
      </w:r>
      <w:r>
        <w:rPr>
          <w:i/>
          <w:iCs/>
        </w:rPr>
        <w:t xml:space="preserve"> </w:t>
      </w:r>
      <w:r>
        <w:rPr>
          <w:i/>
          <w:iCs/>
        </w:rPr>
        <w:t xml:space="preserve">men of the</w:t>
      </w:r>
      <w:r>
        <w:rPr>
          <w:i/>
          <w:iCs/>
        </w:rPr>
        <w:t xml:space="preserve"> </w:t>
      </w:r>
      <w:r>
        <w:rPr>
          <w:i/>
          <w:iCs/>
        </w:rPr>
        <w:t xml:space="preserve">Harvard Grant Study</w:t>
      </w:r>
      <w:r>
        <w:t xml:space="preserve">. Harvard University Press.</w:t>
      </w:r>
      <w:r>
        <w:t xml:space="preserve"> </w:t>
      </w:r>
      <w:hyperlink r:id="rId399">
        <w:r>
          <w:rPr>
            <w:rStyle w:val="Hyperlink"/>
          </w:rPr>
          <w:t xml:space="preserve">https://doi.org/10.2307/j.ctt2jbxs1</w:t>
        </w:r>
      </w:hyperlink>
    </w:p>
    <w:bookmarkEnd w:id="400"/>
    <w:bookmarkStart w:id="402" w:name="ref-VanDeSchoot2013"/>
    <w:p>
      <w:pPr>
        <w:pStyle w:val="Bibliography"/>
      </w:pPr>
      <w:r>
        <w:t xml:space="preserve">Van De Schoot, R., Kluytmans, A., Tummers, L., Lugtig, P., Hox, J., &amp; Muthen, B. (2013). Facing off with</w:t>
      </w:r>
      <w:r>
        <w:t xml:space="preserve"> </w:t>
      </w:r>
      <w:r>
        <w:t xml:space="preserve">Scylla</w:t>
      </w:r>
      <w:r>
        <w:t xml:space="preserve"> </w:t>
      </w:r>
      <w:r>
        <w:t xml:space="preserve">and</w:t>
      </w:r>
      <w:r>
        <w:t xml:space="preserve"> </w:t>
      </w:r>
      <w:r>
        <w:t xml:space="preserve">Charybdis</w:t>
      </w:r>
      <w:r>
        <w:t xml:space="preserve">:</w:t>
      </w:r>
      <w:r>
        <w:t xml:space="preserve"> </w:t>
      </w:r>
      <w:r>
        <w:t xml:space="preserve">A</w:t>
      </w:r>
      <w:r>
        <w:t xml:space="preserve"> </w:t>
      </w:r>
      <w:r>
        <w:t xml:space="preserve">comparison of scalar, partial, and the novel possibility of approximate measurement invariance.</w:t>
      </w:r>
      <w:r>
        <w:t xml:space="preserve"> </w:t>
      </w:r>
      <w:r>
        <w:rPr>
          <w:i/>
          <w:iCs/>
        </w:rPr>
        <w:t xml:space="preserve">Frontiers in Psychology</w:t>
      </w:r>
      <w:r>
        <w:t xml:space="preserve">,</w:t>
      </w:r>
      <w:r>
        <w:t xml:space="preserve"> </w:t>
      </w:r>
      <w:r>
        <w:rPr>
          <w:i/>
          <w:iCs/>
        </w:rPr>
        <w:t xml:space="preserve">4</w:t>
      </w:r>
      <w:r>
        <w:t xml:space="preserve">(770).</w:t>
      </w:r>
      <w:r>
        <w:t xml:space="preserve"> </w:t>
      </w:r>
      <w:hyperlink r:id="rId401">
        <w:r>
          <w:rPr>
            <w:rStyle w:val="Hyperlink"/>
          </w:rPr>
          <w:t xml:space="preserve">https://doi.org/10.3389/fpsyg.2013.00770</w:t>
        </w:r>
      </w:hyperlink>
    </w:p>
    <w:bookmarkEnd w:id="402"/>
    <w:bookmarkStart w:id="404"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403">
        <w:r>
          <w:rPr>
            <w:rStyle w:val="Hyperlink"/>
          </w:rPr>
          <w:t xml:space="preserve">https://doi.org/10.1016/j.jaac.2013.10.011</w:t>
        </w:r>
      </w:hyperlink>
    </w:p>
    <w:bookmarkEnd w:id="404"/>
    <w:bookmarkStart w:id="406"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w:t>
      </w:r>
      <w:r>
        <w:t xml:space="preserve"> </w:t>
      </w:r>
      <w:r>
        <w:t xml:space="preserve">A</w:t>
      </w:r>
      <w:r>
        <w:t xml:space="preserve"> </w:t>
      </w:r>
      <w:r>
        <w:t xml:space="preserve">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405">
        <w:r>
          <w:rPr>
            <w:rStyle w:val="Hyperlink"/>
          </w:rPr>
          <w:t xml:space="preserve">https://doi.org/10.1080/15374416.2018.1561296</w:t>
        </w:r>
      </w:hyperlink>
    </w:p>
    <w:bookmarkEnd w:id="406"/>
    <w:bookmarkStart w:id="408" w:name="ref-Walters2011"/>
    <w:p>
      <w:pPr>
        <w:pStyle w:val="Bibliography"/>
      </w:pPr>
      <w:r>
        <w:t xml:space="preserve">Walters, G. D. (2011). The latent structure of life-course-persistent antisocial behavior:</w:t>
      </w:r>
      <w:r>
        <w:t xml:space="preserve"> </w:t>
      </w:r>
      <w:r>
        <w:t xml:space="preserve">Is</w:t>
      </w:r>
      <w:r>
        <w:t xml:space="preserve"> </w:t>
      </w:r>
      <w:r>
        <w:t xml:space="preserve">Moffitt’s</w:t>
      </w:r>
      <w:r>
        <w:t xml:space="preserve"> </w:t>
      </w:r>
      <w:r>
        <w:t xml:space="preserve">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407">
        <w:r>
          <w:rPr>
            <w:rStyle w:val="Hyperlink"/>
          </w:rPr>
          <w:t xml:space="preserve">https://doi.org/10.1037/a0021519</w:t>
        </w:r>
      </w:hyperlink>
    </w:p>
    <w:bookmarkEnd w:id="408"/>
    <w:bookmarkStart w:id="410" w:name="ref-Walters2012"/>
    <w:p>
      <w:pPr>
        <w:pStyle w:val="Bibliography"/>
      </w:pPr>
      <w:r>
        <w:t xml:space="preserve">Walters, G. D. (2012). Developmental trajectories of delinquent behavior:</w:t>
      </w:r>
      <w:r>
        <w:t xml:space="preserve"> </w:t>
      </w:r>
      <w:r>
        <w:t xml:space="preserve">One</w:t>
      </w:r>
      <w:r>
        <w:t xml:space="preserve"> </w:t>
      </w:r>
      <w:r>
        <w:t xml:space="preserve">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409">
        <w:r>
          <w:rPr>
            <w:rStyle w:val="Hyperlink"/>
          </w:rPr>
          <w:t xml:space="preserve">https://doi.org/10.1177/0093854812443645</w:t>
        </w:r>
      </w:hyperlink>
    </w:p>
    <w:bookmarkEnd w:id="410"/>
    <w:bookmarkStart w:id="412"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411">
        <w:r>
          <w:rPr>
            <w:rStyle w:val="Hyperlink"/>
          </w:rPr>
          <w:t xml:space="preserve">https://doi.org/10.1007/s12103-013-9235-1</w:t>
        </w:r>
      </w:hyperlink>
    </w:p>
    <w:bookmarkEnd w:id="412"/>
    <w:bookmarkStart w:id="414" w:name="ref-Walters2015"/>
    <w:p>
      <w:pPr>
        <w:pStyle w:val="Bibliography"/>
      </w:pPr>
      <w:r>
        <w:t xml:space="preserve">Walters, G. D. (2015). The latent structure of criminal persistence:</w:t>
      </w:r>
      <w:r>
        <w:t xml:space="preserve"> </w:t>
      </w:r>
      <w:r>
        <w:t xml:space="preserve">A</w:t>
      </w:r>
      <w:r>
        <w:t xml:space="preserve"> </w:t>
      </w:r>
      <w:r>
        <w:t xml:space="preserve">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413">
        <w:r>
          <w:rPr>
            <w:rStyle w:val="Hyperlink"/>
          </w:rPr>
          <w:t xml:space="preserve">https://doi.org/10.1007/s12103-014-9272-4</w:t>
        </w:r>
      </w:hyperlink>
    </w:p>
    <w:bookmarkEnd w:id="414"/>
    <w:bookmarkStart w:id="416" w:name="ref-Walters2013"/>
    <w:p>
      <w:pPr>
        <w:pStyle w:val="Bibliography"/>
      </w:pPr>
      <w:r>
        <w:t xml:space="preserve">Walters, G. D., &amp; Ruscio, J. (2013). Trajectories of youthful antisocial behavior:</w:t>
      </w:r>
      <w:r>
        <w:t xml:space="preserve"> </w:t>
      </w:r>
      <w:r>
        <w:t xml:space="preserve">Categories</w:t>
      </w:r>
      <w:r>
        <w:t xml:space="preserve"> </w:t>
      </w:r>
      <w:r>
        <w:t xml:space="preserve">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415">
        <w:r>
          <w:rPr>
            <w:rStyle w:val="Hyperlink"/>
          </w:rPr>
          <w:t xml:space="preserve">https://doi.org/10.1007/s10802-012-9700-1</w:t>
        </w:r>
      </w:hyperlink>
    </w:p>
    <w:bookmarkEnd w:id="416"/>
    <w:bookmarkStart w:id="418" w:name="ref-Walton2011"/>
    <w:p>
      <w:pPr>
        <w:pStyle w:val="Bibliography"/>
      </w:pPr>
      <w:r>
        <w:t xml:space="preserve">Walton, K. E., Ormel, J., &amp; Krueger, R. F. (2011). The dimensional nature of externalizing behaviors in adolescence:</w:t>
      </w:r>
      <w:r>
        <w:t xml:space="preserve"> </w:t>
      </w:r>
      <w:r>
        <w:t xml:space="preserve">Evidence</w:t>
      </w:r>
      <w:r>
        <w:t xml:space="preserve"> </w:t>
      </w:r>
      <w:r>
        <w:t xml:space="preserve">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417">
        <w:r>
          <w:rPr>
            <w:rStyle w:val="Hyperlink"/>
          </w:rPr>
          <w:t xml:space="preserve">https://doi.org/10.1007/s10802-010-9478-y</w:t>
        </w:r>
      </w:hyperlink>
    </w:p>
    <w:bookmarkEnd w:id="418"/>
    <w:bookmarkStart w:id="420" w:name="ref-Ward2022"/>
    <w:p>
      <w:pPr>
        <w:pStyle w:val="Bibliography"/>
      </w:pPr>
      <w:r>
        <w:t xml:space="preserve">Ward, C., Oleson, J., Tomblin, J. B., &amp; Walker, E. (2022). Modeling population and subject-specific growth in a latent trait measured by multiple instruments over time using a hierarchical</w:t>
      </w:r>
      <w:r>
        <w:t xml:space="preserve"> </w:t>
      </w:r>
      <w:r>
        <w:t xml:space="preserve">Bayesian</w:t>
      </w:r>
      <w:r>
        <w:t xml:space="preserve"> </w:t>
      </w:r>
      <w:r>
        <w:t xml:space="preserve">framework.</w:t>
      </w:r>
      <w:r>
        <w:t xml:space="preserve"> </w:t>
      </w:r>
      <w:r>
        <w:rPr>
          <w:i/>
          <w:iCs/>
        </w:rPr>
        <w:t xml:space="preserve">Journal of Applied Statistics</w:t>
      </w:r>
      <w:r>
        <w:t xml:space="preserve">,</w:t>
      </w:r>
      <w:r>
        <w:t xml:space="preserve"> </w:t>
      </w:r>
      <w:r>
        <w:rPr>
          <w:i/>
          <w:iCs/>
        </w:rPr>
        <w:t xml:space="preserve">49</w:t>
      </w:r>
      <w:r>
        <w:t xml:space="preserve">(2), 449–465.</w:t>
      </w:r>
      <w:r>
        <w:t xml:space="preserve"> </w:t>
      </w:r>
      <w:hyperlink r:id="rId419">
        <w:r>
          <w:rPr>
            <w:rStyle w:val="Hyperlink"/>
          </w:rPr>
          <w:t xml:space="preserve">https://doi.org/10.1080/02664763.2020.1817346</w:t>
        </w:r>
      </w:hyperlink>
    </w:p>
    <w:bookmarkEnd w:id="420"/>
    <w:bookmarkStart w:id="422" w:name="ref-Weeks2018"/>
    <w:p>
      <w:pPr>
        <w:pStyle w:val="Bibliography"/>
      </w:pPr>
      <w:r>
        <w:t xml:space="preserve">Weeks, J. P. (2018). An application of multidimensional vertical scaling.</w:t>
      </w:r>
      <w:r>
        <w:t xml:space="preserve"> </w:t>
      </w:r>
      <w:r>
        <w:rPr>
          <w:i/>
          <w:iCs/>
        </w:rPr>
        <w:t xml:space="preserve">Measurement: Interdisciplinary Research and Perspectives</w:t>
      </w:r>
      <w:r>
        <w:t xml:space="preserve">,</w:t>
      </w:r>
      <w:r>
        <w:t xml:space="preserve"> </w:t>
      </w:r>
      <w:r>
        <w:rPr>
          <w:i/>
          <w:iCs/>
        </w:rPr>
        <w:t xml:space="preserve">16</w:t>
      </w:r>
      <w:r>
        <w:t xml:space="preserve">(3), 139–154.</w:t>
      </w:r>
      <w:r>
        <w:t xml:space="preserve"> </w:t>
      </w:r>
      <w:hyperlink r:id="rId421">
        <w:r>
          <w:rPr>
            <w:rStyle w:val="Hyperlink"/>
          </w:rPr>
          <w:t xml:space="preserve">https://doi.org/10.1080/15366367.2018.1502005</w:t>
        </w:r>
      </w:hyperlink>
    </w:p>
    <w:bookmarkEnd w:id="422"/>
    <w:bookmarkStart w:id="424"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423">
        <w:r>
          <w:rPr>
            <w:rStyle w:val="Hyperlink"/>
          </w:rPr>
          <w:t xml:space="preserve">https://doi.org/10.1016/j.dr.2008.01.001</w:t>
        </w:r>
      </w:hyperlink>
    </w:p>
    <w:bookmarkEnd w:id="424"/>
    <w:bookmarkStart w:id="426"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425">
        <w:r>
          <w:rPr>
            <w:rStyle w:val="Hyperlink"/>
          </w:rPr>
          <w:t xml:space="preserve">https://doi.org/10.1017/S0954579403000221</w:t>
        </w:r>
      </w:hyperlink>
    </w:p>
    <w:bookmarkEnd w:id="426"/>
    <w:bookmarkStart w:id="428" w:name="ref-Welzel2023a"/>
    <w:p>
      <w:pPr>
        <w:pStyle w:val="Bibliography"/>
      </w:pPr>
      <w:r>
        <w:t xml:space="preserve">Welzel, C., Brunkert, L., Kruse, S., &amp; Inglehart, R. F. (2023). Non-invariance?</w:t>
      </w:r>
      <w:r>
        <w:t xml:space="preserve"> </w:t>
      </w:r>
      <w:r>
        <w:t xml:space="preserve">An</w:t>
      </w:r>
      <w:r>
        <w:t xml:space="preserve"> </w:t>
      </w:r>
      <w:r>
        <w:t xml:space="preserve">overstated problem with misconceived causes.</w:t>
      </w:r>
      <w:r>
        <w:t xml:space="preserve"> </w:t>
      </w:r>
      <w:r>
        <w:rPr>
          <w:i/>
          <w:iCs/>
        </w:rPr>
        <w:t xml:space="preserve">Sociological Methods &amp; Research</w:t>
      </w:r>
      <w:r>
        <w:t xml:space="preserve">,</w:t>
      </w:r>
      <w:r>
        <w:t xml:space="preserve"> </w:t>
      </w:r>
      <w:r>
        <w:rPr>
          <w:i/>
          <w:iCs/>
        </w:rPr>
        <w:t xml:space="preserve">52</w:t>
      </w:r>
      <w:r>
        <w:t xml:space="preserve">(3), 1368–1400.</w:t>
      </w:r>
      <w:r>
        <w:t xml:space="preserve"> </w:t>
      </w:r>
      <w:hyperlink r:id="rId427">
        <w:r>
          <w:rPr>
            <w:rStyle w:val="Hyperlink"/>
          </w:rPr>
          <w:t xml:space="preserve">https://doi.org/10.1177/0049124121995521</w:t>
        </w:r>
      </w:hyperlink>
    </w:p>
    <w:bookmarkEnd w:id="428"/>
    <w:bookmarkStart w:id="430" w:name="ref-Welzel2023b"/>
    <w:p>
      <w:pPr>
        <w:pStyle w:val="Bibliography"/>
      </w:pPr>
      <w:r>
        <w:t xml:space="preserve">Welzel, C., Kruse, S., &amp; Brunkert, L. (2023). Against the mainstream:</w:t>
      </w:r>
      <w:r>
        <w:t xml:space="preserve"> </w:t>
      </w:r>
      <w:r>
        <w:t xml:space="preserve">On</w:t>
      </w:r>
      <w:r>
        <w:t xml:space="preserve"> </w:t>
      </w:r>
      <w:r>
        <w:t xml:space="preserve">the limitations of non-invariance diagnostics:</w:t>
      </w:r>
      <w:r>
        <w:t xml:space="preserve"> </w:t>
      </w:r>
      <w:r>
        <w:t xml:space="preserve">Response</w:t>
      </w:r>
      <w:r>
        <w:t xml:space="preserve"> </w:t>
      </w:r>
      <w:r>
        <w:t xml:space="preserve">to</w:t>
      </w:r>
      <w:r>
        <w:t xml:space="preserve"> </w:t>
      </w:r>
      <w:r>
        <w:t xml:space="preserve">Fischer</w:t>
      </w:r>
      <w:r>
        <w:t xml:space="preserve"> </w:t>
      </w:r>
      <w:r>
        <w:t xml:space="preserve">et al. And</w:t>
      </w:r>
      <w:r>
        <w:t xml:space="preserve"> </w:t>
      </w:r>
      <w:r>
        <w:t xml:space="preserve">Meuleman</w:t>
      </w:r>
      <w:r>
        <w:t xml:space="preserve"> </w:t>
      </w:r>
      <w:r>
        <w:t xml:space="preserve">et al.</w:t>
      </w:r>
      <w:r>
        <w:t xml:space="preserve"> </w:t>
      </w:r>
      <w:r>
        <w:rPr>
          <w:i/>
          <w:iCs/>
        </w:rPr>
        <w:t xml:space="preserve">Sociological Methods &amp; Research</w:t>
      </w:r>
      <w:r>
        <w:t xml:space="preserve">,</w:t>
      </w:r>
      <w:r>
        <w:t xml:space="preserve"> </w:t>
      </w:r>
      <w:r>
        <w:rPr>
          <w:i/>
          <w:iCs/>
        </w:rPr>
        <w:t xml:space="preserve">52</w:t>
      </w:r>
      <w:r>
        <w:t xml:space="preserve">(3), 1438–1455.</w:t>
      </w:r>
      <w:r>
        <w:t xml:space="preserve"> </w:t>
      </w:r>
      <w:hyperlink r:id="rId429">
        <w:r>
          <w:rPr>
            <w:rStyle w:val="Hyperlink"/>
          </w:rPr>
          <w:t xml:space="preserve">https://doi.org/10.1177/00491241221091754</w:t>
        </w:r>
      </w:hyperlink>
    </w:p>
    <w:bookmarkEnd w:id="430"/>
    <w:bookmarkStart w:id="431" w:name="ref-Whitbourne2019"/>
    <w:p>
      <w:pPr>
        <w:pStyle w:val="Bibliography"/>
      </w:pPr>
      <w:r>
        <w:t xml:space="preserve">Whitbourne, S. K. (2019).</w:t>
      </w:r>
      <w:r>
        <w:t xml:space="preserve"> </w:t>
      </w:r>
      <w:r>
        <w:rPr>
          <w:i/>
          <w:iCs/>
        </w:rPr>
        <w:t xml:space="preserve">Longitudinal, cross-sectional, and sequential designs in lifespan developmental psychology</w:t>
      </w:r>
      <w:r>
        <w:t xml:space="preserve">. Oxford University Press.</w:t>
      </w:r>
    </w:p>
    <w:bookmarkEnd w:id="431"/>
    <w:bookmarkStart w:id="433" w:name="ref-Widaman2010"/>
    <w:p>
      <w:pPr>
        <w:pStyle w:val="Bibliography"/>
      </w:pPr>
      <w:r>
        <w:t xml:space="preserve">Widaman, K. F., Ferrer, E., &amp; Conger, R. D. (2010). Factorial invariance within longitudinal structural equation models:</w:t>
      </w:r>
      <w:r>
        <w:t xml:space="preserve"> </w:t>
      </w:r>
      <w:r>
        <w:t xml:space="preserve">Measuring</w:t>
      </w:r>
      <w:r>
        <w:t xml:space="preserve"> </w:t>
      </w:r>
      <w:r>
        <w:t xml:space="preserve">the same construct across time.</w:t>
      </w:r>
      <w:r>
        <w:t xml:space="preserve"> </w:t>
      </w:r>
      <w:r>
        <w:rPr>
          <w:i/>
          <w:iCs/>
        </w:rPr>
        <w:t xml:space="preserve">Child Development Perspectives</w:t>
      </w:r>
      <w:r>
        <w:t xml:space="preserve">,</w:t>
      </w:r>
      <w:r>
        <w:t xml:space="preserve"> </w:t>
      </w:r>
      <w:r>
        <w:rPr>
          <w:i/>
          <w:iCs/>
        </w:rPr>
        <w:t xml:space="preserve">4</w:t>
      </w:r>
      <w:r>
        <w:t xml:space="preserve">(1), 10–18.</w:t>
      </w:r>
      <w:r>
        <w:t xml:space="preserve"> </w:t>
      </w:r>
      <w:hyperlink r:id="rId432">
        <w:r>
          <w:rPr>
            <w:rStyle w:val="Hyperlink"/>
          </w:rPr>
          <w:t xml:space="preserve">https://doi.org/10.1111/j.1750-8606.2009.00110.x</w:t>
        </w:r>
      </w:hyperlink>
    </w:p>
    <w:bookmarkEnd w:id="433"/>
    <w:bookmarkStart w:id="435" w:name="ref-Winter2020"/>
    <w:p>
      <w:pPr>
        <w:pStyle w:val="Bibliography"/>
      </w:pPr>
      <w:r>
        <w:t xml:space="preserve">Winter, S. D., &amp; Depaoli, S. (2020). An illustration of</w:t>
      </w:r>
      <w:r>
        <w:t xml:space="preserve"> </w:t>
      </w:r>
      <w:r>
        <w:t xml:space="preserve">Bayesian</w:t>
      </w:r>
      <w:r>
        <w:t xml:space="preserve"> </w:t>
      </w:r>
      <w:r>
        <w:t xml:space="preserve">approximate measurement invariance with longitudinal data and a small sample size.</w:t>
      </w:r>
      <w:r>
        <w:t xml:space="preserve"> </w:t>
      </w:r>
      <w:r>
        <w:rPr>
          <w:i/>
          <w:iCs/>
        </w:rPr>
        <w:t xml:space="preserve">International Journal of Behavioral Development</w:t>
      </w:r>
      <w:r>
        <w:t xml:space="preserve">,</w:t>
      </w:r>
      <w:r>
        <w:t xml:space="preserve"> </w:t>
      </w:r>
      <w:r>
        <w:rPr>
          <w:i/>
          <w:iCs/>
        </w:rPr>
        <w:t xml:space="preserve">44</w:t>
      </w:r>
      <w:r>
        <w:t xml:space="preserve">(4), 371–382.</w:t>
      </w:r>
      <w:r>
        <w:t xml:space="preserve"> </w:t>
      </w:r>
      <w:hyperlink r:id="rId434">
        <w:r>
          <w:rPr>
            <w:rStyle w:val="Hyperlink"/>
          </w:rPr>
          <w:t xml:space="preserve">https://doi.org/10.1177/0165025419880610</w:t>
        </w:r>
      </w:hyperlink>
    </w:p>
    <w:bookmarkEnd w:id="435"/>
    <w:bookmarkStart w:id="437"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436">
        <w:r>
          <w:rPr>
            <w:rStyle w:val="Hyperlink"/>
          </w:rPr>
          <w:t xml:space="preserve">https://icd.who.int</w:t>
        </w:r>
      </w:hyperlink>
    </w:p>
    <w:bookmarkEnd w:id="437"/>
    <w:bookmarkStart w:id="439" w:name="ref-Wright2013"/>
    <w:p>
      <w:pPr>
        <w:pStyle w:val="Bibliography"/>
      </w:pPr>
      <w:r>
        <w:t xml:space="preserve">Wright, A. G. C., Krueger, R. F., Hobbs, M. J., Markon, K. E., Eaton, N. R., &amp; Slade, T. (2013). The structure of psychopathology:</w:t>
      </w:r>
      <w:r>
        <w:t xml:space="preserve"> </w:t>
      </w:r>
      <w:r>
        <w:t xml:space="preserve">Toward</w:t>
      </w:r>
      <w:r>
        <w:t xml:space="preserve"> </w:t>
      </w:r>
      <w:r>
        <w:t xml:space="preserve">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438">
        <w:r>
          <w:rPr>
            <w:rStyle w:val="Hyperlink"/>
          </w:rPr>
          <w:t xml:space="preserve">https://doi.org/10.1037/a0030133</w:t>
        </w:r>
      </w:hyperlink>
    </w:p>
    <w:bookmarkEnd w:id="439"/>
    <w:bookmarkStart w:id="440" w:name="ref-Yang2013"/>
    <w:p>
      <w:pPr>
        <w:pStyle w:val="Bibliography"/>
      </w:pPr>
      <w:r>
        <w:t xml:space="preserve">Yang, Y., &amp; Land, K. C. (2013).</w:t>
      </w:r>
      <w:r>
        <w:t xml:space="preserve"> </w:t>
      </w:r>
      <w:r>
        <w:rPr>
          <w:i/>
          <w:iCs/>
        </w:rPr>
        <w:t xml:space="preserve">Age-period-cohort analysis:</w:t>
      </w:r>
      <w:r>
        <w:rPr>
          <w:i/>
          <w:iCs/>
        </w:rPr>
        <w:t xml:space="preserve"> </w:t>
      </w:r>
      <w:r>
        <w:rPr>
          <w:i/>
          <w:iCs/>
        </w:rPr>
        <w:t xml:space="preserve">New</w:t>
      </w:r>
      <w:r>
        <w:rPr>
          <w:i/>
          <w:iCs/>
        </w:rPr>
        <w:t xml:space="preserve"> </w:t>
      </w:r>
      <w:r>
        <w:rPr>
          <w:i/>
          <w:iCs/>
        </w:rPr>
        <w:t xml:space="preserve">models, methods, and empirical applications</w:t>
      </w:r>
      <w:r>
        <w:t xml:space="preserve">. Taylor &amp; Francis.</w:t>
      </w:r>
    </w:p>
    <w:bookmarkEnd w:id="440"/>
    <w:bookmarkStart w:id="442" w:name="ref-Zhai2026"/>
    <w:p>
      <w:pPr>
        <w:pStyle w:val="Bibliography"/>
      </w:pPr>
      <w:r>
        <w:t xml:space="preserve">Zhai, R., Zhang, L., &amp; Cheng, G. (2026). Developmental trajectories of emotional and behavioral dysregulation from ages 3 to 17:</w:t>
      </w:r>
      <w:r>
        <w:t xml:space="preserve"> </w:t>
      </w:r>
      <w:r>
        <w:t xml:space="preserve">Early</w:t>
      </w:r>
      <w:r>
        <w:t xml:space="preserve"> </w:t>
      </w:r>
      <w:r>
        <w:t xml:space="preserve">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w:t>
      </w:r>
      <w:r>
        <w:t xml:space="preserve"> </w:t>
      </w:r>
      <w:hyperlink r:id="rId441">
        <w:r>
          <w:rPr>
            <w:rStyle w:val="Hyperlink"/>
          </w:rPr>
          <w:t xml:space="preserve">https://doi.org/10.1016/j.jad.2026.121556</w:t>
        </w:r>
      </w:hyperlink>
    </w:p>
    <w:bookmarkEnd w:id="442"/>
    <w:bookmarkEnd w:id="443"/>
    <w:bookmarkEnd w:id="444"/>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3">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76">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77">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 w:id="80">
    <w:p>
      <w:pPr>
        <w:pStyle w:val="FootnoteText"/>
      </w:pPr>
      <w:r>
        <w:rPr>
          <w:rStyle w:val="FootnoteReference"/>
        </w:rPr>
        <w:footnoteRef/>
      </w:r>
      <w:r>
        <w:t xml:space="preserve"> </w:t>
      </w:r>
      <w:r>
        <w:t xml:space="preserve">For simplicity and brevity, we refer to birth age as a proxy for developmental time.</w:t>
      </w:r>
    </w:p>
  </w:footnote>
  <w:footnote w:id="103">
    <w:p>
      <w:pPr>
        <w:pStyle w:val="FootnoteText"/>
      </w:pPr>
      <w:r>
        <w:rPr>
          <w:rStyle w:val="FootnoteReference"/>
        </w:rPr>
        <w:footnoteRef/>
      </w:r>
      <w:r>
        <w:t xml:space="preserve"> </w:t>
      </w:r>
      <w:r>
        <w:t xml:space="preserve">Strong invariance is also called</w:t>
      </w:r>
      <w:r>
        <w:t xml:space="preserve"> </w:t>
      </w:r>
      <w:r>
        <w:t xml:space="preserve">“scalar invariance”</w:t>
      </w:r>
      <w:r>
        <w:t xml:space="preserve">.</w:t>
      </w:r>
    </w:p>
  </w:footnote>
  <w:footnote w:id="126">
    <w:p>
      <w:pPr>
        <w:pStyle w:val="FootnoteText"/>
      </w:pPr>
      <w:r>
        <w:rPr>
          <w:rStyle w:val="FootnoteReference"/>
        </w:rPr>
        <w:footnoteRef/>
      </w:r>
      <w:r>
        <w:t xml:space="preserve"> </w:t>
      </w:r>
      <w:r>
        <w:t xml:space="preserve">Factorial invariance is also called</w:t>
      </w:r>
      <w:r>
        <w:t xml:space="preserve"> </w:t>
      </w:r>
      <w:r>
        <w:t xml:space="preserve">“measurement invariance”</w:t>
      </w:r>
      <w:r>
        <w:t xml:space="preserve">.</w:t>
      </w:r>
      <w:r>
        <w:t xml:space="preserve"> </w:t>
      </w:r>
      <w:r>
        <w:t xml:space="preserve">In this context, we prefer the term</w:t>
      </w:r>
      <w:r>
        <w:t xml:space="preserve"> </w:t>
      </w:r>
      <w:r>
        <w:t xml:space="preserve">“factorial invariance”</w:t>
      </w:r>
      <w:r>
        <w:t xml:space="preserve"> </w:t>
      </w:r>
      <w:r>
        <w:t xml:space="preserve">because, as described, the actual measures used may differ across time.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107" Target="media/rId107.png" /><Relationship Type="http://schemas.openxmlformats.org/officeDocument/2006/relationships/image" Id="rId71" Target="media/rId71.png" /><Relationship Type="http://schemas.openxmlformats.org/officeDocument/2006/relationships/image" Id="rId88" Target="media/rId88.png" /><Relationship Type="http://schemas.openxmlformats.org/officeDocument/2006/relationships/image" Id="rId81" Target="media/rId81.jpg" /><Relationship Type="http://schemas.openxmlformats.org/officeDocument/2006/relationships/image" Id="rId98" Target="media/rId98.png" /><Relationship Type="http://schemas.openxmlformats.org/officeDocument/2006/relationships/image" Id="rId116" Target="media/rId116.png" /><Relationship Type="http://schemas.openxmlformats.org/officeDocument/2006/relationships/image" Id="rId23" Target="media/rId23.svg" /><Relationship Type="http://schemas.openxmlformats.org/officeDocument/2006/relationships/image" Id="rId47" Target="media/rId47.png" /><Relationship Type="http://schemas.openxmlformats.org/officeDocument/2006/relationships/image" Id="rId42" Target="media/rId42.png" /><Relationship Type="http://schemas.openxmlformats.org/officeDocument/2006/relationships/image" Id="rId64" Target="media/rId64.png" /><Relationship Type="http://schemas.openxmlformats.org/officeDocument/2006/relationships/image" Id="rId53" Target="media/rId53.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51" Target="https://DevPsyLab.github.io/studying-psychopathology-development-lifespan/notebooks/analyses-preview.html#cell-fig-externalizingbyage" TargetMode="External" /><Relationship Type="http://schemas.openxmlformats.org/officeDocument/2006/relationships/hyperlink" Id="rId46" Target="https://DevPsyLab.github.io/studying-psychopathology-development-lifespan/notebooks/analyses-preview.html#cell-fig-lifespancognitivetrajectories" TargetMode="External" /><Relationship Type="http://schemas.openxmlformats.org/officeDocument/2006/relationships/hyperlink" Id="rId68" Target="https://DevPsyLab.github.io/studying-psychopathology-development-lifespan/notebooks/analyses-preview.html#cell-fig-longitudinalexternalizingstudies" TargetMode="External" /><Relationship Type="http://schemas.openxmlformats.org/officeDocument/2006/relationships/hyperlink" Id="rId57" Target="https://DevPsyLab.github.io/studying-psychopathology-development-lifespan/notebooks/analyses-preview.html#cell-fig-longitudinalstudies" TargetMode="External" /><Relationship Type="http://schemas.openxmlformats.org/officeDocument/2006/relationships/hyperlink" Id="rId93" Target="https://DevPsyLab.github.io/studying-psychopathology-development-lifespan/notebooks/analyses-preview.html#cell-tbl-externalizingfacets" TargetMode="External" /><Relationship Type="http://schemas.openxmlformats.org/officeDocument/2006/relationships/hyperlink" Id="rId269" Target="https://doi.org/10.1001/archgenpsychiatry.2010.188" TargetMode="External" /><Relationship Type="http://schemas.openxmlformats.org/officeDocument/2006/relationships/hyperlink" Id="rId290" Target="https://doi.org/10.1001/archpsyc.62.12.1352" TargetMode="External" /><Relationship Type="http://schemas.openxmlformats.org/officeDocument/2006/relationships/hyperlink" Id="rId165" Target="https://doi.org/10.1001/jamanetworkopen.2020.3221" TargetMode="External" /><Relationship Type="http://schemas.openxmlformats.org/officeDocument/2006/relationships/hyperlink" Id="rId169" Target="https://doi.org/10.1002/9780470147658.chpsy0306" TargetMode="External" /><Relationship Type="http://schemas.openxmlformats.org/officeDocument/2006/relationships/hyperlink" Id="rId155" Target="https://doi.org/10.1002/9781119125556.devpsy101" TargetMode="External" /><Relationship Type="http://schemas.openxmlformats.org/officeDocument/2006/relationships/hyperlink" Id="rId248" Target="https://doi.org/10.1002/cbm.708" TargetMode="External" /><Relationship Type="http://schemas.openxmlformats.org/officeDocument/2006/relationships/hyperlink" Id="rId137" Target="https://doi.org/10.1002/jcv2.70043" TargetMode="External" /><Relationship Type="http://schemas.openxmlformats.org/officeDocument/2006/relationships/hyperlink" Id="rId267" Target="https://doi.org/10.1002/wps.20844" TargetMode="External" /><Relationship Type="http://schemas.openxmlformats.org/officeDocument/2006/relationships/hyperlink" Id="rId208" Target="https://doi.org/10.1007/978-1-0716-3335-9_5" TargetMode="External" /><Relationship Type="http://schemas.openxmlformats.org/officeDocument/2006/relationships/hyperlink" Id="rId258" Target="https://doi.org/10.1007/978-1-4939-0317-7" TargetMode="External" /><Relationship Type="http://schemas.openxmlformats.org/officeDocument/2006/relationships/hyperlink" Id="rId283" Target="https://doi.org/10.1007/978-3-030-68429-7" TargetMode="External" /><Relationship Type="http://schemas.openxmlformats.org/officeDocument/2006/relationships/hyperlink" Id="rId286" Target="https://doi.org/10.1007/978-3-031-80549-3" TargetMode="External" /><Relationship Type="http://schemas.openxmlformats.org/officeDocument/2006/relationships/hyperlink" Id="rId352" Target="https://doi.org/10.1007/s00127-015-1048-8" TargetMode="External" /><Relationship Type="http://schemas.openxmlformats.org/officeDocument/2006/relationships/hyperlink" Id="rId217" Target="https://doi.org/10.1007/s00234-020-02562-1" TargetMode="External" /><Relationship Type="http://schemas.openxmlformats.org/officeDocument/2006/relationships/hyperlink" Id="rId417" Target="https://doi.org/10.1007/s10802-010-9478-y" TargetMode="External" /><Relationship Type="http://schemas.openxmlformats.org/officeDocument/2006/relationships/hyperlink" Id="rId157" Target="https://doi.org/10.1007/s10802-012-9669-9" TargetMode="External" /><Relationship Type="http://schemas.openxmlformats.org/officeDocument/2006/relationships/hyperlink" Id="rId415" Target="https://doi.org/10.1007/s10802-012-9700-1" TargetMode="External" /><Relationship Type="http://schemas.openxmlformats.org/officeDocument/2006/relationships/hyperlink" Id="rId252" Target="https://doi.org/10.1007/s10802-017-0383-5" TargetMode="External" /><Relationship Type="http://schemas.openxmlformats.org/officeDocument/2006/relationships/hyperlink" Id="rId254" Target="https://doi.org/10.1007/s10802-021-00885-y" TargetMode="External" /><Relationship Type="http://schemas.openxmlformats.org/officeDocument/2006/relationships/hyperlink" Id="rId134" Target="https://doi.org/10.1007/s10802-023-01119-z" TargetMode="External" /><Relationship Type="http://schemas.openxmlformats.org/officeDocument/2006/relationships/hyperlink" Id="rId239" Target="https://doi.org/10.1007/s10826-018-1272-4" TargetMode="External" /><Relationship Type="http://schemas.openxmlformats.org/officeDocument/2006/relationships/hyperlink" Id="rId297" Target="https://doi.org/10.1007/s11121-022-01467-0" TargetMode="External" /><Relationship Type="http://schemas.openxmlformats.org/officeDocument/2006/relationships/hyperlink" Id="rId411" Target="https://doi.org/10.1007/s12103-013-9235-1" TargetMode="External" /><Relationship Type="http://schemas.openxmlformats.org/officeDocument/2006/relationships/hyperlink" Id="rId413" Target="https://doi.org/10.1007/s12103-014-9272-4" TargetMode="External" /><Relationship Type="http://schemas.openxmlformats.org/officeDocument/2006/relationships/hyperlink" Id="rId171" Target="https://doi.org/10.1007/s40865-015-0012-3" TargetMode="External" /><Relationship Type="http://schemas.openxmlformats.org/officeDocument/2006/relationships/hyperlink" Id="rId277" Target="https://doi.org/10.1016/S0005-7967(02)00016-5" TargetMode="External" /><Relationship Type="http://schemas.openxmlformats.org/officeDocument/2006/relationships/hyperlink" Id="rId163" Target="https://doi.org/10.1016/j.cpr.2012.02.006" TargetMode="External" /><Relationship Type="http://schemas.openxmlformats.org/officeDocument/2006/relationships/hyperlink" Id="rId387" Target="https://doi.org/10.1016/j.cresp.2025.100261" TargetMode="External" /><Relationship Type="http://schemas.openxmlformats.org/officeDocument/2006/relationships/hyperlink" Id="rId292" Target="https://doi.org/10.1016/j.dr.2004.04.002" TargetMode="External" /><Relationship Type="http://schemas.openxmlformats.org/officeDocument/2006/relationships/hyperlink" Id="rId423" Target="https://doi.org/10.1016/j.dr.2008.01.001" TargetMode="External" /><Relationship Type="http://schemas.openxmlformats.org/officeDocument/2006/relationships/hyperlink" Id="rId337" Target="https://doi.org/10.1016/j.dr.2020.100935" TargetMode="External" /><Relationship Type="http://schemas.openxmlformats.org/officeDocument/2006/relationships/hyperlink" Id="rId403" Target="https://doi.org/10.1016/j.jaac.2013.10.011" TargetMode="External" /><Relationship Type="http://schemas.openxmlformats.org/officeDocument/2006/relationships/hyperlink" Id="rId151" Target="https://doi.org/10.1016/j.jaac.2017.05.019" TargetMode="External" /><Relationship Type="http://schemas.openxmlformats.org/officeDocument/2006/relationships/hyperlink" Id="rId85" Target="https://doi.org/10.1016/j.jaacop.2025.10.008" TargetMode="External" /><Relationship Type="http://schemas.openxmlformats.org/officeDocument/2006/relationships/hyperlink" Id="rId441" Target="https://doi.org/10.1016/j.jad.2026.121556" TargetMode="External" /><Relationship Type="http://schemas.openxmlformats.org/officeDocument/2006/relationships/hyperlink" Id="rId380" Target="https://doi.org/10.1016/j.jcrimjus.2024.102155" TargetMode="External" /><Relationship Type="http://schemas.openxmlformats.org/officeDocument/2006/relationships/hyperlink" Id="rId141" Target="https://doi.org/10.1016/j.jpsychires.2013.08.016" TargetMode="External" /><Relationship Type="http://schemas.openxmlformats.org/officeDocument/2006/relationships/hyperlink" Id="rId299" Target="https://doi.org/10.1016/j.jsp.2012.10.002" TargetMode="External" /><Relationship Type="http://schemas.openxmlformats.org/officeDocument/2006/relationships/hyperlink" Id="rId229" Target="https://doi.org/10.1017/S0033291711001966" TargetMode="External" /><Relationship Type="http://schemas.openxmlformats.org/officeDocument/2006/relationships/hyperlink" Id="rId231" Target="https://doi.org/10.1017/S003329172000183X" TargetMode="External" /><Relationship Type="http://schemas.openxmlformats.org/officeDocument/2006/relationships/hyperlink" Id="rId425" Target="https://doi.org/10.1017/S0954579403000221" TargetMode="External" /><Relationship Type="http://schemas.openxmlformats.org/officeDocument/2006/relationships/hyperlink" Id="rId385" Target="https://doi.org/10.1017/S0954579407070174" TargetMode="External" /><Relationship Type="http://schemas.openxmlformats.org/officeDocument/2006/relationships/hyperlink" Id="rId322" Target="https://doi.org/10.1017/S0954579408000333" TargetMode="External" /><Relationship Type="http://schemas.openxmlformats.org/officeDocument/2006/relationships/hyperlink" Id="rId281" Target="https://doi.org/10.1017/S0954579410000301" TargetMode="External" /><Relationship Type="http://schemas.openxmlformats.org/officeDocument/2006/relationships/hyperlink" Id="rId335" Target="https://doi.org/10.1017/S0954579414000789" TargetMode="External" /><Relationship Type="http://schemas.openxmlformats.org/officeDocument/2006/relationships/hyperlink" Id="rId212" Target="https://doi.org/10.1017/S0954579416000651" TargetMode="External" /><Relationship Type="http://schemas.openxmlformats.org/officeDocument/2006/relationships/hyperlink" Id="rId219" Target="https://doi.org/10.1017/S0954579421001772" TargetMode="External" /><Relationship Type="http://schemas.openxmlformats.org/officeDocument/2006/relationships/hyperlink" Id="rId149" Target="https://doi.org/10.1017/S0954579423001505" TargetMode="External" /><Relationship Type="http://schemas.openxmlformats.org/officeDocument/2006/relationships/hyperlink" Id="rId227" Target="https://doi.org/10.1017/S0954579424000713" TargetMode="External" /><Relationship Type="http://schemas.openxmlformats.org/officeDocument/2006/relationships/hyperlink" Id="rId324" Target="https://doi.org/10.1023/a:1026254005632" TargetMode="External" /><Relationship Type="http://schemas.openxmlformats.org/officeDocument/2006/relationships/hyperlink" Id="rId161" Target="https://doi.org/10.1027/1015-5759.17.1.25" TargetMode="External" /><Relationship Type="http://schemas.openxmlformats.org/officeDocument/2006/relationships/hyperlink" Id="rId370" Target="https://doi.org/10.1037/0003-066X.54.2.93" TargetMode="External" /><Relationship Type="http://schemas.openxmlformats.org/officeDocument/2006/relationships/hyperlink" Id="rId159" Target="https://doi.org/10.1037/0012-1649.39.2.222" TargetMode="External" /><Relationship Type="http://schemas.openxmlformats.org/officeDocument/2006/relationships/hyperlink" Id="rId187" Target="https://doi.org/10.1037/0012-1649.44.2.365" TargetMode="External" /><Relationship Type="http://schemas.openxmlformats.org/officeDocument/2006/relationships/hyperlink" Id="rId271" Target="https://doi.org/10.1037/0021-843X.116.4.645" TargetMode="External" /><Relationship Type="http://schemas.openxmlformats.org/officeDocument/2006/relationships/hyperlink" Id="rId273" Target="https://doi.org/10.1037/0021-843x.114.4.537" TargetMode="External" /><Relationship Type="http://schemas.openxmlformats.org/officeDocument/2006/relationships/hyperlink" Id="rId328" Target="https://doi.org/10.1037/0022-006X.61.6.911" TargetMode="External" /><Relationship Type="http://schemas.openxmlformats.org/officeDocument/2006/relationships/hyperlink" Id="rId179" Target="https://doi.org/10.1037/0022-006X.70.1.6" TargetMode="External" /><Relationship Type="http://schemas.openxmlformats.org/officeDocument/2006/relationships/hyperlink" Id="rId308" Target="https://doi.org/10.1037/0033-295X.100.4.674" TargetMode="External" /><Relationship Type="http://schemas.openxmlformats.org/officeDocument/2006/relationships/hyperlink" Id="rId233" Target="https://doi.org/10.1037/0882-7974.18.4.639" TargetMode="External" /><Relationship Type="http://schemas.openxmlformats.org/officeDocument/2006/relationships/hyperlink" Id="rId210" Target="https://doi.org/10.1037/0882-7974.19.2.243" TargetMode="External" /><Relationship Type="http://schemas.openxmlformats.org/officeDocument/2006/relationships/hyperlink" Id="rId275" Target="https://doi.org/10.1037/1040-3590.16.2.107" TargetMode="External" /><Relationship Type="http://schemas.openxmlformats.org/officeDocument/2006/relationships/hyperlink" Id="rId244" Target="https://doi.org/10.1037/13129-000" TargetMode="External" /><Relationship Type="http://schemas.openxmlformats.org/officeDocument/2006/relationships/hyperlink" Id="rId132" Target="https://doi.org/10.1037/14048-008" TargetMode="External" /><Relationship Type="http://schemas.openxmlformats.org/officeDocument/2006/relationships/hyperlink" Id="rId295" Target="https://doi.org/10.1037/a0015857" TargetMode="External" /><Relationship Type="http://schemas.openxmlformats.org/officeDocument/2006/relationships/hyperlink" Id="rId407" Target="https://doi.org/10.1037/a0021519" TargetMode="External" /><Relationship Type="http://schemas.openxmlformats.org/officeDocument/2006/relationships/hyperlink" Id="rId288" Target="https://doi.org/10.1037/a0023678" TargetMode="External" /><Relationship Type="http://schemas.openxmlformats.org/officeDocument/2006/relationships/hyperlink" Id="rId438" Target="https://doi.org/10.1037/a0030133" TargetMode="External" /><Relationship Type="http://schemas.openxmlformats.org/officeDocument/2006/relationships/hyperlink" Id="rId145" Target="https://doi.org/10.1037/a0032475" TargetMode="External" /><Relationship Type="http://schemas.openxmlformats.org/officeDocument/2006/relationships/hyperlink" Id="rId374" Target="https://doi.org/10.1037/abn0000171" TargetMode="External" /><Relationship Type="http://schemas.openxmlformats.org/officeDocument/2006/relationships/hyperlink" Id="rId365" Target="https://doi.org/10.1037/abn0000232" TargetMode="External" /><Relationship Type="http://schemas.openxmlformats.org/officeDocument/2006/relationships/hyperlink" Id="rId261" Target="https://doi.org/10.1037/abn0000258" TargetMode="External" /><Relationship Type="http://schemas.openxmlformats.org/officeDocument/2006/relationships/hyperlink" Id="rId342" Target="https://doi.org/10.1037/abn0000649" TargetMode="External" /><Relationship Type="http://schemas.openxmlformats.org/officeDocument/2006/relationships/hyperlink" Id="rId393" Target="https://doi.org/10.1037/abn0000751" TargetMode="External" /><Relationship Type="http://schemas.openxmlformats.org/officeDocument/2006/relationships/hyperlink" Id="rId191" Target="https://doi.org/10.1037/abn0001084" TargetMode="External" /><Relationship Type="http://schemas.openxmlformats.org/officeDocument/2006/relationships/hyperlink" Id="rId346" Target="https://doi.org/10.1037/dev0000449" TargetMode="External" /><Relationship Type="http://schemas.openxmlformats.org/officeDocument/2006/relationships/hyperlink" Id="rId376" Target="https://doi.org/10.1037/dev0001095" TargetMode="External" /><Relationship Type="http://schemas.openxmlformats.org/officeDocument/2006/relationships/hyperlink" Id="rId332" Target="https://doi.org/10.1037/dev0001657" TargetMode="External" /><Relationship Type="http://schemas.openxmlformats.org/officeDocument/2006/relationships/hyperlink" Id="rId111" Target="https://doi.org/10.1037/edu0000461" TargetMode="External" /><Relationship Type="http://schemas.openxmlformats.org/officeDocument/2006/relationships/hyperlink" Id="rId143" Target="https://doi.org/10.1037/met0000077" TargetMode="External" /><Relationship Type="http://schemas.openxmlformats.org/officeDocument/2006/relationships/hyperlink" Id="rId204" Target="https://doi.org/10.1037/met0000563" TargetMode="External" /><Relationship Type="http://schemas.openxmlformats.org/officeDocument/2006/relationships/hyperlink" Id="rId175" Target="https://doi.org/10.1037/met0000685" TargetMode="External" /><Relationship Type="http://schemas.openxmlformats.org/officeDocument/2006/relationships/hyperlink" Id="rId378" Target="https://doi.org/10.1037/pas0000648" TargetMode="External" /><Relationship Type="http://schemas.openxmlformats.org/officeDocument/2006/relationships/hyperlink" Id="rId354" Target="https://doi.org/10.1037/pas0000754" TargetMode="External" /><Relationship Type="http://schemas.openxmlformats.org/officeDocument/2006/relationships/hyperlink" Id="rId75" Target="https://doi.org/10.1037/pas0001441" TargetMode="External" /><Relationship Type="http://schemas.openxmlformats.org/officeDocument/2006/relationships/hyperlink" Id="rId395" Target="https://doi.org/10.1038/s44220-023-00057-5" TargetMode="External" /><Relationship Type="http://schemas.openxmlformats.org/officeDocument/2006/relationships/hyperlink" Id="rId310" Target="https://doi.org/10.1073/pnas.1010076108" TargetMode="External" /><Relationship Type="http://schemas.openxmlformats.org/officeDocument/2006/relationships/hyperlink" Id="rId189" Target="https://doi.org/10.1080/00273171.2014.889594" TargetMode="External" /><Relationship Type="http://schemas.openxmlformats.org/officeDocument/2006/relationships/hyperlink" Id="rId279" Target="https://doi.org/10.1080/00273171.2021.1941730" TargetMode="External" /><Relationship Type="http://schemas.openxmlformats.org/officeDocument/2006/relationships/hyperlink" Id="rId173" Target="https://doi.org/10.1080/00273171.2026.2640576" TargetMode="External" /><Relationship Type="http://schemas.openxmlformats.org/officeDocument/2006/relationships/hyperlink" Id="rId419" Target="https://doi.org/10.1080/02664763.2020.1817346" TargetMode="External" /><Relationship Type="http://schemas.openxmlformats.org/officeDocument/2006/relationships/hyperlink" Id="rId356" Target="https://doi.org/10.1080/10705511.2023.2191292" TargetMode="External" /><Relationship Type="http://schemas.openxmlformats.org/officeDocument/2006/relationships/hyperlink" Id="rId421" Target="https://doi.org/10.1080/15366367.2018.1502005" TargetMode="External" /><Relationship Type="http://schemas.openxmlformats.org/officeDocument/2006/relationships/hyperlink" Id="rId405" Target="https://doi.org/10.1080/15374416.2018.1561296" TargetMode="External" /><Relationship Type="http://schemas.openxmlformats.org/officeDocument/2006/relationships/hyperlink" Id="rId397" Target="https://doi.org/10.1080/15374416.2019.1622124" TargetMode="External" /><Relationship Type="http://schemas.openxmlformats.org/officeDocument/2006/relationships/hyperlink" Id="rId193" Target="https://doi.org/10.1080/15374416.2025.2484813" TargetMode="External" /><Relationship Type="http://schemas.openxmlformats.org/officeDocument/2006/relationships/hyperlink" Id="rId367" Target="https://doi.org/10.1086/269270" TargetMode="External" /><Relationship Type="http://schemas.openxmlformats.org/officeDocument/2006/relationships/hyperlink" Id="rId199" Target="https://doi.org/10.1108/978-1-61735-891-320251015" TargetMode="External" /><Relationship Type="http://schemas.openxmlformats.org/officeDocument/2006/relationships/hyperlink" Id="rId314" Target="https://doi.org/10.1111/cdev.12036" TargetMode="External" /><Relationship Type="http://schemas.openxmlformats.org/officeDocument/2006/relationships/hyperlink" Id="rId348" Target="https://doi.org/10.1111/cdev.12880" TargetMode="External" /><Relationship Type="http://schemas.openxmlformats.org/officeDocument/2006/relationships/hyperlink" Id="rId344" Target="https://doi.org/10.1111/cdev.13433" TargetMode="External" /><Relationship Type="http://schemas.openxmlformats.org/officeDocument/2006/relationships/hyperlink" Id="rId235" Target="https://doi.org/10.1111/desc.13280" TargetMode="External" /><Relationship Type="http://schemas.openxmlformats.org/officeDocument/2006/relationships/hyperlink" Id="rId330" Target="https://doi.org/10.1111/desc.70216" TargetMode="External" /><Relationship Type="http://schemas.openxmlformats.org/officeDocument/2006/relationships/hyperlink" Id="rId153" Target="https://doi.org/10.1111/j.1467-8624.2004.00755.x" TargetMode="External" /><Relationship Type="http://schemas.openxmlformats.org/officeDocument/2006/relationships/hyperlink" Id="rId301" Target="https://doi.org/10.1111/j.1467-9507.2008.00480.x" TargetMode="External" /><Relationship Type="http://schemas.openxmlformats.org/officeDocument/2006/relationships/hyperlink" Id="rId361" Target="https://doi.org/10.1111/j.1469-7610.2006.01614.x" TargetMode="External" /><Relationship Type="http://schemas.openxmlformats.org/officeDocument/2006/relationships/hyperlink" Id="rId183" Target="https://doi.org/10.1111/j.1469-7610.2011.02511.x" TargetMode="External" /><Relationship Type="http://schemas.openxmlformats.org/officeDocument/2006/relationships/hyperlink" Id="rId246" Target="https://doi.org/10.1111/j.1469-7610.2012.02585.x" TargetMode="External" /><Relationship Type="http://schemas.openxmlformats.org/officeDocument/2006/relationships/hyperlink" Id="rId432" Target="https://doi.org/10.1111/j.1750-8606.2009.00110.x" TargetMode="External" /><Relationship Type="http://schemas.openxmlformats.org/officeDocument/2006/relationships/hyperlink" Id="rId256" Target="https://doi.org/10.1111/j.1750-8606.2009.00112.x" TargetMode="External" /><Relationship Type="http://schemas.openxmlformats.org/officeDocument/2006/relationships/hyperlink" Id="rId206" Target="https://doi.org/10.1111/jcpp.12102" TargetMode="External" /><Relationship Type="http://schemas.openxmlformats.org/officeDocument/2006/relationships/hyperlink" Id="rId382" Target="https://doi.org/10.1111/jcpp.13549" TargetMode="External" /><Relationship Type="http://schemas.openxmlformats.org/officeDocument/2006/relationships/hyperlink" Id="rId147" Target="https://doi.org/10.1111/jcpp.70057" TargetMode="External" /><Relationship Type="http://schemas.openxmlformats.org/officeDocument/2006/relationships/hyperlink" Id="rId363" Target="https://doi.org/10.1111/jcpp.70180" TargetMode="External" /><Relationship Type="http://schemas.openxmlformats.org/officeDocument/2006/relationships/hyperlink" Id="rId391" Target="https://doi.org/10.1111/jedm.70019" TargetMode="External" /><Relationship Type="http://schemas.openxmlformats.org/officeDocument/2006/relationships/hyperlink" Id="rId250" Target="https://doi.org/10.1111/jora.12252" TargetMode="External" /><Relationship Type="http://schemas.openxmlformats.org/officeDocument/2006/relationships/hyperlink" Id="rId265" Target="https://doi.org/10.1111/psyp.12551" TargetMode="External" /><Relationship Type="http://schemas.openxmlformats.org/officeDocument/2006/relationships/hyperlink" Id="rId197" Target="https://doi.org/10.1126/science.2270481" TargetMode="External" /><Relationship Type="http://schemas.openxmlformats.org/officeDocument/2006/relationships/hyperlink" Id="rId195" Target="https://doi.org/10.1146/annurev-clinpsy-050212-185617" TargetMode="External" /><Relationship Type="http://schemas.openxmlformats.org/officeDocument/2006/relationships/hyperlink" Id="rId320" Target="https://doi.org/10.1146/annurev-clinpsy-061324-073435" TargetMode="External" /><Relationship Type="http://schemas.openxmlformats.org/officeDocument/2006/relationships/hyperlink" Id="rId350" Target="https://doi.org/10.1146/annurev-psych-120710-100452" TargetMode="External" /><Relationship Type="http://schemas.openxmlformats.org/officeDocument/2006/relationships/hyperlink" Id="rId312" Target="https://doi.org/10.1159/000270073" TargetMode="External" /><Relationship Type="http://schemas.openxmlformats.org/officeDocument/2006/relationships/hyperlink" Id="rId263" Target="https://doi.org/10.1176/appi.ajp.160.9.1566" TargetMode="External" /><Relationship Type="http://schemas.openxmlformats.org/officeDocument/2006/relationships/hyperlink" Id="rId237" Target="https://doi.org/10.1176/appi.ajp.2008.08030366" TargetMode="External" /><Relationship Type="http://schemas.openxmlformats.org/officeDocument/2006/relationships/hyperlink" Id="rId427" Target="https://doi.org/10.1177/0049124121995521" TargetMode="External" /><Relationship Type="http://schemas.openxmlformats.org/officeDocument/2006/relationships/hyperlink" Id="rId429" Target="https://doi.org/10.1177/00491241221091754" TargetMode="External" /><Relationship Type="http://schemas.openxmlformats.org/officeDocument/2006/relationships/hyperlink" Id="rId409" Target="https://doi.org/10.1177/0093854812443645" TargetMode="External" /><Relationship Type="http://schemas.openxmlformats.org/officeDocument/2006/relationships/hyperlink" Id="rId185" Target="https://doi.org/10.1177/0146621612470210" TargetMode="External" /><Relationship Type="http://schemas.openxmlformats.org/officeDocument/2006/relationships/hyperlink" Id="rId318" Target="https://doi.org/10.1177/0165025415618275" TargetMode="External" /><Relationship Type="http://schemas.openxmlformats.org/officeDocument/2006/relationships/hyperlink" Id="rId434" Target="https://doi.org/10.1177/0165025419880610" TargetMode="External" /><Relationship Type="http://schemas.openxmlformats.org/officeDocument/2006/relationships/hyperlink" Id="rId139" Target="https://doi.org/10.1177/0269758014537147" TargetMode="External" /><Relationship Type="http://schemas.openxmlformats.org/officeDocument/2006/relationships/hyperlink" Id="rId214" Target="https://doi.org/10.1177/08902070241228338" TargetMode="External" /><Relationship Type="http://schemas.openxmlformats.org/officeDocument/2006/relationships/hyperlink" Id="rId389" Target="https://doi.org/10.1177/1362361320908972" TargetMode="External" /><Relationship Type="http://schemas.openxmlformats.org/officeDocument/2006/relationships/hyperlink" Id="rId167" Target="https://doi.org/10.1177/2167702613497473" TargetMode="External" /><Relationship Type="http://schemas.openxmlformats.org/officeDocument/2006/relationships/hyperlink" Id="rId359" Target="https://doi.org/10.1177/25152459251342750" TargetMode="External" /><Relationship Type="http://schemas.openxmlformats.org/officeDocument/2006/relationships/hyperlink" Id="rId326" Target="https://doi.org/10.1371/journal.pone.0063109" TargetMode="External" /><Relationship Type="http://schemas.openxmlformats.org/officeDocument/2006/relationships/hyperlink" Id="rId221" Target="https://doi.org/10.1378/chest.116.5.1208" TargetMode="External" /><Relationship Type="http://schemas.openxmlformats.org/officeDocument/2006/relationships/hyperlink" Id="rId177" Target="https://doi.org/10.14283/jfa.2012.9" TargetMode="External" /><Relationship Type="http://schemas.openxmlformats.org/officeDocument/2006/relationships/hyperlink" Id="rId372" Target="https://doi.org/10.18148/srm/2018.v12i1.7210" TargetMode="External" /><Relationship Type="http://schemas.openxmlformats.org/officeDocument/2006/relationships/hyperlink" Id="rId223" Target="https://doi.org/10.22237/jmasm/1209614640" TargetMode="External" /><Relationship Type="http://schemas.openxmlformats.org/officeDocument/2006/relationships/hyperlink" Id="rId201" Target="https://doi.org/10.2307/2095245" TargetMode="External" /><Relationship Type="http://schemas.openxmlformats.org/officeDocument/2006/relationships/hyperlink" Id="rId399" Target="https://doi.org/10.2307/j.ctt2jbxs1" TargetMode="External" /><Relationship Type="http://schemas.openxmlformats.org/officeDocument/2006/relationships/hyperlink" Id="rId120" Target="https://doi.org/10.25820/work.007199" TargetMode="External" /><Relationship Type="http://schemas.openxmlformats.org/officeDocument/2006/relationships/hyperlink" Id="rId401" Target="https://doi.org/10.3389/fpsyg.2013.00770" TargetMode="External" /><Relationship Type="http://schemas.openxmlformats.org/officeDocument/2006/relationships/hyperlink" Id="rId316" Target="https://doi.org/10.3389/fpsyg.2014.00978" TargetMode="External" /><Relationship Type="http://schemas.openxmlformats.org/officeDocument/2006/relationships/hyperlink" Id="rId181" Target="https://doi.org/10.3389/fpsyg.2014.00982" TargetMode="External" /><Relationship Type="http://schemas.openxmlformats.org/officeDocument/2006/relationships/hyperlink" Id="rId306" Target="https://doi.org/10.3389/fpsyg.2015.01389" TargetMode="External" /><Relationship Type="http://schemas.openxmlformats.org/officeDocument/2006/relationships/hyperlink" Id="rId436" Target="https://icd.who.int" TargetMode="External" /><Relationship Type="http://schemas.openxmlformats.org/officeDocument/2006/relationships/hyperlink" Id="rId304"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225" Target="https://quantitudepod.org/latent-means/ (archived at: https://perma.cc/5JL3-YUPA)" TargetMode="External" /></Relationships>
</file>

<file path=word/_rels/footnotes.xml.rels><?xml version="1.0" encoding="UTF-8"?><Relationships xmlns="http://schemas.openxmlformats.org/package/2006/relationships"><Relationship Type="http://schemas.openxmlformats.org/officeDocument/2006/relationships/hyperlink" Id="rId51" Target="https://DevPsyLab.github.io/studying-psychopathology-development-lifespan/notebooks/analyses-preview.html#cell-fig-externalizingbyage" TargetMode="External" /><Relationship Type="http://schemas.openxmlformats.org/officeDocument/2006/relationships/hyperlink" Id="rId46" Target="https://DevPsyLab.github.io/studying-psychopathology-development-lifespan/notebooks/analyses-preview.html#cell-fig-lifespancognitivetrajectories" TargetMode="External" /><Relationship Type="http://schemas.openxmlformats.org/officeDocument/2006/relationships/hyperlink" Id="rId68" Target="https://DevPsyLab.github.io/studying-psychopathology-development-lifespan/notebooks/analyses-preview.html#cell-fig-longitudinalexternalizingstudies" TargetMode="External" /><Relationship Type="http://schemas.openxmlformats.org/officeDocument/2006/relationships/hyperlink" Id="rId57" Target="https://DevPsyLab.github.io/studying-psychopathology-development-lifespan/notebooks/analyses-preview.html#cell-fig-longitudinalstudies" TargetMode="External" /><Relationship Type="http://schemas.openxmlformats.org/officeDocument/2006/relationships/hyperlink" Id="rId93" Target="https://DevPsyLab.github.io/studying-psychopathology-development-lifespan/notebooks/analyses-preview.html#cell-tbl-externalizingfacets" TargetMode="External" /><Relationship Type="http://schemas.openxmlformats.org/officeDocument/2006/relationships/hyperlink" Id="rId269" Target="https://doi.org/10.1001/archgenpsychiatry.2010.188" TargetMode="External" /><Relationship Type="http://schemas.openxmlformats.org/officeDocument/2006/relationships/hyperlink" Id="rId290" Target="https://doi.org/10.1001/archpsyc.62.12.1352" TargetMode="External" /><Relationship Type="http://schemas.openxmlformats.org/officeDocument/2006/relationships/hyperlink" Id="rId165" Target="https://doi.org/10.1001/jamanetworkopen.2020.3221" TargetMode="External" /><Relationship Type="http://schemas.openxmlformats.org/officeDocument/2006/relationships/hyperlink" Id="rId169" Target="https://doi.org/10.1002/9780470147658.chpsy0306" TargetMode="External" /><Relationship Type="http://schemas.openxmlformats.org/officeDocument/2006/relationships/hyperlink" Id="rId155" Target="https://doi.org/10.1002/9781119125556.devpsy101" TargetMode="External" /><Relationship Type="http://schemas.openxmlformats.org/officeDocument/2006/relationships/hyperlink" Id="rId248" Target="https://doi.org/10.1002/cbm.708" TargetMode="External" /><Relationship Type="http://schemas.openxmlformats.org/officeDocument/2006/relationships/hyperlink" Id="rId137" Target="https://doi.org/10.1002/jcv2.70043" TargetMode="External" /><Relationship Type="http://schemas.openxmlformats.org/officeDocument/2006/relationships/hyperlink" Id="rId267" Target="https://doi.org/10.1002/wps.20844" TargetMode="External" /><Relationship Type="http://schemas.openxmlformats.org/officeDocument/2006/relationships/hyperlink" Id="rId208" Target="https://doi.org/10.1007/978-1-0716-3335-9_5" TargetMode="External" /><Relationship Type="http://schemas.openxmlformats.org/officeDocument/2006/relationships/hyperlink" Id="rId258" Target="https://doi.org/10.1007/978-1-4939-0317-7" TargetMode="External" /><Relationship Type="http://schemas.openxmlformats.org/officeDocument/2006/relationships/hyperlink" Id="rId283" Target="https://doi.org/10.1007/978-3-030-68429-7" TargetMode="External" /><Relationship Type="http://schemas.openxmlformats.org/officeDocument/2006/relationships/hyperlink" Id="rId286" Target="https://doi.org/10.1007/978-3-031-80549-3" TargetMode="External" /><Relationship Type="http://schemas.openxmlformats.org/officeDocument/2006/relationships/hyperlink" Id="rId352" Target="https://doi.org/10.1007/s00127-015-1048-8" TargetMode="External" /><Relationship Type="http://schemas.openxmlformats.org/officeDocument/2006/relationships/hyperlink" Id="rId217" Target="https://doi.org/10.1007/s00234-020-02562-1" TargetMode="External" /><Relationship Type="http://schemas.openxmlformats.org/officeDocument/2006/relationships/hyperlink" Id="rId417" Target="https://doi.org/10.1007/s10802-010-9478-y" TargetMode="External" /><Relationship Type="http://schemas.openxmlformats.org/officeDocument/2006/relationships/hyperlink" Id="rId157" Target="https://doi.org/10.1007/s10802-012-9669-9" TargetMode="External" /><Relationship Type="http://schemas.openxmlformats.org/officeDocument/2006/relationships/hyperlink" Id="rId415" Target="https://doi.org/10.1007/s10802-012-9700-1" TargetMode="External" /><Relationship Type="http://schemas.openxmlformats.org/officeDocument/2006/relationships/hyperlink" Id="rId252" Target="https://doi.org/10.1007/s10802-017-0383-5" TargetMode="External" /><Relationship Type="http://schemas.openxmlformats.org/officeDocument/2006/relationships/hyperlink" Id="rId254" Target="https://doi.org/10.1007/s10802-021-00885-y" TargetMode="External" /><Relationship Type="http://schemas.openxmlformats.org/officeDocument/2006/relationships/hyperlink" Id="rId134" Target="https://doi.org/10.1007/s10802-023-01119-z" TargetMode="External" /><Relationship Type="http://schemas.openxmlformats.org/officeDocument/2006/relationships/hyperlink" Id="rId239" Target="https://doi.org/10.1007/s10826-018-1272-4" TargetMode="External" /><Relationship Type="http://schemas.openxmlformats.org/officeDocument/2006/relationships/hyperlink" Id="rId297" Target="https://doi.org/10.1007/s11121-022-01467-0" TargetMode="External" /><Relationship Type="http://schemas.openxmlformats.org/officeDocument/2006/relationships/hyperlink" Id="rId411" Target="https://doi.org/10.1007/s12103-013-9235-1" TargetMode="External" /><Relationship Type="http://schemas.openxmlformats.org/officeDocument/2006/relationships/hyperlink" Id="rId413" Target="https://doi.org/10.1007/s12103-014-9272-4" TargetMode="External" /><Relationship Type="http://schemas.openxmlformats.org/officeDocument/2006/relationships/hyperlink" Id="rId171" Target="https://doi.org/10.1007/s40865-015-0012-3" TargetMode="External" /><Relationship Type="http://schemas.openxmlformats.org/officeDocument/2006/relationships/hyperlink" Id="rId277" Target="https://doi.org/10.1016/S0005-7967(02)00016-5" TargetMode="External" /><Relationship Type="http://schemas.openxmlformats.org/officeDocument/2006/relationships/hyperlink" Id="rId163" Target="https://doi.org/10.1016/j.cpr.2012.02.006" TargetMode="External" /><Relationship Type="http://schemas.openxmlformats.org/officeDocument/2006/relationships/hyperlink" Id="rId387" Target="https://doi.org/10.1016/j.cresp.2025.100261" TargetMode="External" /><Relationship Type="http://schemas.openxmlformats.org/officeDocument/2006/relationships/hyperlink" Id="rId292" Target="https://doi.org/10.1016/j.dr.2004.04.002" TargetMode="External" /><Relationship Type="http://schemas.openxmlformats.org/officeDocument/2006/relationships/hyperlink" Id="rId423" Target="https://doi.org/10.1016/j.dr.2008.01.001" TargetMode="External" /><Relationship Type="http://schemas.openxmlformats.org/officeDocument/2006/relationships/hyperlink" Id="rId337" Target="https://doi.org/10.1016/j.dr.2020.100935" TargetMode="External" /><Relationship Type="http://schemas.openxmlformats.org/officeDocument/2006/relationships/hyperlink" Id="rId403" Target="https://doi.org/10.1016/j.jaac.2013.10.011" TargetMode="External" /><Relationship Type="http://schemas.openxmlformats.org/officeDocument/2006/relationships/hyperlink" Id="rId151" Target="https://doi.org/10.1016/j.jaac.2017.05.019" TargetMode="External" /><Relationship Type="http://schemas.openxmlformats.org/officeDocument/2006/relationships/hyperlink" Id="rId85" Target="https://doi.org/10.1016/j.jaacop.2025.10.008" TargetMode="External" /><Relationship Type="http://schemas.openxmlformats.org/officeDocument/2006/relationships/hyperlink" Id="rId441" Target="https://doi.org/10.1016/j.jad.2026.121556" TargetMode="External" /><Relationship Type="http://schemas.openxmlformats.org/officeDocument/2006/relationships/hyperlink" Id="rId380" Target="https://doi.org/10.1016/j.jcrimjus.2024.102155" TargetMode="External" /><Relationship Type="http://schemas.openxmlformats.org/officeDocument/2006/relationships/hyperlink" Id="rId141" Target="https://doi.org/10.1016/j.jpsychires.2013.08.016" TargetMode="External" /><Relationship Type="http://schemas.openxmlformats.org/officeDocument/2006/relationships/hyperlink" Id="rId299" Target="https://doi.org/10.1016/j.jsp.2012.10.002" TargetMode="External" /><Relationship Type="http://schemas.openxmlformats.org/officeDocument/2006/relationships/hyperlink" Id="rId229" Target="https://doi.org/10.1017/S0033291711001966" TargetMode="External" /><Relationship Type="http://schemas.openxmlformats.org/officeDocument/2006/relationships/hyperlink" Id="rId231" Target="https://doi.org/10.1017/S003329172000183X" TargetMode="External" /><Relationship Type="http://schemas.openxmlformats.org/officeDocument/2006/relationships/hyperlink" Id="rId425" Target="https://doi.org/10.1017/S0954579403000221" TargetMode="External" /><Relationship Type="http://schemas.openxmlformats.org/officeDocument/2006/relationships/hyperlink" Id="rId385" Target="https://doi.org/10.1017/S0954579407070174" TargetMode="External" /><Relationship Type="http://schemas.openxmlformats.org/officeDocument/2006/relationships/hyperlink" Id="rId322" Target="https://doi.org/10.1017/S0954579408000333" TargetMode="External" /><Relationship Type="http://schemas.openxmlformats.org/officeDocument/2006/relationships/hyperlink" Id="rId281" Target="https://doi.org/10.1017/S0954579410000301" TargetMode="External" /><Relationship Type="http://schemas.openxmlformats.org/officeDocument/2006/relationships/hyperlink" Id="rId335" Target="https://doi.org/10.1017/S0954579414000789" TargetMode="External" /><Relationship Type="http://schemas.openxmlformats.org/officeDocument/2006/relationships/hyperlink" Id="rId212" Target="https://doi.org/10.1017/S0954579416000651" TargetMode="External" /><Relationship Type="http://schemas.openxmlformats.org/officeDocument/2006/relationships/hyperlink" Id="rId219" Target="https://doi.org/10.1017/S0954579421001772" TargetMode="External" /><Relationship Type="http://schemas.openxmlformats.org/officeDocument/2006/relationships/hyperlink" Id="rId149" Target="https://doi.org/10.1017/S0954579423001505" TargetMode="External" /><Relationship Type="http://schemas.openxmlformats.org/officeDocument/2006/relationships/hyperlink" Id="rId227" Target="https://doi.org/10.1017/S0954579424000713" TargetMode="External" /><Relationship Type="http://schemas.openxmlformats.org/officeDocument/2006/relationships/hyperlink" Id="rId324" Target="https://doi.org/10.1023/a:1026254005632" TargetMode="External" /><Relationship Type="http://schemas.openxmlformats.org/officeDocument/2006/relationships/hyperlink" Id="rId161" Target="https://doi.org/10.1027/1015-5759.17.1.25" TargetMode="External" /><Relationship Type="http://schemas.openxmlformats.org/officeDocument/2006/relationships/hyperlink" Id="rId370" Target="https://doi.org/10.1037/0003-066X.54.2.93" TargetMode="External" /><Relationship Type="http://schemas.openxmlformats.org/officeDocument/2006/relationships/hyperlink" Id="rId159" Target="https://doi.org/10.1037/0012-1649.39.2.222" TargetMode="External" /><Relationship Type="http://schemas.openxmlformats.org/officeDocument/2006/relationships/hyperlink" Id="rId187" Target="https://doi.org/10.1037/0012-1649.44.2.365" TargetMode="External" /><Relationship Type="http://schemas.openxmlformats.org/officeDocument/2006/relationships/hyperlink" Id="rId271" Target="https://doi.org/10.1037/0021-843X.116.4.645" TargetMode="External" /><Relationship Type="http://schemas.openxmlformats.org/officeDocument/2006/relationships/hyperlink" Id="rId273" Target="https://doi.org/10.1037/0021-843x.114.4.537" TargetMode="External" /><Relationship Type="http://schemas.openxmlformats.org/officeDocument/2006/relationships/hyperlink" Id="rId328" Target="https://doi.org/10.1037/0022-006X.61.6.911" TargetMode="External" /><Relationship Type="http://schemas.openxmlformats.org/officeDocument/2006/relationships/hyperlink" Id="rId179" Target="https://doi.org/10.1037/0022-006X.70.1.6" TargetMode="External" /><Relationship Type="http://schemas.openxmlformats.org/officeDocument/2006/relationships/hyperlink" Id="rId308" Target="https://doi.org/10.1037/0033-295X.100.4.674" TargetMode="External" /><Relationship Type="http://schemas.openxmlformats.org/officeDocument/2006/relationships/hyperlink" Id="rId233" Target="https://doi.org/10.1037/0882-7974.18.4.639" TargetMode="External" /><Relationship Type="http://schemas.openxmlformats.org/officeDocument/2006/relationships/hyperlink" Id="rId210" Target="https://doi.org/10.1037/0882-7974.19.2.243" TargetMode="External" /><Relationship Type="http://schemas.openxmlformats.org/officeDocument/2006/relationships/hyperlink" Id="rId275" Target="https://doi.org/10.1037/1040-3590.16.2.107" TargetMode="External" /><Relationship Type="http://schemas.openxmlformats.org/officeDocument/2006/relationships/hyperlink" Id="rId244" Target="https://doi.org/10.1037/13129-000" TargetMode="External" /><Relationship Type="http://schemas.openxmlformats.org/officeDocument/2006/relationships/hyperlink" Id="rId132" Target="https://doi.org/10.1037/14048-008" TargetMode="External" /><Relationship Type="http://schemas.openxmlformats.org/officeDocument/2006/relationships/hyperlink" Id="rId295" Target="https://doi.org/10.1037/a0015857" TargetMode="External" /><Relationship Type="http://schemas.openxmlformats.org/officeDocument/2006/relationships/hyperlink" Id="rId407" Target="https://doi.org/10.1037/a0021519" TargetMode="External" /><Relationship Type="http://schemas.openxmlformats.org/officeDocument/2006/relationships/hyperlink" Id="rId288" Target="https://doi.org/10.1037/a0023678" TargetMode="External" /><Relationship Type="http://schemas.openxmlformats.org/officeDocument/2006/relationships/hyperlink" Id="rId438" Target="https://doi.org/10.1037/a0030133" TargetMode="External" /><Relationship Type="http://schemas.openxmlformats.org/officeDocument/2006/relationships/hyperlink" Id="rId145" Target="https://doi.org/10.1037/a0032475" TargetMode="External" /><Relationship Type="http://schemas.openxmlformats.org/officeDocument/2006/relationships/hyperlink" Id="rId374" Target="https://doi.org/10.1037/abn0000171" TargetMode="External" /><Relationship Type="http://schemas.openxmlformats.org/officeDocument/2006/relationships/hyperlink" Id="rId365" Target="https://doi.org/10.1037/abn0000232" TargetMode="External" /><Relationship Type="http://schemas.openxmlformats.org/officeDocument/2006/relationships/hyperlink" Id="rId261" Target="https://doi.org/10.1037/abn0000258" TargetMode="External" /><Relationship Type="http://schemas.openxmlformats.org/officeDocument/2006/relationships/hyperlink" Id="rId342" Target="https://doi.org/10.1037/abn0000649" TargetMode="External" /><Relationship Type="http://schemas.openxmlformats.org/officeDocument/2006/relationships/hyperlink" Id="rId393" Target="https://doi.org/10.1037/abn0000751" TargetMode="External" /><Relationship Type="http://schemas.openxmlformats.org/officeDocument/2006/relationships/hyperlink" Id="rId191" Target="https://doi.org/10.1037/abn0001084" TargetMode="External" /><Relationship Type="http://schemas.openxmlformats.org/officeDocument/2006/relationships/hyperlink" Id="rId346" Target="https://doi.org/10.1037/dev0000449" TargetMode="External" /><Relationship Type="http://schemas.openxmlformats.org/officeDocument/2006/relationships/hyperlink" Id="rId376" Target="https://doi.org/10.1037/dev0001095" TargetMode="External" /><Relationship Type="http://schemas.openxmlformats.org/officeDocument/2006/relationships/hyperlink" Id="rId332" Target="https://doi.org/10.1037/dev0001657" TargetMode="External" /><Relationship Type="http://schemas.openxmlformats.org/officeDocument/2006/relationships/hyperlink" Id="rId111" Target="https://doi.org/10.1037/edu0000461" TargetMode="External" /><Relationship Type="http://schemas.openxmlformats.org/officeDocument/2006/relationships/hyperlink" Id="rId143" Target="https://doi.org/10.1037/met0000077" TargetMode="External" /><Relationship Type="http://schemas.openxmlformats.org/officeDocument/2006/relationships/hyperlink" Id="rId204" Target="https://doi.org/10.1037/met0000563" TargetMode="External" /><Relationship Type="http://schemas.openxmlformats.org/officeDocument/2006/relationships/hyperlink" Id="rId175" Target="https://doi.org/10.1037/met0000685" TargetMode="External" /><Relationship Type="http://schemas.openxmlformats.org/officeDocument/2006/relationships/hyperlink" Id="rId378" Target="https://doi.org/10.1037/pas0000648" TargetMode="External" /><Relationship Type="http://schemas.openxmlformats.org/officeDocument/2006/relationships/hyperlink" Id="rId354" Target="https://doi.org/10.1037/pas0000754" TargetMode="External" /><Relationship Type="http://schemas.openxmlformats.org/officeDocument/2006/relationships/hyperlink" Id="rId75" Target="https://doi.org/10.1037/pas0001441" TargetMode="External" /><Relationship Type="http://schemas.openxmlformats.org/officeDocument/2006/relationships/hyperlink" Id="rId395" Target="https://doi.org/10.1038/s44220-023-00057-5" TargetMode="External" /><Relationship Type="http://schemas.openxmlformats.org/officeDocument/2006/relationships/hyperlink" Id="rId310" Target="https://doi.org/10.1073/pnas.1010076108" TargetMode="External" /><Relationship Type="http://schemas.openxmlformats.org/officeDocument/2006/relationships/hyperlink" Id="rId189" Target="https://doi.org/10.1080/00273171.2014.889594" TargetMode="External" /><Relationship Type="http://schemas.openxmlformats.org/officeDocument/2006/relationships/hyperlink" Id="rId279" Target="https://doi.org/10.1080/00273171.2021.1941730" TargetMode="External" /><Relationship Type="http://schemas.openxmlformats.org/officeDocument/2006/relationships/hyperlink" Id="rId173" Target="https://doi.org/10.1080/00273171.2026.2640576" TargetMode="External" /><Relationship Type="http://schemas.openxmlformats.org/officeDocument/2006/relationships/hyperlink" Id="rId419" Target="https://doi.org/10.1080/02664763.2020.1817346" TargetMode="External" /><Relationship Type="http://schemas.openxmlformats.org/officeDocument/2006/relationships/hyperlink" Id="rId356" Target="https://doi.org/10.1080/10705511.2023.2191292" TargetMode="External" /><Relationship Type="http://schemas.openxmlformats.org/officeDocument/2006/relationships/hyperlink" Id="rId421" Target="https://doi.org/10.1080/15366367.2018.1502005" TargetMode="External" /><Relationship Type="http://schemas.openxmlformats.org/officeDocument/2006/relationships/hyperlink" Id="rId405" Target="https://doi.org/10.1080/15374416.2018.1561296" TargetMode="External" /><Relationship Type="http://schemas.openxmlformats.org/officeDocument/2006/relationships/hyperlink" Id="rId397" Target="https://doi.org/10.1080/15374416.2019.1622124" TargetMode="External" /><Relationship Type="http://schemas.openxmlformats.org/officeDocument/2006/relationships/hyperlink" Id="rId193" Target="https://doi.org/10.1080/15374416.2025.2484813" TargetMode="External" /><Relationship Type="http://schemas.openxmlformats.org/officeDocument/2006/relationships/hyperlink" Id="rId367" Target="https://doi.org/10.1086/269270" TargetMode="External" /><Relationship Type="http://schemas.openxmlformats.org/officeDocument/2006/relationships/hyperlink" Id="rId199" Target="https://doi.org/10.1108/978-1-61735-891-320251015" TargetMode="External" /><Relationship Type="http://schemas.openxmlformats.org/officeDocument/2006/relationships/hyperlink" Id="rId314" Target="https://doi.org/10.1111/cdev.12036" TargetMode="External" /><Relationship Type="http://schemas.openxmlformats.org/officeDocument/2006/relationships/hyperlink" Id="rId348" Target="https://doi.org/10.1111/cdev.12880" TargetMode="External" /><Relationship Type="http://schemas.openxmlformats.org/officeDocument/2006/relationships/hyperlink" Id="rId344" Target="https://doi.org/10.1111/cdev.13433" TargetMode="External" /><Relationship Type="http://schemas.openxmlformats.org/officeDocument/2006/relationships/hyperlink" Id="rId235" Target="https://doi.org/10.1111/desc.13280" TargetMode="External" /><Relationship Type="http://schemas.openxmlformats.org/officeDocument/2006/relationships/hyperlink" Id="rId330" Target="https://doi.org/10.1111/desc.70216" TargetMode="External" /><Relationship Type="http://schemas.openxmlformats.org/officeDocument/2006/relationships/hyperlink" Id="rId153" Target="https://doi.org/10.1111/j.1467-8624.2004.00755.x" TargetMode="External" /><Relationship Type="http://schemas.openxmlformats.org/officeDocument/2006/relationships/hyperlink" Id="rId301" Target="https://doi.org/10.1111/j.1467-9507.2008.00480.x" TargetMode="External" /><Relationship Type="http://schemas.openxmlformats.org/officeDocument/2006/relationships/hyperlink" Id="rId361" Target="https://doi.org/10.1111/j.1469-7610.2006.01614.x" TargetMode="External" /><Relationship Type="http://schemas.openxmlformats.org/officeDocument/2006/relationships/hyperlink" Id="rId183" Target="https://doi.org/10.1111/j.1469-7610.2011.02511.x" TargetMode="External" /><Relationship Type="http://schemas.openxmlformats.org/officeDocument/2006/relationships/hyperlink" Id="rId246" Target="https://doi.org/10.1111/j.1469-7610.2012.02585.x" TargetMode="External" /><Relationship Type="http://schemas.openxmlformats.org/officeDocument/2006/relationships/hyperlink" Id="rId432" Target="https://doi.org/10.1111/j.1750-8606.2009.00110.x" TargetMode="External" /><Relationship Type="http://schemas.openxmlformats.org/officeDocument/2006/relationships/hyperlink" Id="rId256" Target="https://doi.org/10.1111/j.1750-8606.2009.00112.x" TargetMode="External" /><Relationship Type="http://schemas.openxmlformats.org/officeDocument/2006/relationships/hyperlink" Id="rId206" Target="https://doi.org/10.1111/jcpp.12102" TargetMode="External" /><Relationship Type="http://schemas.openxmlformats.org/officeDocument/2006/relationships/hyperlink" Id="rId382" Target="https://doi.org/10.1111/jcpp.13549" TargetMode="External" /><Relationship Type="http://schemas.openxmlformats.org/officeDocument/2006/relationships/hyperlink" Id="rId147" Target="https://doi.org/10.1111/jcpp.70057" TargetMode="External" /><Relationship Type="http://schemas.openxmlformats.org/officeDocument/2006/relationships/hyperlink" Id="rId363" Target="https://doi.org/10.1111/jcpp.70180" TargetMode="External" /><Relationship Type="http://schemas.openxmlformats.org/officeDocument/2006/relationships/hyperlink" Id="rId391" Target="https://doi.org/10.1111/jedm.70019" TargetMode="External" /><Relationship Type="http://schemas.openxmlformats.org/officeDocument/2006/relationships/hyperlink" Id="rId250" Target="https://doi.org/10.1111/jora.12252" TargetMode="External" /><Relationship Type="http://schemas.openxmlformats.org/officeDocument/2006/relationships/hyperlink" Id="rId265" Target="https://doi.org/10.1111/psyp.12551" TargetMode="External" /><Relationship Type="http://schemas.openxmlformats.org/officeDocument/2006/relationships/hyperlink" Id="rId197" Target="https://doi.org/10.1126/science.2270481" TargetMode="External" /><Relationship Type="http://schemas.openxmlformats.org/officeDocument/2006/relationships/hyperlink" Id="rId195" Target="https://doi.org/10.1146/annurev-clinpsy-050212-185617" TargetMode="External" /><Relationship Type="http://schemas.openxmlformats.org/officeDocument/2006/relationships/hyperlink" Id="rId320" Target="https://doi.org/10.1146/annurev-clinpsy-061324-073435" TargetMode="External" /><Relationship Type="http://schemas.openxmlformats.org/officeDocument/2006/relationships/hyperlink" Id="rId350" Target="https://doi.org/10.1146/annurev-psych-120710-100452" TargetMode="External" /><Relationship Type="http://schemas.openxmlformats.org/officeDocument/2006/relationships/hyperlink" Id="rId312" Target="https://doi.org/10.1159/000270073" TargetMode="External" /><Relationship Type="http://schemas.openxmlformats.org/officeDocument/2006/relationships/hyperlink" Id="rId263" Target="https://doi.org/10.1176/appi.ajp.160.9.1566" TargetMode="External" /><Relationship Type="http://schemas.openxmlformats.org/officeDocument/2006/relationships/hyperlink" Id="rId237" Target="https://doi.org/10.1176/appi.ajp.2008.08030366" TargetMode="External" /><Relationship Type="http://schemas.openxmlformats.org/officeDocument/2006/relationships/hyperlink" Id="rId427" Target="https://doi.org/10.1177/0049124121995521" TargetMode="External" /><Relationship Type="http://schemas.openxmlformats.org/officeDocument/2006/relationships/hyperlink" Id="rId429" Target="https://doi.org/10.1177/00491241221091754" TargetMode="External" /><Relationship Type="http://schemas.openxmlformats.org/officeDocument/2006/relationships/hyperlink" Id="rId409" Target="https://doi.org/10.1177/0093854812443645" TargetMode="External" /><Relationship Type="http://schemas.openxmlformats.org/officeDocument/2006/relationships/hyperlink" Id="rId185" Target="https://doi.org/10.1177/0146621612470210" TargetMode="External" /><Relationship Type="http://schemas.openxmlformats.org/officeDocument/2006/relationships/hyperlink" Id="rId318" Target="https://doi.org/10.1177/0165025415618275" TargetMode="External" /><Relationship Type="http://schemas.openxmlformats.org/officeDocument/2006/relationships/hyperlink" Id="rId434" Target="https://doi.org/10.1177/0165025419880610" TargetMode="External" /><Relationship Type="http://schemas.openxmlformats.org/officeDocument/2006/relationships/hyperlink" Id="rId139" Target="https://doi.org/10.1177/0269758014537147" TargetMode="External" /><Relationship Type="http://schemas.openxmlformats.org/officeDocument/2006/relationships/hyperlink" Id="rId214" Target="https://doi.org/10.1177/08902070241228338" TargetMode="External" /><Relationship Type="http://schemas.openxmlformats.org/officeDocument/2006/relationships/hyperlink" Id="rId389" Target="https://doi.org/10.1177/1362361320908972" TargetMode="External" /><Relationship Type="http://schemas.openxmlformats.org/officeDocument/2006/relationships/hyperlink" Id="rId167" Target="https://doi.org/10.1177/2167702613497473" TargetMode="External" /><Relationship Type="http://schemas.openxmlformats.org/officeDocument/2006/relationships/hyperlink" Id="rId359" Target="https://doi.org/10.1177/25152459251342750" TargetMode="External" /><Relationship Type="http://schemas.openxmlformats.org/officeDocument/2006/relationships/hyperlink" Id="rId326" Target="https://doi.org/10.1371/journal.pone.0063109" TargetMode="External" /><Relationship Type="http://schemas.openxmlformats.org/officeDocument/2006/relationships/hyperlink" Id="rId221" Target="https://doi.org/10.1378/chest.116.5.1208" TargetMode="External" /><Relationship Type="http://schemas.openxmlformats.org/officeDocument/2006/relationships/hyperlink" Id="rId177" Target="https://doi.org/10.14283/jfa.2012.9" TargetMode="External" /><Relationship Type="http://schemas.openxmlformats.org/officeDocument/2006/relationships/hyperlink" Id="rId372" Target="https://doi.org/10.18148/srm/2018.v12i1.7210" TargetMode="External" /><Relationship Type="http://schemas.openxmlformats.org/officeDocument/2006/relationships/hyperlink" Id="rId223" Target="https://doi.org/10.22237/jmasm/1209614640" TargetMode="External" /><Relationship Type="http://schemas.openxmlformats.org/officeDocument/2006/relationships/hyperlink" Id="rId201" Target="https://doi.org/10.2307/2095245" TargetMode="External" /><Relationship Type="http://schemas.openxmlformats.org/officeDocument/2006/relationships/hyperlink" Id="rId399" Target="https://doi.org/10.2307/j.ctt2jbxs1" TargetMode="External" /><Relationship Type="http://schemas.openxmlformats.org/officeDocument/2006/relationships/hyperlink" Id="rId120" Target="https://doi.org/10.25820/work.007199" TargetMode="External" /><Relationship Type="http://schemas.openxmlformats.org/officeDocument/2006/relationships/hyperlink" Id="rId401" Target="https://doi.org/10.3389/fpsyg.2013.00770" TargetMode="External" /><Relationship Type="http://schemas.openxmlformats.org/officeDocument/2006/relationships/hyperlink" Id="rId316" Target="https://doi.org/10.3389/fpsyg.2014.00978" TargetMode="External" /><Relationship Type="http://schemas.openxmlformats.org/officeDocument/2006/relationships/hyperlink" Id="rId181" Target="https://doi.org/10.3389/fpsyg.2014.00982" TargetMode="External" /><Relationship Type="http://schemas.openxmlformats.org/officeDocument/2006/relationships/hyperlink" Id="rId306" Target="https://doi.org/10.3389/fpsyg.2015.01389" TargetMode="External" /><Relationship Type="http://schemas.openxmlformats.org/officeDocument/2006/relationships/hyperlink" Id="rId436" Target="https://icd.who.int" TargetMode="External" /><Relationship Type="http://schemas.openxmlformats.org/officeDocument/2006/relationships/hyperlink" Id="rId304"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225" Target="https://quantitudepod.org/latent-means/ (archived at: https://perma.cc/5JL3-YUP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2026-07-23T18:47:57Z</dcterms:created>
  <dcterms:modified xsi:type="dcterms:W3CDTF">2026-07-23T18:47:57Z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2026-07-23</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11778</vt:lpwstr>
  </property>
  <property fmtid="{D5CDD505-2E9C-101B-9397-08002B2CF9AE}" pid="83" name="zerocitations">
    <vt:lpwstr>False</vt:lpwstr>
  </property>
</Properties>
</file>