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7.jpg" ContentType="image/jpeg"/>
  <Override PartName="/word/media/rId108.png" ContentType="image/png"/>
  <Override PartName="/word/media/rId57.png" ContentType="image/png"/>
  <Override PartName="/word/media/rId115.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9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longitudinal studies, as of this writing. Studies that are no longer active are in gray. Dotted lines reflect cross-sectional spans. For instance, if a study recruited 5–10-year-old children and followed each child for 20 years, the study would have dotted lines from ages 5–10 and from ages 20–25.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9"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r>
        <w:t xml:space="preserve"> </w:t>
      </w:r>
      <w:r>
        <w:t xml:space="preserve">(</w:t>
      </w:r>
      <w:hyperlink w:anchor="ref-Vandell2023">
        <w:r>
          <w:rPr>
            <w:rStyle w:val="Hyperlink"/>
          </w:rPr>
          <w:t xml:space="preserve">Vandell &amp; Gülseven, 2023</w:t>
        </w:r>
      </w:hyperlink>
      <w:r>
        <w:t xml:space="preserve">)</w:t>
      </w:r>
      <w:r>
        <w:t xml:space="preserve">.</w:t>
      </w:r>
    </w:p>
    <w:bookmarkEnd w:id="82"/>
    <w:bookmarkStart w:id="83" w:name="X0ed08f1e0c117c61304ca7f81e3bdb7b8f62aee"/>
    <w:p>
      <w:pPr>
        <w:pStyle w:val="Heading3"/>
      </w:pPr>
      <w:r>
        <w:t xml:space="preserve">Avon Longitudinal Study of Parents and Children (ALSPAC)</w:t>
      </w:r>
    </w:p>
    <w:p>
      <w:pPr>
        <w:pStyle w:val="FirstParagraph"/>
      </w:pPr>
      <w:r>
        <w:t xml:space="preserve">The Avon Longitudinal Study of Parents and Children (ALSPAC) started in 1991 and recruited 15,247 pregnant mothers in Briston, England, and their newborns have been followed to age 32.</w:t>
      </w:r>
    </w:p>
    <w:bookmarkEnd w:id="83"/>
    <w:bookmarkStart w:id="84" w:name="isle-of-wight-study"/>
    <w:p>
      <w:pPr>
        <w:pStyle w:val="Heading3"/>
      </w:pPr>
      <w:r>
        <w:t xml:space="preserve">Isle of Wight Study</w:t>
      </w:r>
    </w:p>
    <w:p>
      <w:pPr>
        <w:pStyle w:val="FirstParagraph"/>
      </w:pPr>
      <w:r>
        <w:t xml:space="preserve">The Isle of Wight Study started in 1964 and recruited ~3,500 children aged 9–11 from the Isle of Wight, England, and followed them to age 45.</w:t>
      </w:r>
    </w:p>
    <w:bookmarkEnd w:id="84"/>
    <w:bookmarkStart w:id="85" w:name="X05375fcbb9f20c4f6e5f8a806983bea213a19ed"/>
    <w:p>
      <w:pPr>
        <w:pStyle w:val="Heading3"/>
      </w:pPr>
      <w:r>
        <w:t xml:space="preserve">National Survey of Health &amp; Development (NSHD)</w:t>
      </w:r>
    </w:p>
    <w:p>
      <w:pPr>
        <w:pStyle w:val="FirstParagraph"/>
      </w:pPr>
      <w:r>
        <w:t xml:space="preserve">The National Survey of Health &amp; Development (NSHD) started in 1946 and recruited 5,362 singleton babies born to married parents in England, Scotland, and Wales, and followed them to age 80.</w:t>
      </w:r>
    </w:p>
    <w:bookmarkEnd w:id="85"/>
    <w:bookmarkStart w:id="86" w:name="national-child-development-study-ncds"/>
    <w:p>
      <w:pPr>
        <w:pStyle w:val="Heading3"/>
      </w:pPr>
      <w:r>
        <w:t xml:space="preserve">National Child Development Study (NCDS)</w:t>
      </w:r>
    </w:p>
    <w:p>
      <w:pPr>
        <w:pStyle w:val="FirstParagraph"/>
      </w:pPr>
      <w:r>
        <w:t xml:space="preserve">The National Child Development Study (NCDS) started in 1958 and recruited 17,415 babies born in England, Scotland, and Wales, and followed them to age 68.</w:t>
      </w:r>
    </w:p>
    <w:bookmarkEnd w:id="86"/>
    <w:bookmarkStart w:id="87" w:name="british-cohort-study-bcs70"/>
    <w:p>
      <w:pPr>
        <w:pStyle w:val="Heading3"/>
      </w:pPr>
      <w:r>
        <w:t xml:space="preserve">1970 British Cohort Study (BCS70)</w:t>
      </w:r>
    </w:p>
    <w:p>
      <w:pPr>
        <w:pStyle w:val="FirstParagraph"/>
      </w:pPr>
      <w:r>
        <w:t xml:space="preserve">The 1970 British Cohort Study (BCS70) started in 1970 and recruited 17,287 babies born in England, Scotland, and Wales, and followed them to age 56.</w:t>
      </w:r>
    </w:p>
    <w:bookmarkEnd w:id="87"/>
    <w:bookmarkStart w:id="88" w:name="millennium-cohort-study-mcs"/>
    <w:p>
      <w:pPr>
        <w:pStyle w:val="Heading3"/>
      </w:pPr>
      <w:r>
        <w:t xml:space="preserve">Millennium Cohort Study (MCS)</w:t>
      </w:r>
    </w:p>
    <w:p>
      <w:pPr>
        <w:pStyle w:val="FirstParagraph"/>
      </w:pPr>
      <w:r>
        <w:t xml:space="preserve">The Millennium Cohort Study (MCS) started in 2000 and recruited 18,827 babies born across England, Scotland, Wales and Northern Ireland, and followed them to age 23.</w:t>
      </w:r>
    </w:p>
    <w:bookmarkEnd w:id="88"/>
    <w:bookmarkEnd w:id="89"/>
    <w:bookmarkStart w:id="9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90"/>
    <w:bookmarkEnd w:id="91"/>
    <w:bookmarkStart w:id="10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102"/>
    <w:bookmarkStart w:id="10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103"/>
    <w:bookmarkStart w:id="10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4"/>
    <w:bookmarkEnd w:id="105"/>
    <w:bookmarkStart w:id="106" w:name="example-externalizing-psychopathology"/>
    <w:p>
      <w:pPr>
        <w:pStyle w:val="Heading2"/>
      </w:pPr>
      <w:r>
        <w:t xml:space="preserve">Example: Externalizing Psychopathology</w:t>
      </w:r>
    </w:p>
    <w:bookmarkEnd w:id="106"/>
    <w:bookmarkEnd w:id="107"/>
    <w:bookmarkStart w:id="11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1"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9" name="Picture"/>
            <a:graphic>
              <a:graphicData uri="http://schemas.openxmlformats.org/drawingml/2006/picture">
                <pic:pic>
                  <pic:nvPicPr>
                    <pic:cNvPr descr="Figures/constructValidItemDesign.png" id="110" name="Picture"/>
                    <pic:cNvPicPr>
                      <a:picLocks noChangeArrowheads="1" noChangeAspect="1"/>
                    </pic:cNvPicPr>
                  </pic:nvPicPr>
                  <pic:blipFill>
                    <a:blip r:embed="rId108"/>
                    <a:stretch>
                      <a:fillRect/>
                    </a:stretch>
                  </pic:blipFill>
                  <pic:spPr bwMode="auto">
                    <a:xfrm>
                      <a:off x="0" y="0"/>
                      <a:ext cx="5877848" cy="3260034"/>
                    </a:xfrm>
                    <a:prstGeom prst="rect">
                      <a:avLst/>
                    </a:prstGeom>
                    <a:noFill/>
                    <a:ln w="9525">
                      <a:noFill/>
                      <a:headEnd/>
                      <a:tailEnd/>
                    </a:ln>
                  </pic:spPr>
                </pic:pic>
              </a:graphicData>
            </a:graphic>
          </wp:inline>
        </w:drawing>
      </w:r>
    </w:p>
    <w:bookmarkEnd w:id="111"/>
    <w:bookmarkEnd w:id="112"/>
    <w:bookmarkStart w:id="126" w:name="other-key-challenges-to-address"/>
    <w:p>
      <w:pPr>
        <w:pStyle w:val="Heading1"/>
      </w:pPr>
      <w:r>
        <w:t xml:space="preserve">Other Key Challenges to Address</w:t>
      </w:r>
    </w:p>
    <w:bookmarkStart w:id="122" w:name="sec-potential-confounds-of-change"/>
    <w:p>
      <w:pPr>
        <w:pStyle w:val="Heading2"/>
      </w:pPr>
      <w:r>
        <w:t xml:space="preserve">Potential Confounds of Change</w:t>
      </w:r>
    </w:p>
    <w:bookmarkStart w:id="113" w:name="practiceretest-effects"/>
    <w:p>
      <w:pPr>
        <w:pStyle w:val="Heading3"/>
      </w:pPr>
      <w:r>
        <w:t xml:space="preserve">Practice/Retest Effects</w:t>
      </w:r>
    </w:p>
    <w:bookmarkEnd w:id="113"/>
    <w:bookmarkStart w:id="11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8"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4">
        <w:r>
          <w:rPr>
            <w:rStyle w:val="Hyperlink"/>
          </w:rPr>
          <w:t xml:space="preserve">https://doi.org/10.25820/work.007199</w:t>
        </w:r>
      </w:hyperlink>
      <w:r>
        <w:t xml:space="preserve">)</w:t>
      </w:r>
    </w:p>
    <w:p>
      <w:pPr>
        <w:pStyle w:val="FigureWithoutNote"/>
      </w:pPr>
      <w:r>
        <w:drawing>
          <wp:inline>
            <wp:extent cx="5943600" cy="6619717"/>
            <wp:effectExtent b="0" l="0" r="0" t="0"/>
            <wp:docPr descr="" title="" id="116" name="Picture"/>
            <a:graphic>
              <a:graphicData uri="http://schemas.openxmlformats.org/drawingml/2006/picture">
                <pic:pic>
                  <pic:nvPicPr>
                    <pic:cNvPr descr="Figures/longitudinalDesigns.png" id="117" name="Picture"/>
                    <pic:cNvPicPr>
                      <a:picLocks noChangeArrowheads="1" noChangeAspect="1"/>
                    </pic:cNvPicPr>
                  </pic:nvPicPr>
                  <pic:blipFill>
                    <a:blip r:embed="rId115"/>
                    <a:stretch>
                      <a:fillRect/>
                    </a:stretch>
                  </pic:blipFill>
                  <pic:spPr bwMode="auto">
                    <a:xfrm>
                      <a:off x="0" y="0"/>
                      <a:ext cx="5943600" cy="6619717"/>
                    </a:xfrm>
                    <a:prstGeom prst="rect">
                      <a:avLst/>
                    </a:prstGeom>
                    <a:noFill/>
                    <a:ln w="9525">
                      <a:noFill/>
                      <a:headEnd/>
                      <a:tailEnd/>
                    </a:ln>
                  </pic:spPr>
                </pic:pic>
              </a:graphicData>
            </a:graphic>
          </wp:inline>
        </w:drawing>
      </w:r>
    </w:p>
    <w:bookmarkEnd w:id="118"/>
    <w:bookmarkEnd w:id="119"/>
    <w:bookmarkStart w:id="120" w:name="measurement-error"/>
    <w:p>
      <w:pPr>
        <w:pStyle w:val="Heading3"/>
      </w:pPr>
      <w:r>
        <w:t xml:space="preserve">Measurement Error</w:t>
      </w:r>
    </w:p>
    <w:bookmarkEnd w:id="120"/>
    <w:bookmarkStart w:id="121" w:name="change-in-meaning-of-the-scores"/>
    <w:p>
      <w:pPr>
        <w:pStyle w:val="Heading3"/>
      </w:pPr>
      <w:r>
        <w:t xml:space="preserve">Change in Meaning of the Scores</w:t>
      </w:r>
    </w:p>
    <w:bookmarkEnd w:id="121"/>
    <w:bookmarkEnd w:id="122"/>
    <w:bookmarkStart w:id="123" w:name="factorial-invariance-across-time"/>
    <w:p>
      <w:pPr>
        <w:pStyle w:val="Heading2"/>
      </w:pPr>
      <w:r>
        <w:t xml:space="preserve">Factorial Invariance Across Time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291" w:name="references"/>
    <w:p>
      <w:pPr>
        <w:pStyle w:val="Heading1"/>
      </w:pPr>
      <w:r>
        <w:t xml:space="preserve">References</w:t>
      </w:r>
    </w:p>
    <w:bookmarkStart w:id="290" w:name="refs"/>
    <w:bookmarkStart w:id="12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8"/>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3">
        <w:r>
          <w:rPr>
            <w:rStyle w:val="Hyperlink"/>
          </w:rPr>
          <w:t xml:space="preserve">https://doi.org/10.1016/j.jpsychires.2013.08.016</w:t>
        </w:r>
      </w:hyperlink>
    </w:p>
    <w:bookmarkEnd w:id="134"/>
    <w:bookmarkStart w:id="13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5">
        <w:r>
          <w:rPr>
            <w:rStyle w:val="Hyperlink"/>
          </w:rPr>
          <w:t xml:space="preserve">https://doi.org/10.1016/j.jaac.2017.05.019</w:t>
        </w:r>
      </w:hyperlink>
    </w:p>
    <w:bookmarkEnd w:id="136"/>
    <w:bookmarkStart w:id="13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7"/>
    <w:bookmarkStart w:id="13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8"/>
    <w:bookmarkStart w:id="14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9">
        <w:r>
          <w:rPr>
            <w:rStyle w:val="Hyperlink"/>
          </w:rPr>
          <w:t xml:space="preserve">https://doi.org/10.1007/s10802-012-9669-9</w:t>
        </w:r>
      </w:hyperlink>
    </w:p>
    <w:bookmarkEnd w:id="140"/>
    <w:bookmarkStart w:id="14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1">
        <w:r>
          <w:rPr>
            <w:rStyle w:val="Hyperlink"/>
          </w:rPr>
          <w:t xml:space="preserve">https://doi.org/10.1016/j.cpr.2012.02.006</w:t>
        </w:r>
      </w:hyperlink>
    </w:p>
    <w:bookmarkEnd w:id="142"/>
    <w:bookmarkStart w:id="14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3">
        <w:r>
          <w:rPr>
            <w:rStyle w:val="Hyperlink"/>
          </w:rPr>
          <w:t xml:space="preserve">https://doi.org/10.1001/jamanetworkopen.2020.3221</w:t>
        </w:r>
      </w:hyperlink>
    </w:p>
    <w:bookmarkEnd w:id="144"/>
    <w:bookmarkStart w:id="14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5">
        <w:r>
          <w:rPr>
            <w:rStyle w:val="Hyperlink"/>
          </w:rPr>
          <w:t xml:space="preserve">https://doi.org/10.1177/2167702613497473</w:t>
        </w:r>
      </w:hyperlink>
    </w:p>
    <w:bookmarkEnd w:id="146"/>
    <w:bookmarkStart w:id="14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7"/>
    <w:bookmarkStart w:id="14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8">
        <w:r>
          <w:rPr>
            <w:rStyle w:val="Hyperlink"/>
          </w:rPr>
          <w:t xml:space="preserve">https://doi.org/10.1007/s40865-015-0012-3</w:t>
        </w:r>
      </w:hyperlink>
    </w:p>
    <w:bookmarkEnd w:id="149"/>
    <w:bookmarkStart w:id="15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0"/>
    <w:bookmarkStart w:id="15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1">
        <w:r>
          <w:rPr>
            <w:rStyle w:val="Hyperlink"/>
          </w:rPr>
          <w:t xml:space="preserve">https://doi.org/10.1037/0022-006X.70.1.6</w:t>
        </w:r>
      </w:hyperlink>
    </w:p>
    <w:bookmarkEnd w:id="152"/>
    <w:bookmarkStart w:id="154"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3">
        <w:r>
          <w:rPr>
            <w:rStyle w:val="Hyperlink"/>
          </w:rPr>
          <w:t xml:space="preserve">https://doi.org/10.1111/j.1469-7610.2011.02511.x</w:t>
        </w:r>
      </w:hyperlink>
    </w:p>
    <w:bookmarkEnd w:id="154"/>
    <w:bookmarkStart w:id="15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5">
        <w:r>
          <w:rPr>
            <w:rStyle w:val="Hyperlink"/>
          </w:rPr>
          <w:t xml:space="preserve">https://doi.org/10.1037/abn0001084</w:t>
        </w:r>
      </w:hyperlink>
    </w:p>
    <w:bookmarkEnd w:id="156"/>
    <w:bookmarkStart w:id="15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7">
        <w:r>
          <w:rPr>
            <w:rStyle w:val="Hyperlink"/>
          </w:rPr>
          <w:t xml:space="preserve">https://doi.org/10.1126/science.2270481</w:t>
        </w:r>
      </w:hyperlink>
    </w:p>
    <w:bookmarkEnd w:id="158"/>
    <w:bookmarkStart w:id="16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9">
        <w:r>
          <w:rPr>
            <w:rStyle w:val="Hyperlink"/>
          </w:rPr>
          <w:t xml:space="preserve">https://doi.org/10.1111/jcpp.12102</w:t>
        </w:r>
      </w:hyperlink>
    </w:p>
    <w:bookmarkEnd w:id="160"/>
    <w:bookmarkStart w:id="162"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1">
        <w:r>
          <w:rPr>
            <w:rStyle w:val="Hyperlink"/>
          </w:rPr>
          <w:t xml:space="preserve">https://doi.org/10.1017/S0954579416000651</w:t>
        </w:r>
      </w:hyperlink>
    </w:p>
    <w:bookmarkEnd w:id="162"/>
    <w:bookmarkStart w:id="164"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63">
        <w:r>
          <w:rPr>
            <w:rStyle w:val="Hyperlink"/>
          </w:rPr>
          <w:t xml:space="preserve">https://doi.org/10.1037/emo0000721</w:t>
        </w:r>
      </w:hyperlink>
    </w:p>
    <w:bookmarkEnd w:id="164"/>
    <w:bookmarkStart w:id="165"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5"/>
    <w:bookmarkStart w:id="167"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6">
        <w:r>
          <w:rPr>
            <w:rStyle w:val="Hyperlink"/>
          </w:rPr>
          <w:t xml:space="preserve">https://doi.org/10.1007/s00234-020-02562-1</w:t>
        </w:r>
      </w:hyperlink>
    </w:p>
    <w:bookmarkEnd w:id="167"/>
    <w:bookmarkStart w:id="169"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8">
        <w:r>
          <w:rPr>
            <w:rStyle w:val="Hyperlink"/>
          </w:rPr>
          <w:t xml:space="preserve">https://doi.org/10.1093/ije/dyz115</w:t>
        </w:r>
      </w:hyperlink>
    </w:p>
    <w:bookmarkEnd w:id="169"/>
    <w:bookmarkStart w:id="17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0">
        <w:r>
          <w:rPr>
            <w:rStyle w:val="Hyperlink"/>
          </w:rPr>
          <w:t xml:space="preserve">https://doi.org/10.1017/S0033291711001966</w:t>
        </w:r>
      </w:hyperlink>
    </w:p>
    <w:bookmarkEnd w:id="171"/>
    <w:bookmarkStart w:id="17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2">
        <w:r>
          <w:rPr>
            <w:rStyle w:val="Hyperlink"/>
          </w:rPr>
          <w:t xml:space="preserve">https://doi.org/10.1017/S003329172000183X</w:t>
        </w:r>
      </w:hyperlink>
    </w:p>
    <w:bookmarkEnd w:id="173"/>
    <w:bookmarkStart w:id="17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4">
        <w:r>
          <w:rPr>
            <w:rStyle w:val="Hyperlink"/>
          </w:rPr>
          <w:t xml:space="preserve">https://doi.org/10.1176/appi.ajp.2008.08030366</w:t>
        </w:r>
      </w:hyperlink>
    </w:p>
    <w:bookmarkEnd w:id="175"/>
    <w:bookmarkStart w:id="17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6">
        <w:r>
          <w:rPr>
            <w:rStyle w:val="Hyperlink"/>
          </w:rPr>
          <w:t xml:space="preserve">https://doi.org/10.1007/s10826-018-1272-4</w:t>
        </w:r>
      </w:hyperlink>
    </w:p>
    <w:bookmarkEnd w:id="177"/>
    <w:bookmarkStart w:id="17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8"/>
    <w:bookmarkStart w:id="179" w:name="ref-Kagan1971"/>
    <w:p>
      <w:pPr>
        <w:pStyle w:val="Bibliography"/>
      </w:pPr>
      <w:r>
        <w:t xml:space="preserve">Kagan, J. (1971).</w:t>
      </w:r>
      <w:r>
        <w:t xml:space="preserve"> </w:t>
      </w:r>
      <w:r>
        <w:rPr>
          <w:i/>
          <w:iCs/>
        </w:rPr>
        <w:t xml:space="preserve">Change and continuity in infancy</w:t>
      </w:r>
      <w:r>
        <w:t xml:space="preserve">. Wiley.</w:t>
      </w:r>
    </w:p>
    <w:bookmarkEnd w:id="179"/>
    <w:bookmarkStart w:id="18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0"/>
    <w:bookmarkStart w:id="18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1"/>
    <w:bookmarkStart w:id="18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2">
        <w:r>
          <w:rPr>
            <w:rStyle w:val="Hyperlink"/>
          </w:rPr>
          <w:t xml:space="preserve">https://doi.org/10.1007/s10802-017-0383-5</w:t>
        </w:r>
      </w:hyperlink>
    </w:p>
    <w:bookmarkEnd w:id="183"/>
    <w:bookmarkStart w:id="18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4">
        <w:r>
          <w:rPr>
            <w:rStyle w:val="Hyperlink"/>
          </w:rPr>
          <w:t xml:space="preserve">https://doi.org/10.1007/s10802-021-00885-y</w:t>
        </w:r>
      </w:hyperlink>
    </w:p>
    <w:bookmarkEnd w:id="185"/>
    <w:bookmarkStart w:id="18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6">
        <w:r>
          <w:rPr>
            <w:rStyle w:val="Hyperlink"/>
          </w:rPr>
          <w:t xml:space="preserve">https://doi.org/10.1037/abn0000258</w:t>
        </w:r>
      </w:hyperlink>
    </w:p>
    <w:bookmarkEnd w:id="187"/>
    <w:bookmarkStart w:id="189"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8">
        <w:r>
          <w:rPr>
            <w:rStyle w:val="Hyperlink"/>
          </w:rPr>
          <w:t xml:space="preserve">https://doi.org/10.1111/psyp.12551</w:t>
        </w:r>
      </w:hyperlink>
    </w:p>
    <w:bookmarkEnd w:id="189"/>
    <w:bookmarkStart w:id="19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0">
        <w:r>
          <w:rPr>
            <w:rStyle w:val="Hyperlink"/>
          </w:rPr>
          <w:t xml:space="preserve">https://doi.org/10.1002/wps.20844</w:t>
        </w:r>
      </w:hyperlink>
    </w:p>
    <w:bookmarkEnd w:id="191"/>
    <w:bookmarkStart w:id="193"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2">
        <w:r>
          <w:rPr>
            <w:rStyle w:val="Hyperlink"/>
          </w:rPr>
          <w:t xml:space="preserve">https://doi.org/10.1001/archgenpsychiatry.2010.188</w:t>
        </w:r>
      </w:hyperlink>
    </w:p>
    <w:bookmarkEnd w:id="193"/>
    <w:bookmarkStart w:id="195"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4">
        <w:r>
          <w:rPr>
            <w:rStyle w:val="Hyperlink"/>
          </w:rPr>
          <w:t xml:space="preserve">https://doi.org/10.1037/0021-843X.116.4.645</w:t>
        </w:r>
      </w:hyperlink>
    </w:p>
    <w:bookmarkEnd w:id="195"/>
    <w:bookmarkStart w:id="197"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6">
        <w:r>
          <w:rPr>
            <w:rStyle w:val="Hyperlink"/>
          </w:rPr>
          <w:t xml:space="preserve">https://doi.org/10.1037/0021-843x.114.4.537</w:t>
        </w:r>
      </w:hyperlink>
    </w:p>
    <w:bookmarkEnd w:id="197"/>
    <w:bookmarkStart w:id="19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8">
        <w:r>
          <w:rPr>
            <w:rStyle w:val="Hyperlink"/>
          </w:rPr>
          <w:t xml:space="preserve">https://doi.org/10.1037/1040-3590.16.2.107</w:t>
        </w:r>
      </w:hyperlink>
    </w:p>
    <w:bookmarkEnd w:id="199"/>
    <w:bookmarkStart w:id="20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0">
        <w:r>
          <w:rPr>
            <w:rStyle w:val="Hyperlink"/>
          </w:rPr>
          <w:t xml:space="preserve">https://doi.org/10.1016/S0005-7967(02)00016-5</w:t>
        </w:r>
      </w:hyperlink>
    </w:p>
    <w:bookmarkEnd w:id="201"/>
    <w:bookmarkStart w:id="20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2">
        <w:r>
          <w:rPr>
            <w:rStyle w:val="Hyperlink"/>
          </w:rPr>
          <w:t xml:space="preserve">https://doi.org/10.1017/S0954579410000301</w:t>
        </w:r>
      </w:hyperlink>
    </w:p>
    <w:bookmarkEnd w:id="203"/>
    <w:bookmarkStart w:id="20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4">
        <w:r>
          <w:rPr>
            <w:rStyle w:val="Hyperlink"/>
          </w:rPr>
          <w:t xml:space="preserve">https://doi.org/10.1037/a0023678</w:t>
        </w:r>
      </w:hyperlink>
    </w:p>
    <w:bookmarkEnd w:id="205"/>
    <w:bookmarkStart w:id="20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6">
        <w:r>
          <w:rPr>
            <w:rStyle w:val="Hyperlink"/>
          </w:rPr>
          <w:t xml:space="preserve">https://doi.org/10.1001/archpsyc.62.12.1352</w:t>
        </w:r>
      </w:hyperlink>
    </w:p>
    <w:bookmarkEnd w:id="207"/>
    <w:bookmarkStart w:id="20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8">
        <w:r>
          <w:rPr>
            <w:rStyle w:val="Hyperlink"/>
          </w:rPr>
          <w:t xml:space="preserve">https://doi.org/10.1111/j.1467-9507.2008.00480.x</w:t>
        </w:r>
      </w:hyperlink>
    </w:p>
    <w:bookmarkEnd w:id="209"/>
    <w:bookmarkStart w:id="2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0">
        <w:r>
          <w:rPr>
            <w:rStyle w:val="Hyperlink"/>
          </w:rPr>
          <w:t xml:space="preserve">https://news.harvard.edu/gazette/story/2017/04/over-nearly-80-years-harvard-study-has-been-showing-how-to-live-a-healthy-and-happy-life/</w:t>
        </w:r>
      </w:hyperlink>
    </w:p>
    <w:bookmarkEnd w:id="211"/>
    <w:bookmarkStart w:id="21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2">
        <w:r>
          <w:rPr>
            <w:rStyle w:val="Hyperlink"/>
          </w:rPr>
          <w:t xml:space="preserve">https://doi.org/10.1037/0033-295X.100.4.674</w:t>
        </w:r>
      </w:hyperlink>
    </w:p>
    <w:bookmarkEnd w:id="213"/>
    <w:bookmarkStart w:id="21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4">
        <w:r>
          <w:rPr>
            <w:rStyle w:val="Hyperlink"/>
          </w:rPr>
          <w:t xml:space="preserve">https://doi.org/10.1073/pnas.1010076108</w:t>
        </w:r>
      </w:hyperlink>
    </w:p>
    <w:bookmarkEnd w:id="215"/>
    <w:bookmarkStart w:id="21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6">
        <w:r>
          <w:rPr>
            <w:rStyle w:val="Hyperlink"/>
          </w:rPr>
          <w:t xml:space="preserve">https://doi.org/10.1159/000270073</w:t>
        </w:r>
      </w:hyperlink>
    </w:p>
    <w:bookmarkEnd w:id="217"/>
    <w:bookmarkStart w:id="219"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8">
        <w:r>
          <w:rPr>
            <w:rStyle w:val="Hyperlink"/>
          </w:rPr>
          <w:t xml:space="preserve">https://doi.org/10.1017/S0954579424000865</w:t>
        </w:r>
      </w:hyperlink>
    </w:p>
    <w:bookmarkEnd w:id="219"/>
    <w:bookmarkStart w:id="2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0">
        <w:r>
          <w:rPr>
            <w:rStyle w:val="Hyperlink"/>
          </w:rPr>
          <w:t xml:space="preserve">https://doi.org/10.1017/S0954579408000333</w:t>
        </w:r>
      </w:hyperlink>
    </w:p>
    <w:bookmarkEnd w:id="221"/>
    <w:bookmarkStart w:id="2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2">
        <w:r>
          <w:rPr>
            <w:rStyle w:val="Hyperlink"/>
          </w:rPr>
          <w:t xml:space="preserve">https://doi.org/10.1371/journal.pone.0063109</w:t>
        </w:r>
      </w:hyperlink>
    </w:p>
    <w:bookmarkEnd w:id="223"/>
    <w:bookmarkStart w:id="2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4">
        <w:r>
          <w:rPr>
            <w:rStyle w:val="Hyperlink"/>
          </w:rPr>
          <w:t xml:space="preserve">https://doi.org/10.1037/0022-006X.61.6.911</w:t>
        </w:r>
      </w:hyperlink>
    </w:p>
    <w:bookmarkEnd w:id="225"/>
    <w:bookmarkStart w:id="2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6">
        <w:r>
          <w:rPr>
            <w:rStyle w:val="Hyperlink"/>
          </w:rPr>
          <w:t xml:space="preserve">https://doi.org/10.1111/desc.70216</w:t>
        </w:r>
      </w:hyperlink>
    </w:p>
    <w:bookmarkEnd w:id="227"/>
    <w:bookmarkStart w:id="2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8">
        <w:r>
          <w:rPr>
            <w:rStyle w:val="Hyperlink"/>
          </w:rPr>
          <w:t xml:space="preserve">https://doi.org/10.1037/dev0001657</w:t>
        </w:r>
      </w:hyperlink>
    </w:p>
    <w:bookmarkEnd w:id="229"/>
    <w:bookmarkStart w:id="23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4">
        <w:r>
          <w:rPr>
            <w:rStyle w:val="Hyperlink"/>
          </w:rPr>
          <w:t xml:space="preserve">https://doi.org/10.25820/work.007199</w:t>
        </w:r>
      </w:hyperlink>
    </w:p>
    <w:bookmarkEnd w:id="230"/>
    <w:bookmarkStart w:id="2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1"/>
    <w:bookmarkStart w:id="2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2">
        <w:r>
          <w:rPr>
            <w:rStyle w:val="Hyperlink"/>
          </w:rPr>
          <w:t xml:space="preserve">https://doi.org/10.1016/j.dr.2020.100935</w:t>
        </w:r>
      </w:hyperlink>
    </w:p>
    <w:bookmarkEnd w:id="233"/>
    <w:bookmarkStart w:id="2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34"/>
    <w:bookmarkStart w:id="2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5">
        <w:r>
          <w:rPr>
            <w:rStyle w:val="Hyperlink"/>
          </w:rPr>
          <w:t xml:space="preserve">https://doi.org/10.1111/cdev.13433</w:t>
        </w:r>
      </w:hyperlink>
    </w:p>
    <w:bookmarkEnd w:id="236"/>
    <w:bookmarkStart w:id="2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7">
        <w:r>
          <w:rPr>
            <w:rStyle w:val="Hyperlink"/>
          </w:rPr>
          <w:t xml:space="preserve">https://doi.org/10.1037/dev0000449</w:t>
        </w:r>
      </w:hyperlink>
    </w:p>
    <w:bookmarkEnd w:id="238"/>
    <w:bookmarkStart w:id="24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9">
        <w:r>
          <w:rPr>
            <w:rStyle w:val="Hyperlink"/>
          </w:rPr>
          <w:t xml:space="preserve">https://doi.org/10.1007/s00127-015-1048-8</w:t>
        </w:r>
      </w:hyperlink>
    </w:p>
    <w:bookmarkEnd w:id="240"/>
    <w:bookmarkStart w:id="24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1"/>
    <w:bookmarkStart w:id="24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2">
        <w:r>
          <w:rPr>
            <w:rStyle w:val="Hyperlink"/>
          </w:rPr>
          <w:t xml:space="preserve">https://doi.org/10.1111/j.1469-7610.2006.01614.x</w:t>
        </w:r>
      </w:hyperlink>
    </w:p>
    <w:bookmarkEnd w:id="243"/>
    <w:bookmarkStart w:id="24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4">
        <w:r>
          <w:rPr>
            <w:rStyle w:val="Hyperlink"/>
          </w:rPr>
          <w:t xml:space="preserve">https://doi.org/10.1037/abn0000232</w:t>
        </w:r>
      </w:hyperlink>
    </w:p>
    <w:bookmarkEnd w:id="245"/>
    <w:bookmarkStart w:id="24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6">
        <w:r>
          <w:rPr>
            <w:rStyle w:val="Hyperlink"/>
          </w:rPr>
          <w:t xml:space="preserve">https://doi.org/10.1086/269270</w:t>
        </w:r>
      </w:hyperlink>
    </w:p>
    <w:bookmarkEnd w:id="247"/>
    <w:bookmarkStart w:id="24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8">
        <w:r>
          <w:rPr>
            <w:rStyle w:val="Hyperlink"/>
          </w:rPr>
          <w:t xml:space="preserve">https://doi.org/10.1037/0003-066X.54.2.93</w:t>
        </w:r>
      </w:hyperlink>
    </w:p>
    <w:bookmarkEnd w:id="249"/>
    <w:bookmarkStart w:id="25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0">
        <w:r>
          <w:rPr>
            <w:rStyle w:val="Hyperlink"/>
          </w:rPr>
          <w:t xml:space="preserve">https://doi.org/10.1037/abn0000171</w:t>
        </w:r>
      </w:hyperlink>
    </w:p>
    <w:bookmarkEnd w:id="251"/>
    <w:bookmarkStart w:id="252"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2"/>
    <w:bookmarkStart w:id="25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53"/>
    <w:bookmarkStart w:id="254"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54"/>
    <w:bookmarkStart w:id="25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5">
        <w:r>
          <w:rPr>
            <w:rStyle w:val="Hyperlink"/>
          </w:rPr>
          <w:t xml:space="preserve">https://doi.org/10.1146/annurev-criminol-111523-122451</w:t>
        </w:r>
      </w:hyperlink>
    </w:p>
    <w:bookmarkEnd w:id="256"/>
    <w:bookmarkStart w:id="25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7">
        <w:r>
          <w:rPr>
            <w:rStyle w:val="Hyperlink"/>
          </w:rPr>
          <w:t xml:space="preserve">https://doi.org/10.1017/S0954579407070174</w:t>
        </w:r>
      </w:hyperlink>
    </w:p>
    <w:bookmarkEnd w:id="258"/>
    <w:bookmarkStart w:id="26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9">
        <w:r>
          <w:rPr>
            <w:rStyle w:val="Hyperlink"/>
          </w:rPr>
          <w:t xml:space="preserve">https://doi.org/10.1037/abn0000751</w:t>
        </w:r>
      </w:hyperlink>
    </w:p>
    <w:bookmarkEnd w:id="260"/>
    <w:bookmarkStart w:id="26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61">
        <w:r>
          <w:rPr>
            <w:rStyle w:val="Hyperlink"/>
          </w:rPr>
          <w:t xml:space="preserve">https://doi.org/10.1038/s44220-023-00057-5</w:t>
        </w:r>
      </w:hyperlink>
    </w:p>
    <w:bookmarkEnd w:id="262"/>
    <w:bookmarkStart w:id="26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63"/>
    <w:bookmarkStart w:id="265" w:name="ref-Vandell2023"/>
    <w:p>
      <w:pPr>
        <w:pStyle w:val="Bibliography"/>
      </w:pPr>
      <w:r>
        <w:t xml:space="preserve">Vandell, D. L., &amp; Gülseven, Z. (2023). The study of early child care and youth development (SECCYD): Studying development from infancy to adulthood.</w:t>
      </w:r>
      <w:r>
        <w:t xml:space="preserve"> </w:t>
      </w:r>
      <w:r>
        <w:rPr>
          <w:i/>
          <w:iCs/>
        </w:rPr>
        <w:t xml:space="preserve">Annual Review of Developmental Psychology</w:t>
      </w:r>
      <w:r>
        <w:t xml:space="preserve">,</w:t>
      </w:r>
      <w:r>
        <w:t xml:space="preserve"> </w:t>
      </w:r>
      <w:r>
        <w:rPr>
          <w:i/>
          <w:iCs/>
        </w:rPr>
        <w:t xml:space="preserve">5</w:t>
      </w:r>
      <w:r>
        <w:t xml:space="preserve">, 331–354.</w:t>
      </w:r>
      <w:r>
        <w:t xml:space="preserve"> </w:t>
      </w:r>
      <w:hyperlink r:id="rId264">
        <w:r>
          <w:rPr>
            <w:rStyle w:val="Hyperlink"/>
          </w:rPr>
          <w:t xml:space="preserve">https://doi.org/10.1146/annurev-devpsych-120621-035345</w:t>
        </w:r>
      </w:hyperlink>
    </w:p>
    <w:bookmarkEnd w:id="265"/>
    <w:bookmarkStart w:id="26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6">
        <w:r>
          <w:rPr>
            <w:rStyle w:val="Hyperlink"/>
          </w:rPr>
          <w:t xml:space="preserve">https://doi.org/10.1016/j.jaac.2013.10.011</w:t>
        </w:r>
      </w:hyperlink>
    </w:p>
    <w:bookmarkEnd w:id="267"/>
    <w:bookmarkStart w:id="26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8">
        <w:r>
          <w:rPr>
            <w:rStyle w:val="Hyperlink"/>
          </w:rPr>
          <w:t xml:space="preserve">https://doi.org/10.1080/15374416.2018.1561296</w:t>
        </w:r>
      </w:hyperlink>
    </w:p>
    <w:bookmarkEnd w:id="269"/>
    <w:bookmarkStart w:id="271"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0">
        <w:r>
          <w:rPr>
            <w:rStyle w:val="Hyperlink"/>
          </w:rPr>
          <w:t xml:space="preserve">https://doi.org/10.1037/a0021519</w:t>
        </w:r>
      </w:hyperlink>
    </w:p>
    <w:bookmarkEnd w:id="271"/>
    <w:bookmarkStart w:id="27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72">
        <w:r>
          <w:rPr>
            <w:rStyle w:val="Hyperlink"/>
          </w:rPr>
          <w:t xml:space="preserve">https://doi.org/10.1177/0093854812443645</w:t>
        </w:r>
      </w:hyperlink>
    </w:p>
    <w:bookmarkEnd w:id="273"/>
    <w:bookmarkStart w:id="27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74">
        <w:r>
          <w:rPr>
            <w:rStyle w:val="Hyperlink"/>
          </w:rPr>
          <w:t xml:space="preserve">https://doi.org/10.1007/s12103-013-9235-1</w:t>
        </w:r>
      </w:hyperlink>
    </w:p>
    <w:bookmarkEnd w:id="275"/>
    <w:bookmarkStart w:id="27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6">
        <w:r>
          <w:rPr>
            <w:rStyle w:val="Hyperlink"/>
          </w:rPr>
          <w:t xml:space="preserve">https://doi.org/10.1007/s12103-014-9272-4</w:t>
        </w:r>
      </w:hyperlink>
    </w:p>
    <w:bookmarkEnd w:id="277"/>
    <w:bookmarkStart w:id="27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8">
        <w:r>
          <w:rPr>
            <w:rStyle w:val="Hyperlink"/>
          </w:rPr>
          <w:t xml:space="preserve">https://doi.org/10.1007/s10802-012-9700-1</w:t>
        </w:r>
      </w:hyperlink>
    </w:p>
    <w:bookmarkEnd w:id="279"/>
    <w:bookmarkStart w:id="28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0">
        <w:r>
          <w:rPr>
            <w:rStyle w:val="Hyperlink"/>
          </w:rPr>
          <w:t xml:space="preserve">https://doi.org/10.1007/s10802-010-9478-y</w:t>
        </w:r>
      </w:hyperlink>
    </w:p>
    <w:bookmarkEnd w:id="281"/>
    <w:bookmarkStart w:id="28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82">
        <w:r>
          <w:rPr>
            <w:rStyle w:val="Hyperlink"/>
          </w:rPr>
          <w:t xml:space="preserve">https://doi.org/10.1016/j.dr.2008.01.001</w:t>
        </w:r>
      </w:hyperlink>
    </w:p>
    <w:bookmarkEnd w:id="283"/>
    <w:bookmarkStart w:id="28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84">
        <w:r>
          <w:rPr>
            <w:rStyle w:val="Hyperlink"/>
          </w:rPr>
          <w:t xml:space="preserve">https://doi.org/10.1017/S0954579403000221</w:t>
        </w:r>
      </w:hyperlink>
    </w:p>
    <w:bookmarkEnd w:id="285"/>
    <w:bookmarkStart w:id="28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6">
        <w:r>
          <w:rPr>
            <w:rStyle w:val="Hyperlink"/>
          </w:rPr>
          <w:t xml:space="preserve">https://icd.who.int</w:t>
        </w:r>
      </w:hyperlink>
    </w:p>
    <w:bookmarkEnd w:id="287"/>
    <w:bookmarkStart w:id="289"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8">
        <w:r>
          <w:rPr>
            <w:rStyle w:val="Hyperlink"/>
          </w:rPr>
          <w:t xml:space="preserve">https://doi.org/10.1037/a0030133</w:t>
        </w:r>
      </w:hyperlink>
    </w:p>
    <w:bookmarkEnd w:id="289"/>
    <w:bookmarkEnd w:id="290"/>
    <w:p>
      <w:r>
        <w:br w:type="page"/>
      </w:r>
    </w:p>
    <w:bookmarkEnd w:id="291"/>
    <w:p>
      <w:pPr>
        <w:pStyle w:val="Heading1"/>
      </w:pPr>
      <w:r>
        <w:t xml:space="preserve">Appendix A</w:t>
      </w:r>
    </w:p>
    <w:bookmarkStart w:id="292" w:name="apx-a"/>
    <w:p>
      <w:pPr>
        <w:pStyle w:val="Heading1"/>
      </w:pPr>
      <w:r>
        <w:t xml:space="preserve">This Section Is an Appendix</w:t>
      </w:r>
    </w:p>
    <w:p>
      <w:r>
        <w:br w:type="page"/>
      </w:r>
    </w:p>
    <w:bookmarkEnd w:id="292"/>
    <w:p>
      <w:pPr>
        <w:pStyle w:val="Heading1"/>
      </w:pPr>
      <w:r>
        <w:t xml:space="preserve">Appendix B</w:t>
      </w:r>
    </w:p>
    <w:bookmarkStart w:id="293" w:name="apx-b"/>
    <w:p>
      <w:pPr>
        <w:pStyle w:val="Heading1"/>
      </w:pPr>
      <w:r>
        <w:t xml:space="preserve">Another Appendix</w:t>
      </w:r>
    </w:p>
    <w:bookmarkEnd w:id="29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08" Target="media/rId108.png" /><Relationship Type="http://schemas.openxmlformats.org/officeDocument/2006/relationships/image" Id="rId57" Target="media/rId57.png" /><Relationship Type="http://schemas.openxmlformats.org/officeDocument/2006/relationships/image" Id="rId115" Target="media/rId115.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2026-06-12T12:15:00Z</dcterms:created>
  <dcterms:modified xsi:type="dcterms:W3CDTF">2026-06-12T12:15:00Z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2026-06-12</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6417</vt:lpwstr>
  </property>
  <property fmtid="{D5CDD505-2E9C-101B-9397-08002B2CF9AE}" pid="83" name="zerocitations">
    <vt:lpwstr>False</vt:lpwstr>
  </property>
</Properties>
</file>