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0.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7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p>
    <w:bookmarkEnd w:id="57"/>
    <w:bookmarkEnd w:id="58"/>
    <w:bookmarkStart w:id="6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our methods to assess the construct and to evaluate people’s level and change in that construct.</w:t>
      </w:r>
    </w:p>
    <w:bookmarkStart w:id="6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2</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p>
      <w:pPr>
        <w:pStyle w:val="BodyText"/>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Start w:id="63" w:name="fig-approachesToLongitudinalAssessment"/>
    <w:p>
      <w:pPr>
        <w:pStyle w:val="FigureTitle"/>
      </w:pPr>
      <w:r>
        <w:t xml:space="preserve">Figure 2</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r>
        <w:t xml:space="preserve">)</w:t>
      </w:r>
    </w:p>
    <w:p>
      <w:pPr>
        <w:pStyle w:val="FigureWithoutNote"/>
      </w:pPr>
      <w:r>
        <w:drawing>
          <wp:inline>
            <wp:extent cx="5943600" cy="2351289"/>
            <wp:effectExtent b="0" l="0" r="0" t="0"/>
            <wp:docPr descr="" title="" id="61" name="Picture"/>
            <a:graphic>
              <a:graphicData uri="http://schemas.openxmlformats.org/drawingml/2006/picture">
                <pic:pic>
                  <pic:nvPicPr>
                    <pic:cNvPr descr="Figures/approachesToLongitudinalAssessment.jpg" id="62" name="Picture"/>
                    <pic:cNvPicPr>
                      <a:picLocks noChangeArrowheads="1" noChangeAspect="1"/>
                    </pic:cNvPicPr>
                  </pic:nvPicPr>
                  <pic:blipFill>
                    <a:blip r:embed="rId60"/>
                    <a:stretch>
                      <a:fillRect/>
                    </a:stretch>
                  </pic:blipFill>
                  <pic:spPr bwMode="auto">
                    <a:xfrm>
                      <a:off x="0" y="0"/>
                      <a:ext cx="5943600" cy="2351289"/>
                    </a:xfrm>
                    <a:prstGeom prst="rect">
                      <a:avLst/>
                    </a:prstGeom>
                    <a:noFill/>
                    <a:ln w="9525">
                      <a:noFill/>
                      <a:headEnd/>
                      <a:tailEnd/>
                    </a:ln>
                  </pic:spPr>
                </pic:pic>
              </a:graphicData>
            </a:graphic>
          </wp:inline>
        </w:drawing>
      </w:r>
    </w:p>
    <w:bookmarkEnd w:id="63"/>
    <w:bookmarkEnd w:id="64"/>
    <w:bookmarkStart w:id="6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65"/>
    <w:bookmarkStart w:id="6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66"/>
    <w:bookmarkStart w:id="6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67"/>
    <w:bookmarkEnd w:id="68"/>
    <w:bookmarkStart w:id="69" w:name="example-externalizing-psychopathology"/>
    <w:p>
      <w:pPr>
        <w:pStyle w:val="Heading2"/>
      </w:pPr>
      <w:r>
        <w:t xml:space="preserve">Example: Externalizing Psychopathology</w:t>
      </w:r>
    </w:p>
    <w:bookmarkEnd w:id="69"/>
    <w:bookmarkEnd w:id="70"/>
    <w:bookmarkStart w:id="71" w:name="X90173f212147643646723f86a6ce6f8ad77bf31"/>
    <w:p>
      <w:pPr>
        <w:pStyle w:val="Heading1"/>
      </w:pPr>
      <w:r>
        <w:t xml:space="preserve">Solution: A Developmental Scaling Framework</w:t>
      </w:r>
    </w:p>
    <w:bookmarkEnd w:id="71"/>
    <w:bookmarkStart w:id="79" w:name="other-key-challenges-to-address"/>
    <w:p>
      <w:pPr>
        <w:pStyle w:val="Heading1"/>
      </w:pPr>
      <w:r>
        <w:t xml:space="preserve">Other Key Challenges to Address</w:t>
      </w:r>
    </w:p>
    <w:bookmarkStart w:id="76" w:name="sec-potential-confounds-of-change"/>
    <w:p>
      <w:pPr>
        <w:pStyle w:val="Heading2"/>
      </w:pPr>
      <w:r>
        <w:t xml:space="preserve">Potential Confounds of Change</w:t>
      </w:r>
    </w:p>
    <w:bookmarkStart w:id="72" w:name="practiceretest-effects"/>
    <w:p>
      <w:pPr>
        <w:pStyle w:val="Heading3"/>
      </w:pPr>
      <w:r>
        <w:t xml:space="preserve">Practice/Retest Effects</w:t>
      </w:r>
    </w:p>
    <w:bookmarkEnd w:id="72"/>
    <w:bookmarkStart w:id="73" w:name="period-and-cohort-effects"/>
    <w:p>
      <w:pPr>
        <w:pStyle w:val="Heading3"/>
      </w:pPr>
      <w:r>
        <w:t xml:space="preserve">Period and Cohort Effects</w:t>
      </w:r>
    </w:p>
    <w:bookmarkEnd w:id="73"/>
    <w:bookmarkStart w:id="74" w:name="measurement-error"/>
    <w:p>
      <w:pPr>
        <w:pStyle w:val="Heading3"/>
      </w:pPr>
      <w:r>
        <w:t xml:space="preserve">Measurement Error</w:t>
      </w:r>
    </w:p>
    <w:bookmarkEnd w:id="74"/>
    <w:bookmarkStart w:id="75" w:name="change-in-meaning-of-the-scores"/>
    <w:p>
      <w:pPr>
        <w:pStyle w:val="Heading3"/>
      </w:pPr>
      <w:r>
        <w:t xml:space="preserve">Change in Meaning of the Scores</w:t>
      </w:r>
    </w:p>
    <w:bookmarkEnd w:id="75"/>
    <w:bookmarkEnd w:id="76"/>
    <w:bookmarkStart w:id="77" w:name="factorial-invariance-across-time"/>
    <w:p>
      <w:pPr>
        <w:pStyle w:val="Heading2"/>
      </w:pPr>
      <w:r>
        <w:t xml:space="preserve">Factorial Invariance Across Time</w:t>
      </w:r>
    </w:p>
    <w:bookmarkEnd w:id="77"/>
    <w:bookmarkStart w:id="78" w:name="obsolescence-of-items-and-measures"/>
    <w:p>
      <w:pPr>
        <w:pStyle w:val="Heading2"/>
      </w:pPr>
      <w:r>
        <w:t xml:space="preserve">Obsolescence of Items and Measures</w:t>
      </w:r>
    </w:p>
    <w:bookmarkEnd w:id="78"/>
    <w:bookmarkEnd w:id="79"/>
    <w:bookmarkStart w:id="8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0"/>
    <w:bookmarkStart w:id="140" w:name="references"/>
    <w:p>
      <w:pPr>
        <w:pStyle w:val="Heading1"/>
      </w:pPr>
      <w:r>
        <w:t xml:space="preserve">References</w:t>
      </w:r>
    </w:p>
    <w:bookmarkStart w:id="139" w:name="refs"/>
    <w:bookmarkStart w:id="8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1"/>
    <w:bookmarkStart w:id="8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2"/>
    <w:bookmarkStart w:id="8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3"/>
    <w:bookmarkStart w:id="8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84">
        <w:r>
          <w:rPr>
            <w:rStyle w:val="Hyperlink"/>
          </w:rPr>
          <w:t xml:space="preserve">https://doi.org/10.1002/jcv2.70043</w:t>
        </w:r>
      </w:hyperlink>
    </w:p>
    <w:bookmarkEnd w:id="85"/>
    <w:bookmarkStart w:id="8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6"/>
    <w:bookmarkStart w:id="8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87"/>
    <w:bookmarkStart w:id="8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88">
        <w:r>
          <w:rPr>
            <w:rStyle w:val="Hyperlink"/>
          </w:rPr>
          <w:t xml:space="preserve">https://doi.org/10.1007/s10802-012-9669-9</w:t>
        </w:r>
      </w:hyperlink>
    </w:p>
    <w:bookmarkEnd w:id="89"/>
    <w:bookmarkStart w:id="9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0"/>
    <w:bookmarkStart w:id="9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1">
        <w:r>
          <w:rPr>
            <w:rStyle w:val="Hyperlink"/>
          </w:rPr>
          <w:t xml:space="preserve">https://doi.org/10.1007/s40865-015-0012-3</w:t>
        </w:r>
      </w:hyperlink>
    </w:p>
    <w:bookmarkEnd w:id="92"/>
    <w:bookmarkStart w:id="9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3">
        <w:r>
          <w:rPr>
            <w:rStyle w:val="Hyperlink"/>
          </w:rPr>
          <w:t xml:space="preserve">https://doi.org/10.1037/0022-006X.70.1.6</w:t>
        </w:r>
      </w:hyperlink>
    </w:p>
    <w:bookmarkEnd w:id="94"/>
    <w:bookmarkStart w:id="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95">
        <w:r>
          <w:rPr>
            <w:rStyle w:val="Hyperlink"/>
          </w:rPr>
          <w:t xml:space="preserve">https://doi.org/10.1007/s00234-020-02562-1</w:t>
        </w:r>
      </w:hyperlink>
    </w:p>
    <w:bookmarkEnd w:id="96"/>
    <w:bookmarkStart w:id="9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97">
        <w:r>
          <w:rPr>
            <w:rStyle w:val="Hyperlink"/>
          </w:rPr>
          <w:t xml:space="preserve">https://doi.org/10.1176/appi.ajp.2008.08030366</w:t>
        </w:r>
      </w:hyperlink>
    </w:p>
    <w:bookmarkEnd w:id="98"/>
    <w:bookmarkStart w:id="10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99">
        <w:r>
          <w:rPr>
            <w:rStyle w:val="Hyperlink"/>
          </w:rPr>
          <w:t xml:space="preserve">https://doi.org/10.1007/s10826-018-1272-4</w:t>
        </w:r>
      </w:hyperlink>
    </w:p>
    <w:bookmarkEnd w:id="100"/>
    <w:bookmarkStart w:id="1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1">
        <w:r>
          <w:rPr>
            <w:rStyle w:val="Hyperlink"/>
          </w:rPr>
          <w:t xml:space="preserve">https://doi.org/10.1111/j.1467-9507.2008.00480.x</w:t>
        </w:r>
      </w:hyperlink>
    </w:p>
    <w:bookmarkEnd w:id="102"/>
    <w:bookmarkStart w:id="1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03">
        <w:r>
          <w:rPr>
            <w:rStyle w:val="Hyperlink"/>
          </w:rPr>
          <w:t xml:space="preserve">https://doi.org/10.1017/S0954579408000333</w:t>
        </w:r>
      </w:hyperlink>
    </w:p>
    <w:bookmarkEnd w:id="104"/>
    <w:bookmarkStart w:id="10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05">
        <w:r>
          <w:rPr>
            <w:rStyle w:val="Hyperlink"/>
          </w:rPr>
          <w:t xml:space="preserve">https://doi.org/10.1371/journal.pone.0063109</w:t>
        </w:r>
      </w:hyperlink>
    </w:p>
    <w:bookmarkEnd w:id="106"/>
    <w:bookmarkStart w:id="10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07">
        <w:r>
          <w:rPr>
            <w:rStyle w:val="Hyperlink"/>
          </w:rPr>
          <w:t xml:space="preserve">https://doi.org/10.1037/0022-006X.61.6.911</w:t>
        </w:r>
      </w:hyperlink>
    </w:p>
    <w:bookmarkEnd w:id="108"/>
    <w:bookmarkStart w:id="11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09">
        <w:r>
          <w:rPr>
            <w:rStyle w:val="Hyperlink"/>
          </w:rPr>
          <w:t xml:space="preserve">https://doi.org/10.1111/desc.70216</w:t>
        </w:r>
      </w:hyperlink>
    </w:p>
    <w:bookmarkEnd w:id="110"/>
    <w:bookmarkStart w:id="11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1">
        <w:r>
          <w:rPr>
            <w:rStyle w:val="Hyperlink"/>
          </w:rPr>
          <w:t xml:space="preserve">https://doi.org/10.1037/dev0001657</w:t>
        </w:r>
      </w:hyperlink>
    </w:p>
    <w:bookmarkEnd w:id="112"/>
    <w:bookmarkStart w:id="11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13">
        <w:r>
          <w:rPr>
            <w:rStyle w:val="Hyperlink"/>
          </w:rPr>
          <w:t xml:space="preserve">https://doi.org/10.1016/j.dr.2020.100935</w:t>
        </w:r>
      </w:hyperlink>
    </w:p>
    <w:bookmarkEnd w:id="114"/>
    <w:bookmarkStart w:id="11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p>
    <w:bookmarkEnd w:id="115"/>
    <w:bookmarkStart w:id="11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16">
        <w:r>
          <w:rPr>
            <w:rStyle w:val="Hyperlink"/>
          </w:rPr>
          <w:t xml:space="preserve">https://doi.org/10.1111/cdev.13433</w:t>
        </w:r>
      </w:hyperlink>
    </w:p>
    <w:bookmarkEnd w:id="117"/>
    <w:bookmarkStart w:id="11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18">
        <w:r>
          <w:rPr>
            <w:rStyle w:val="Hyperlink"/>
          </w:rPr>
          <w:t xml:space="preserve">https://doi.org/10.1037/dev0000449</w:t>
        </w:r>
      </w:hyperlink>
    </w:p>
    <w:bookmarkEnd w:id="119"/>
    <w:bookmarkStart w:id="12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0">
        <w:r>
          <w:rPr>
            <w:rStyle w:val="Hyperlink"/>
          </w:rPr>
          <w:t xml:space="preserve">https://doi.org/10.1111/j.1469-7610.2006.01614.x</w:t>
        </w:r>
      </w:hyperlink>
    </w:p>
    <w:bookmarkEnd w:id="121"/>
    <w:bookmarkStart w:id="12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22">
        <w:r>
          <w:rPr>
            <w:rStyle w:val="Hyperlink"/>
          </w:rPr>
          <w:t xml:space="preserve">https://doi.org/10.1086/269270</w:t>
        </w:r>
      </w:hyperlink>
    </w:p>
    <w:bookmarkEnd w:id="123"/>
    <w:bookmarkStart w:id="12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24">
        <w:r>
          <w:rPr>
            <w:rStyle w:val="Hyperlink"/>
          </w:rPr>
          <w:t xml:space="preserve">https://doi.org/10.1037/0003-066X.54.2.93</w:t>
        </w:r>
      </w:hyperlink>
    </w:p>
    <w:bookmarkEnd w:id="125"/>
    <w:bookmarkStart w:id="1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26"/>
    <w:bookmarkStart w:id="1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27">
        <w:r>
          <w:rPr>
            <w:rStyle w:val="Hyperlink"/>
          </w:rPr>
          <w:t xml:space="preserve">https://doi.org/10.1017/S0954579407070174</w:t>
        </w:r>
      </w:hyperlink>
    </w:p>
    <w:bookmarkEnd w:id="128"/>
    <w:bookmarkStart w:id="130"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29">
        <w:r>
          <w:rPr>
            <w:rStyle w:val="Hyperlink"/>
          </w:rPr>
          <w:t xml:space="preserve">https://doi.org/10.1038/s44220-023-00057-5</w:t>
        </w:r>
      </w:hyperlink>
    </w:p>
    <w:bookmarkEnd w:id="130"/>
    <w:bookmarkStart w:id="13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31">
        <w:r>
          <w:rPr>
            <w:rStyle w:val="Hyperlink"/>
          </w:rPr>
          <w:t xml:space="preserve">https://doi.org/10.1080/15374416.2018.1561296</w:t>
        </w:r>
      </w:hyperlink>
    </w:p>
    <w:bookmarkEnd w:id="132"/>
    <w:bookmarkStart w:id="13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33">
        <w:r>
          <w:rPr>
            <w:rStyle w:val="Hyperlink"/>
          </w:rPr>
          <w:t xml:space="preserve">https://doi.org/10.1016/j.dr.2008.01.001</w:t>
        </w:r>
      </w:hyperlink>
    </w:p>
    <w:bookmarkEnd w:id="134"/>
    <w:bookmarkStart w:id="13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35">
        <w:r>
          <w:rPr>
            <w:rStyle w:val="Hyperlink"/>
          </w:rPr>
          <w:t xml:space="preserve">https://doi.org/10.1017/S0954579403000221</w:t>
        </w:r>
      </w:hyperlink>
    </w:p>
    <w:bookmarkEnd w:id="136"/>
    <w:bookmarkStart w:id="13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37">
        <w:r>
          <w:rPr>
            <w:rStyle w:val="Hyperlink"/>
          </w:rPr>
          <w:t xml:space="preserve">https://icd.who.int</w:t>
        </w:r>
      </w:hyperlink>
    </w:p>
    <w:bookmarkEnd w:id="138"/>
    <w:bookmarkEnd w:id="139"/>
    <w:p>
      <w:r>
        <w:br w:type="page"/>
      </w:r>
    </w:p>
    <w:bookmarkEnd w:id="140"/>
    <w:p>
      <w:pPr>
        <w:pStyle w:val="Heading1"/>
      </w:pPr>
      <w:r>
        <w:t xml:space="preserve">Appendix A</w:t>
      </w:r>
    </w:p>
    <w:bookmarkStart w:id="141" w:name="apx-a"/>
    <w:p>
      <w:pPr>
        <w:pStyle w:val="Heading1"/>
      </w:pPr>
      <w:r>
        <w:t xml:space="preserve">This Section Is an Appendix</w:t>
      </w:r>
    </w:p>
    <w:p>
      <w:r>
        <w:br w:type="page"/>
      </w:r>
    </w:p>
    <w:bookmarkEnd w:id="141"/>
    <w:p>
      <w:pPr>
        <w:pStyle w:val="Heading1"/>
      </w:pPr>
      <w:r>
        <w:t xml:space="preserve">Appendix B</w:t>
      </w:r>
    </w:p>
    <w:bookmarkStart w:id="142" w:name="apx-b"/>
    <w:p>
      <w:pPr>
        <w:pStyle w:val="Heading1"/>
      </w:pPr>
      <w:r>
        <w:t xml:space="preserve">Another Appendix</w:t>
      </w:r>
    </w:p>
    <w:bookmarkEnd w:id="14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0" Target="media/rId60.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3"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5"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29" Target="https://doi.org/10.1038/s44220-023-00057-5" TargetMode="External" /><Relationship Type="http://schemas.openxmlformats.org/officeDocument/2006/relationships/hyperlink" Id="rId131"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7"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jcv2.70043" TargetMode="External" /><Relationship Type="http://schemas.openxmlformats.org/officeDocument/2006/relationships/hyperlink" Id="rId95" Target="https://doi.org/10.1007/s00234-020-02562-1" TargetMode="External" /><Relationship Type="http://schemas.openxmlformats.org/officeDocument/2006/relationships/hyperlink" Id="rId88" Target="https://doi.org/10.1007/s10802-012-9669-9" TargetMode="External" /><Relationship Type="http://schemas.openxmlformats.org/officeDocument/2006/relationships/hyperlink" Id="rId99" Target="https://doi.org/10.1007/s10826-018-1272-4" TargetMode="External" /><Relationship Type="http://schemas.openxmlformats.org/officeDocument/2006/relationships/hyperlink" Id="rId9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3" Target="https://doi.org/10.1016/j.dr.2008.01.001" TargetMode="External" /><Relationship Type="http://schemas.openxmlformats.org/officeDocument/2006/relationships/hyperlink" Id="rId113"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35" Target="https://doi.org/10.1017/S0954579403000221" TargetMode="External" /><Relationship Type="http://schemas.openxmlformats.org/officeDocument/2006/relationships/hyperlink" Id="rId127" Target="https://doi.org/10.1017/S0954579407070174" TargetMode="External" /><Relationship Type="http://schemas.openxmlformats.org/officeDocument/2006/relationships/hyperlink" Id="rId103" Target="https://doi.org/10.1017/S0954579408000333" TargetMode="External" /><Relationship Type="http://schemas.openxmlformats.org/officeDocument/2006/relationships/hyperlink" Id="rId124" Target="https://doi.org/10.1037/0003-066X.54.2.93" TargetMode="External" /><Relationship Type="http://schemas.openxmlformats.org/officeDocument/2006/relationships/hyperlink" Id="rId107" Target="https://doi.org/10.1037/0022-006X.61.6.911" TargetMode="External" /><Relationship Type="http://schemas.openxmlformats.org/officeDocument/2006/relationships/hyperlink" Id="rId93" Target="https://doi.org/10.1037/0022-006X.70.1.6" TargetMode="External" /><Relationship Type="http://schemas.openxmlformats.org/officeDocument/2006/relationships/hyperlink" Id="rId118" Target="https://doi.org/10.1037/dev0000449" TargetMode="External" /><Relationship Type="http://schemas.openxmlformats.org/officeDocument/2006/relationships/hyperlink" Id="rId111" Target="https://doi.org/10.1037/dev0001657" TargetMode="External" /><Relationship Type="http://schemas.openxmlformats.org/officeDocument/2006/relationships/hyperlink" Id="rId129" Target="https://doi.org/10.1038/s44220-023-00057-5" TargetMode="External" /><Relationship Type="http://schemas.openxmlformats.org/officeDocument/2006/relationships/hyperlink" Id="rId131" Target="https://doi.org/10.1080/15374416.2018.1561296" TargetMode="External" /><Relationship Type="http://schemas.openxmlformats.org/officeDocument/2006/relationships/hyperlink" Id="rId122" Target="https://doi.org/10.1086/269270" TargetMode="External" /><Relationship Type="http://schemas.openxmlformats.org/officeDocument/2006/relationships/hyperlink" Id="rId116" Target="https://doi.org/10.1111/cdev.13433" TargetMode="External" /><Relationship Type="http://schemas.openxmlformats.org/officeDocument/2006/relationships/hyperlink" Id="rId109" Target="https://doi.org/10.1111/desc.70216" TargetMode="External" /><Relationship Type="http://schemas.openxmlformats.org/officeDocument/2006/relationships/hyperlink" Id="rId101" Target="https://doi.org/10.1111/j.1467-9507.2008.00480.x" TargetMode="External" /><Relationship Type="http://schemas.openxmlformats.org/officeDocument/2006/relationships/hyperlink" Id="rId120" Target="https://doi.org/10.1111/j.1469-7610.2006.01614.x" TargetMode="External" /><Relationship Type="http://schemas.openxmlformats.org/officeDocument/2006/relationships/hyperlink" Id="rId97" Target="https://doi.org/10.1176/appi.ajp.2008.08030366" TargetMode="External" /><Relationship Type="http://schemas.openxmlformats.org/officeDocument/2006/relationships/hyperlink" Id="rId10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37"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2026-05-29T21:28:34Z</dcterms:created>
  <dcterms:modified xsi:type="dcterms:W3CDTF">2026-05-29T21:28:34Z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3473</vt:lpwstr>
  </property>
  <property fmtid="{D5CDD505-2E9C-101B-9397-08002B2CF9AE}" pid="83" name="zerocitations">
    <vt:lpwstr>False</vt:lpwstr>
  </property>
</Properties>
</file>