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jpg" ContentType="image/jpeg"/>
  <Override PartName="/word/media/rId42.jpg" ContentType="image/jpeg"/>
  <Override PartName="/word/media/rId61.png" ContentType="image/png"/>
  <Override PartName="/word/media/rId120.png" ContentType="image/png"/>
  <Override PartName="/word/media/rId87.png" ContentType="image/png"/>
  <Override PartName="/word/media/rId104.png" ContentType="image/png"/>
  <Override PartName="/word/media/rId53.png" ContentType="image/png"/>
  <Override PartName="/word/media/rId97.jpg" ContentType="image/jpeg"/>
  <Override PartName="/word/media/rId114.png" ContentType="image/png"/>
  <Override PartName="/word/media/rId57.png" ContentType="image/png"/>
  <Override PartName="/word/media/rId127.png" ContentType="image/png"/>
  <Override PartName="/word/media/rId23.svg" ContentType="image/svg+xml"/>
  <Override PartName="/word/media/rId80.png" ContentType="image/png"/>
  <Override PartName="/word/media/rId69.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68"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52" w:name="fig-lifespanCognitiveTrajectories"/>
    <w:bookmarkStart w:id="45" w:name="Xd1e55b3d5b5f80dd51bcf661355a8795db0a2fa"/>
    <w:p>
      <w:pPr>
        <w:pStyle w:val="FigureWithoutNote"/>
      </w:pPr>
      <w:r>
        <w:t xml:space="preserve">(A) Hypothetical Models for Different Cognitive Trajectories of Aging</w:t>
      </w:r>
    </w:p>
    <w:p>
      <w:pPr>
        <w:pStyle w:val="FigureWithoutNote"/>
      </w:pPr>
      <w:r>
        <w:drawing>
          <wp:inline>
            <wp:extent cx="3154680" cy="2120646"/>
            <wp:effectExtent b="0" l="0" r="0" t="0"/>
            <wp:docPr descr=""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3154680" cy="2120646"/>
                    </a:xfrm>
                    <a:prstGeom prst="rect">
                      <a:avLst/>
                    </a:prstGeom>
                    <a:noFill/>
                    <a:ln w="9525">
                      <a:noFill/>
                      <a:headEnd/>
                      <a:tailEnd/>
                    </a:ln>
                  </pic:spPr>
                </pic:pic>
              </a:graphicData>
            </a:graphic>
          </wp:inline>
        </w:drawing>
      </w:r>
    </w:p>
    <w:bookmarkEnd w:id="45"/>
    <w:p>
      <w:pPr>
        <w:framePr w:w="0" w:h="0" w:vAnchor="margin" w:hAnchor="margin" w:xAlign="right" w:yAlign="top"/>
      </w:pPr>
    </w:p>
    <w:bookmarkStart w:id="49" w:name="X736eba663f16445ceb4e3c4439392c2fce09d7e"/>
    <w:p>
      <w:pPr>
        <w:pStyle w:val="FigureWithoutNote"/>
      </w:pPr>
      <w:r>
        <w:t xml:space="preserve">(B) Theoretical Illustration of Inter-Individual Variability in Cognitive Aging Trajectories</w:t>
      </w:r>
    </w:p>
    <w:p>
      <w:pPr>
        <w:pStyle w:val="FigureWithoutNote"/>
      </w:pPr>
      <w:r>
        <w:drawing>
          <wp:inline>
            <wp:extent cx="3154680" cy="2358904"/>
            <wp:effectExtent b="0" l="0" r="0" t="0"/>
            <wp:docPr descr="" title="" id="47" name="Picture"/>
            <a:graphic>
              <a:graphicData uri="http://schemas.openxmlformats.org/drawingml/2006/picture">
                <pic:pic>
                  <pic:nvPicPr>
                    <pic:cNvPr descr="Figures/Abrous2026_figure1.jpg" id="48" name="Picture"/>
                    <pic:cNvPicPr>
                      <a:picLocks noChangeArrowheads="1" noChangeAspect="1"/>
                    </pic:cNvPicPr>
                  </pic:nvPicPr>
                  <pic:blipFill>
                    <a:blip r:embed="rId46"/>
                    <a:stretch>
                      <a:fillRect/>
                    </a:stretch>
                  </pic:blipFill>
                  <pic:spPr bwMode="auto">
                    <a:xfrm>
                      <a:off x="0" y="0"/>
                      <a:ext cx="3154680" cy="2358904"/>
                    </a:xfrm>
                    <a:prstGeom prst="rect">
                      <a:avLst/>
                    </a:prstGeom>
                    <a:noFill/>
                    <a:ln w="9525">
                      <a:noFill/>
                      <a:headEnd/>
                      <a:tailEnd/>
                    </a:ln>
                  </pic:spPr>
                </pic:pic>
              </a:graphicData>
            </a:graphic>
          </wp:inline>
        </w:drawing>
      </w:r>
    </w:p>
    <w:bookmarkEnd w:id="49"/>
    <w:p>
      <w:pPr>
        <w:pStyle w:val="FigureTitle"/>
      </w:pPr>
      <w:r>
        <w:t xml:space="preserve">Figure 1</w:t>
      </w:r>
    </w:p>
    <w:p>
      <w:pPr>
        <w:pStyle w:val="Caption"/>
      </w:pPr>
      <w:r>
        <w:rPr>
          <w:b/>
          <w:bCs/>
        </w:rPr>
        <w:t xml:space="preserve">Panel A</w:t>
      </w:r>
      <w:r>
        <w:t xml:space="preserve">: Hypothetical models for different cognitive trajectories of aging.</w:t>
      </w:r>
      <w:r>
        <w:t xml:space="preserve"> </w:t>
      </w:r>
      <w:r>
        <w:t xml:space="preserve">MCI = mild cognitive impairment.</w:t>
      </w:r>
      <w:r>
        <w:t xml:space="preserve"> </w:t>
      </w:r>
      <w:r>
        <w:t xml:space="preserve">(Figure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r>
        <w:t xml:space="preserve">)</w:t>
      </w:r>
    </w:p>
    <w:bookmarkEnd w:id="52"/>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ageCrimeCurve">
        <w:r>
          <w:rPr>
            <w:rStyle w:val="Hyperlink"/>
          </w:rPr>
          <w:t xml:space="preserve">Figure 2A</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developmentalTaxonomy">
        <w:r>
          <w:rPr>
            <w:rStyle w:val="Hyperlink"/>
          </w:rPr>
          <w:t xml:space="preserve">Figure 2B</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Trajectories">
        <w:r>
          <w:rPr>
            <w:rStyle w:val="Hyperlink"/>
          </w:rPr>
          <w:t xml:space="preserve">Figure 2C</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67" w:name="fig-externalizingByAge"/>
    <w:bookmarkStart w:id="56" w:name="fig-ageCrimeCurve"/>
    <w:p>
      <w:pPr>
        <w:pStyle w:val="FigureWithoutNote"/>
      </w:pPr>
      <w:r>
        <w:t xml:space="preserve">(A) Age-Crime Curve (Among Those Who Have a Record of Antisocial or Criminal Behavior)</w:t>
      </w:r>
    </w:p>
    <w:p>
      <w:pPr>
        <w:pStyle w:val="FigureWithoutNote"/>
      </w:pPr>
      <w:r>
        <w:drawing>
          <wp:inline>
            <wp:extent cx="5943600" cy="2974892"/>
            <wp:effectExtent b="0" l="0" r="0" t="0"/>
            <wp:docPr descr="" title="" id="54" name="Picture"/>
            <a:graphic>
              <a:graphicData uri="http://schemas.openxmlformats.org/drawingml/2006/picture">
                <pic:pic>
                  <pic:nvPicPr>
                    <pic:cNvPr descr="Figures/Sivertsson2024_figure1.png" id="55" name="Picture"/>
                    <pic:cNvPicPr>
                      <a:picLocks noChangeArrowheads="1" noChangeAspect="1"/>
                    </pic:cNvPicPr>
                  </pic:nvPicPr>
                  <pic:blipFill>
                    <a:blip r:embed="rId53"/>
                    <a:stretch>
                      <a:fillRect/>
                    </a:stretch>
                  </pic:blipFill>
                  <pic:spPr bwMode="auto">
                    <a:xfrm>
                      <a:off x="0" y="0"/>
                      <a:ext cx="5943600" cy="2974892"/>
                    </a:xfrm>
                    <a:prstGeom prst="rect">
                      <a:avLst/>
                    </a:prstGeom>
                    <a:noFill/>
                    <a:ln w="9525">
                      <a:noFill/>
                      <a:headEnd/>
                      <a:tailEnd/>
                    </a:ln>
                  </pic:spPr>
                </pic:pic>
              </a:graphicData>
            </a:graphic>
          </wp:inline>
        </w:drawing>
      </w:r>
    </w:p>
    <w:bookmarkEnd w:id="56"/>
    <w:p>
      <w:pPr>
        <w:framePr w:w="0" w:h="0" w:vAnchor="margin" w:hAnchor="margin" w:xAlign="right" w:yAlign="top"/>
      </w:pPr>
    </w:p>
    <w:bookmarkStart w:id="60" w:name="fig-developmentalTaxonomy"/>
    <w:p>
      <w:pPr>
        <w:pStyle w:val="FigureWithoutNote"/>
      </w:pPr>
      <w:r>
        <w:t xml:space="preserve">(B)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outNote"/>
      </w:pPr>
      <w:r>
        <w:drawing>
          <wp:inline>
            <wp:extent cx="2971800" cy="1443538"/>
            <wp:effectExtent b="0" l="0" r="0" t="0"/>
            <wp:docPr descr="" title="" id="58" name="Picture"/>
            <a:graphic>
              <a:graphicData uri="http://schemas.openxmlformats.org/drawingml/2006/picture">
                <pic:pic>
                  <pic:nvPicPr>
                    <pic:cNvPr descr="Figures/developmentalTaxonomy.png" id="59" name="Picture"/>
                    <pic:cNvPicPr>
                      <a:picLocks noChangeArrowheads="1" noChangeAspect="1"/>
                    </pic:cNvPicPr>
                  </pic:nvPicPr>
                  <pic:blipFill>
                    <a:blip r:embed="rId57"/>
                    <a:stretch>
                      <a:fillRect/>
                    </a:stretch>
                  </pic:blipFill>
                  <pic:spPr bwMode="auto">
                    <a:xfrm>
                      <a:off x="0" y="0"/>
                      <a:ext cx="2971800" cy="1443538"/>
                    </a:xfrm>
                    <a:prstGeom prst="rect">
                      <a:avLst/>
                    </a:prstGeom>
                    <a:noFill/>
                    <a:ln w="9525">
                      <a:noFill/>
                      <a:headEnd/>
                      <a:tailEnd/>
                    </a:ln>
                  </pic:spPr>
                </pic:pic>
              </a:graphicData>
            </a:graphic>
          </wp:inline>
        </w:drawing>
      </w:r>
    </w:p>
    <w:bookmarkEnd w:id="60"/>
    <w:p>
      <w:pPr>
        <w:framePr w:w="0" w:h="0" w:vAnchor="margin" w:hAnchor="margin" w:xAlign="right" w:yAlign="top"/>
      </w:pPr>
    </w:p>
    <w:bookmarkStart w:id="64" w:name="fig-extTrajectories"/>
    <w:p>
      <w:pPr>
        <w:pStyle w:val="FigureWithoutNote"/>
      </w:pPr>
      <w:r>
        <w:t xml:space="preserve">(C) Heterogeneity of Individuals’ Trajectories of Externalizing Behavior.</w:t>
      </w:r>
    </w:p>
    <w:p>
      <w:pPr>
        <w:pStyle w:val="FigureWithoutNote"/>
      </w:pPr>
      <w:r>
        <w:drawing>
          <wp:inline>
            <wp:extent cx="2971800" cy="2228850"/>
            <wp:effectExtent b="0" l="0" r="0" t="0"/>
            <wp:docPr descr="" title="" id="62" name="Picture"/>
            <a:graphic>
              <a:graphicData uri="http://schemas.openxmlformats.org/drawingml/2006/picture">
                <pic:pic>
                  <pic:nvPicPr>
                    <pic:cNvPr descr="Figures/Petersen2015_adapted.png" id="63" name="Picture"/>
                    <pic:cNvPicPr>
                      <a:picLocks noChangeArrowheads="1" noChangeAspect="1"/>
                    </pic:cNvPicPr>
                  </pic:nvPicPr>
                  <pic:blipFill>
                    <a:blip r:embed="rId61"/>
                    <a:stretch>
                      <a:fillRect/>
                    </a:stretch>
                  </pic:blipFill>
                  <pic:spPr bwMode="auto">
                    <a:xfrm>
                      <a:off x="0" y="0"/>
                      <a:ext cx="2971800" cy="2228850"/>
                    </a:xfrm>
                    <a:prstGeom prst="rect">
                      <a:avLst/>
                    </a:prstGeom>
                    <a:noFill/>
                    <a:ln w="9525">
                      <a:noFill/>
                      <a:headEnd/>
                      <a:tailEnd/>
                    </a:ln>
                  </pic:spPr>
                </pic:pic>
              </a:graphicData>
            </a:graphic>
          </wp:inline>
        </w:drawing>
      </w:r>
    </w:p>
    <w:bookmarkEnd w:id="64"/>
    <w:p>
      <w:pPr>
        <w:pStyle w:val="FigureTitle"/>
      </w:pPr>
      <w:r>
        <w:t xml:space="preserve">Figure 2</w:t>
      </w:r>
    </w:p>
    <w:p>
      <w:pPr>
        <w:pStyle w:val="Caption"/>
      </w:pP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records.</w:t>
      </w:r>
      <w:r>
        <w:t xml:space="preserve"> </w:t>
      </w:r>
      <w:r>
        <w:t xml:space="preserve">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w:t>
      </w:r>
      <w:r>
        <w:t xml:space="preserve"> </w:t>
      </w:r>
      <w:r>
        <w:t xml:space="preserve">(Figure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r>
        <w:t xml:space="preserve">).</w:t>
      </w:r>
      <w:r>
        <w:t xml:space="preserve"> </w:t>
      </w: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w:t>
      </w:r>
      <w:r>
        <w:t xml:space="preserve"> </w:t>
      </w:r>
      <w:r>
        <w:t xml:space="preserve">Average trajectory in red.</w:t>
      </w:r>
      <w:r>
        <w:t xml:space="preserve"> </w:t>
      </w:r>
      <w:r>
        <w:t xml:space="preserve">(Figure adapted from</w:t>
      </w:r>
      <w:r>
        <w:t xml:space="preserve"> </w:t>
      </w:r>
      <w:r>
        <w:t xml:space="preserve">Petersen et al. (</w:t>
      </w:r>
      <w:hyperlink w:anchor="ref-Petersen2015">
        <w:r>
          <w:rPr>
            <w:rStyle w:val="Hyperlink"/>
          </w:rPr>
          <w:t xml:space="preserve">2015</w:t>
        </w:r>
      </w:hyperlink>
      <w:r>
        <w:t xml:space="preserve">)</w:t>
      </w:r>
      <w:r>
        <w:t xml:space="preserve">, Figure 2,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r>
        <w:t xml:space="preserve">).</w:t>
      </w:r>
    </w:p>
    <w:bookmarkEnd w:id="67"/>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68"/>
    <w:bookmarkStart w:id="86"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72" w:name="fig-longitudinalstudies"/>
    <w:p>
      <w:pPr>
        <w:pStyle w:val="FigureTitle"/>
      </w:pPr>
      <w:r>
        <w:t xml:space="preserve">Figure 3</w:t>
      </w:r>
    </w:p>
    <w:p>
      <w:pPr>
        <w:pStyle w:val="Caption"/>
      </w:pPr>
      <w:r>
        <w:t xml:space="preserve">(Approximate) ages spanned by various lengthy longitudinal studies, as of this writing. The list of longitudinal studies is not exhaustive. Studies that are no longer active are shown in gray. Studies that used developmental scaling to harmonize scores across ages (i.e., to link scores across ages onto the same scale) are in green.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some participants. A star at age 0 represents that participants were enrolled before birth and the study included prenatal assessments. Ages spanned reflect ages when assessments were collected directly from participants; ages spanned do not include links to registry data (e.g., birth records, offending records). Age was truncated at 100; thus, age 100 indicates that participants were followed into their 90s (or until death).</w:t>
      </w:r>
    </w:p>
    <w:p>
      <w:pPr>
        <w:pStyle w:val="FigureWithoutNote"/>
      </w:pPr>
      <w:r>
        <w:drawing>
          <wp:inline>
            <wp:extent cx="5943600" cy="6792685"/>
            <wp:effectExtent b="0" l="0" r="0" t="0"/>
            <wp:docPr descr="" title="" id="70" name="Picture"/>
            <a:graphic>
              <a:graphicData uri="http://schemas.openxmlformats.org/drawingml/2006/picture">
                <pic:pic>
                  <pic:nvPicPr>
                    <pic:cNvPr descr="index_files/figure-docx/notebooks-analyses-fig-longitudinalstudies-output-1.png" id="71" name="Picture"/>
                    <pic:cNvPicPr>
                      <a:picLocks noChangeArrowheads="1" noChangeAspect="1"/>
                    </pic:cNvPicPr>
                  </pic:nvPicPr>
                  <pic:blipFill>
                    <a:blip r:embed="rId69"/>
                    <a:stretch>
                      <a:fillRect/>
                    </a:stretch>
                  </pic:blipFill>
                  <pic:spPr bwMode="auto">
                    <a:xfrm>
                      <a:off x="0" y="0"/>
                      <a:ext cx="5943600" cy="6792685"/>
                    </a:xfrm>
                    <a:prstGeom prst="rect">
                      <a:avLst/>
                    </a:prstGeom>
                    <a:noFill/>
                    <a:ln w="9525">
                      <a:noFill/>
                      <a:headEnd/>
                      <a:tailEnd/>
                    </a:ln>
                  </pic:spPr>
                </pic:pic>
              </a:graphicData>
            </a:graphic>
          </wp:inline>
        </w:drawing>
      </w:r>
    </w:p>
    <w:bookmarkEnd w:id="72"/>
    <w:p>
      <w:pPr>
        <w:pStyle w:val="FigureWithoutNote"/>
      </w:pPr>
      <w:r>
        <w:rPr>
          <w:vertAlign w:val="subscript"/>
        </w:rPr>
        <w:t xml:space="preserve">Source:</w:t>
      </w:r>
      <w:r>
        <w:rPr>
          <w:vertAlign w:val="subscript"/>
        </w:rPr>
        <w:t xml:space="preserve"> </w:t>
      </w:r>
      <w:hyperlink r:id="rId73">
        <w:r>
          <w:rPr>
            <w:rStyle w:val="Hyperlink"/>
            <w:vertAlign w:val="subscript"/>
          </w:rPr>
          <w:t xml:space="preserve">Analyses</w:t>
        </w:r>
      </w:hyperlink>
    </w:p>
    <w:bookmarkStart w:id="78" w:name="seminal-longitudinal-studies"/>
    <w:p>
      <w:pPr>
        <w:pStyle w:val="Heading2"/>
      </w:pPr>
      <w:r>
        <w:t xml:space="preserve">Seminal Longitudinal Studies</w:t>
      </w:r>
    </w:p>
    <w:bookmarkStart w:id="74"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74"/>
    <w:bookmarkStart w:id="75"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75"/>
    <w:bookmarkStart w:id="76"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76"/>
    <w:bookmarkStart w:id="77"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77"/>
    <w:bookmarkEnd w:id="78"/>
    <w:bookmarkStart w:id="85"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w:t>
      </w:r>
      <w:r>
        <w:t xml:space="preserve"> </w:t>
      </w:r>
      <w:r>
        <w:t xml:space="preserve">(e.g.,</w:t>
      </w:r>
      <w:r>
        <w:t xml:space="preserve"> </w:t>
      </w:r>
      <w:hyperlink w:anchor="ref-Kim2009">
        <w:r>
          <w:rPr>
            <w:rStyle w:val="Hyperlink"/>
          </w:rPr>
          <w:t xml:space="preserve">Kim et al., 2009</w:t>
        </w:r>
      </w:hyperlink>
      <w:r>
        <w:t xml:space="preserve">)</w:t>
      </w:r>
      <w:r>
        <w:t xml:space="preserve">.</w:t>
      </w:r>
      <w:r>
        <w:t xml:space="preserve"> </w:t>
      </w:r>
      <w:r>
        <w:t xml:space="preserve">However, relatively few longitudinal studies attempt to assess people’s</w:t>
      </w:r>
      <w:r>
        <w:t xml:space="preserve"> </w:t>
      </w:r>
      <w:r>
        <w:rPr>
          <w:i/>
          <w:iCs/>
        </w:rPr>
        <w:t xml:space="preserve">change</w:t>
      </w:r>
      <w:r>
        <w:t xml:space="preserve"> </w:t>
      </w:r>
      <w:r>
        <w:t xml:space="preserve">in a given psychopathology construct over a long period.</w:t>
      </w:r>
      <w:r>
        <w:t xml:space="preserve"> </w:t>
      </w:r>
      <w:r>
        <w:t xml:space="preserve">Here, we focus on studies that have examined trajectories of externalizing behavior.</w:t>
      </w:r>
      <w:r>
        <w:rPr>
          <w:rStyle w:val="FootnoteReference"/>
        </w:rPr>
        <w:footnoteReference w:id="79"/>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In the Mannheim Study of Children at Risk,</w:t>
      </w:r>
      <w:r>
        <w:t xml:space="preserve"> </w:t>
      </w:r>
      <w:r>
        <w:t xml:space="preserve">Sacu et al. (</w:t>
      </w:r>
      <w:hyperlink w:anchor="ref-SacuInPress">
        <w:r>
          <w:rPr>
            <w:rStyle w:val="Hyperlink"/>
          </w:rPr>
          <w:t xml:space="preserve">in press</w:t>
        </w:r>
      </w:hyperlink>
      <w:r>
        <w:t xml:space="preserve">)</w:t>
      </w:r>
      <w:r>
        <w:t xml:space="preserve"> </w:t>
      </w:r>
      <w:r>
        <w:t xml:space="preserve">examined trajectories of externalizing behavior from ages 8–33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12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differing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r>
        <w:t xml:space="preserve"> </w:t>
      </w: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w:t>
      </w:r>
      <w:r>
        <w:t xml:space="preserve"> </w:t>
      </w:r>
      <w:r>
        <w:t xml:space="preserve">S. M. Chen and Bauer (</w:t>
      </w:r>
      <w:hyperlink w:anchor="ref-ChenPM">
        <w:r>
          <w:rPr>
            <w:rStyle w:val="Hyperlink"/>
          </w:rPr>
          <w:t xml:space="preserve">in pressb</w:t>
        </w:r>
      </w:hyperlink>
      <w:r>
        <w:t xml:space="preserve">)</w:t>
      </w:r>
      <w:r>
        <w:t xml:space="preserve"> </w:t>
      </w:r>
      <w:r>
        <w:t xml:space="preserve">examined trajectories of delinquency from ages 12–26 with 3 measurement occasions in the National Longitudinal Study of Adolescent to Adult Health (Add Health), and</w:t>
      </w:r>
      <w:r>
        <w:t xml:space="preserve"> </w:t>
      </w:r>
      <w:r>
        <w:t xml:space="preserve">S. M. Chen and Bauer (</w:t>
      </w:r>
      <w:hyperlink w:anchor="ref-ChenMBR">
        <w:r>
          <w:rPr>
            <w:rStyle w:val="Hyperlink"/>
          </w:rPr>
          <w:t xml:space="preserve">in pressa</w:t>
        </w:r>
      </w:hyperlink>
      <w:r>
        <w:t xml:space="preserve">)</w:t>
      </w:r>
      <w:r>
        <w:t xml:space="preserve"> </w:t>
      </w:r>
      <w:r>
        <w:t xml:space="preserve">examined trajectories of externalizing behavior from ages 5–12 with 3 measurement occasions in the National Longitudinal Survey of Youth 1979 Child and Young Adult (NLSCYA).</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83" w:name="fig-longitudinalexternalizingstudies"/>
    <w:p>
      <w:pPr>
        <w:pStyle w:val="FigureTitle"/>
      </w:pPr>
      <w:r>
        <w:t xml:space="preserve">Figure 4</w:t>
      </w:r>
    </w:p>
    <w:p>
      <w:pPr>
        <w:pStyle w:val="Caption"/>
      </w:pPr>
      <w:r>
        <w:t xml:space="preserve">(Approximate) ages spanned by externalizing trajectories in various lengthy longitudinal studies examining individuals’ trajectories of externalizing behavior. The list of longitudinal studies is not exhaustive. Studies that are based on registry data are shown in gray. Measurement occasions are depicted with solid circles. Note that, in some studies, measurement occasions only apply to a subset of participants in that study—in some cases, no participant was assessed at all measurement occasions.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participants.</w:t>
      </w:r>
      <w:r>
        <w:t xml:space="preserve"> </w:t>
      </w:r>
      <w:r>
        <w:t xml:space="preserve">‘MTSFGCLS’</w:t>
      </w:r>
      <w:r>
        <w:t xml:space="preserve"> </w:t>
      </w:r>
      <w:r>
        <w:t xml:space="preserve">= Montreal Two Samples Four Generations Cross-sectional and Longitudinal Studies.</w:t>
      </w:r>
    </w:p>
    <w:p>
      <w:pPr>
        <w:pStyle w:val="FigureWithoutNote"/>
      </w:pPr>
      <w:r>
        <w:drawing>
          <wp:inline>
            <wp:extent cx="5943600" cy="6792685"/>
            <wp:effectExtent b="0" l="0" r="0" t="0"/>
            <wp:docPr descr="" title="" id="81" name="Picture"/>
            <a:graphic>
              <a:graphicData uri="http://schemas.openxmlformats.org/drawingml/2006/picture">
                <pic:pic>
                  <pic:nvPicPr>
                    <pic:cNvPr descr="index_files/figure-docx/notebooks-analyses-fig-longitudinalexternalizingstudies-output-1.png" id="82" name="Picture"/>
                    <pic:cNvPicPr>
                      <a:picLocks noChangeArrowheads="1" noChangeAspect="1"/>
                    </pic:cNvPicPr>
                  </pic:nvPicPr>
                  <pic:blipFill>
                    <a:blip r:embed="rId80"/>
                    <a:stretch>
                      <a:fillRect/>
                    </a:stretch>
                  </pic:blipFill>
                  <pic:spPr bwMode="auto">
                    <a:xfrm>
                      <a:off x="0" y="0"/>
                      <a:ext cx="5943600" cy="6792685"/>
                    </a:xfrm>
                    <a:prstGeom prst="rect">
                      <a:avLst/>
                    </a:prstGeom>
                    <a:noFill/>
                    <a:ln w="9525">
                      <a:noFill/>
                      <a:headEnd/>
                      <a:tailEnd/>
                    </a:ln>
                  </pic:spPr>
                </pic:pic>
              </a:graphicData>
            </a:graphic>
          </wp:inline>
        </w:drawing>
      </w:r>
    </w:p>
    <w:bookmarkEnd w:id="83"/>
    <w:p>
      <w:pPr>
        <w:pStyle w:val="FigureWithoutNote"/>
      </w:pPr>
      <w:r>
        <w:rPr>
          <w:vertAlign w:val="subscript"/>
        </w:rPr>
        <w:t xml:space="preserve">Source:</w:t>
      </w:r>
      <w:r>
        <w:rPr>
          <w:vertAlign w:val="subscript"/>
        </w:rPr>
        <w:t xml:space="preserve"> </w:t>
      </w:r>
      <w:hyperlink r:id="rId84">
        <w:r>
          <w:rPr>
            <w:rStyle w:val="Hyperlink"/>
            <w:vertAlign w:val="subscript"/>
          </w:rPr>
          <w:t xml:space="preserve">Analyses</w:t>
        </w:r>
      </w:hyperlink>
    </w:p>
    <w:p>
      <w:pPr>
        <w:pStyle w:val="AfterWithoutNote"/>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one of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85"/>
    <w:bookmarkEnd w:id="86"/>
    <w:bookmarkStart w:id="113"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95"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w:t>
      </w:r>
      <w:r>
        <w:t xml:space="preserve"> </w:t>
      </w:r>
      <w:r>
        <w:t xml:space="preserve">(</w:t>
      </w:r>
      <w:hyperlink w:anchor="ref-Moffitt1993">
        <w:r>
          <w:rPr>
            <w:rStyle w:val="Hyperlink"/>
          </w:rPr>
          <w:t xml:space="preserve">1993, p. 679</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As depicted in</w:t>
      </w:r>
      <w:r>
        <w:t xml:space="preserve"> </w:t>
      </w:r>
      <w:hyperlink w:anchor="fig-absoluteFrequencyByAge">
        <w:r>
          <w:rPr>
            <w:rStyle w:val="Hyperlink"/>
          </w:rPr>
          <w:t xml:space="preserve">Figure 5</w:t>
        </w:r>
      </w:hyperlink>
      <w:r>
        <w:t xml:space="preserve">, different externalizing behaviors are most common at different developmental periods—even into adulthood, consistent with the notion that externalizing behavior demonstrates heterotypic continuity.</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bookmarkStart w:id="91" w:name="fig-absoluteFrequencyByAge"/>
    <w:p>
      <w:pPr>
        <w:pStyle w:val="FigureWithoutNote"/>
      </w:pPr>
      <w:r>
        <w:t xml:space="preserve">Figure 5</w:t>
      </w:r>
    </w:p>
    <w:p>
      <w:pPr>
        <w:pStyle w:val="FigureWithoutNote"/>
      </w:pPr>
      <w:r>
        <w:drawing>
          <wp:inline>
            <wp:extent cx="5943600" cy="2377440"/>
            <wp:effectExtent b="0" l="0" r="0" t="0"/>
            <wp:docPr descr="Frequency (Per Month) of Engaging in Various Externalizing Behaviors by Age (N = 1,237)" title="" id="88" name="Picture"/>
            <a:graphic>
              <a:graphicData uri="http://schemas.openxmlformats.org/drawingml/2006/picture">
                <pic:pic>
                  <pic:nvPicPr>
                    <pic:cNvPr descr="Figures/Petersen2026_figure1.png" id="89" name="Picture"/>
                    <pic:cNvPicPr>
                      <a:picLocks noChangeArrowheads="1" noChangeAspect="1"/>
                    </pic:cNvPicPr>
                  </pic:nvPicPr>
                  <pic:blipFill>
                    <a:blip r:embed="rId87"/>
                    <a:stretch>
                      <a:fillRect/>
                    </a:stretch>
                  </pic:blipFill>
                  <pic:spPr bwMode="auto">
                    <a:xfrm>
                      <a:off x="0" y="0"/>
                      <a:ext cx="5943600" cy="2377440"/>
                    </a:xfrm>
                    <a:prstGeom prst="rect">
                      <a:avLst/>
                    </a:prstGeom>
                    <a:noFill/>
                    <a:ln w="9525">
                      <a:noFill/>
                      <a:headEnd/>
                      <a:tailEnd/>
                    </a:ln>
                  </pic:spPr>
                </pic:pic>
              </a:graphicData>
            </a:graphic>
          </wp:inline>
        </w:drawing>
      </w:r>
      <w:r>
        <w:t xml:space="preserve">{</w:t>
      </w:r>
      <w:r>
        <w:t xml:space="preserve"> </w:t>
      </w:r>
      <w:r>
        <w:t xml:space="preserve">width=100%</w:t>
      </w:r>
      <w:r>
        <w:t xml:space="preserve"> </w:t>
      </w:r>
      <w:r>
        <w:t xml:space="preserve">fig-alt=</w:t>
      </w:r>
      <w:r>
        <w:t xml:space="preserve">“Frequency (per Month) of Engaging in Various Externalizing Behaviors by Age (</w:t>
      </w:r>
      <w:r>
        <w:rPr>
          <w:i/>
          <w:iCs/>
        </w:rPr>
        <w:t xml:space="preserve">N</w:t>
      </w:r>
      <w:r>
        <w:t xml:space="preserve"> </w:t>
      </w:r>
      <w:r>
        <w:t xml:space="preserve">= 1,237).”</w:t>
      </w:r>
      <w:r>
        <w:t xml:space="preserve"> </w:t>
      </w:r>
      <w:r>
        <w:t xml:space="preserve">apa-note=</w:t>
      </w:r>
      <w:r>
        <w:t xml:space="preserve">“Items are from the Externalizing Spectrum Inventory (ESI), but unlike the True/False ESI, participants rated items on an absolute frequency scale (times per day/week/month/year). The gray band is the 95% confidence interval. The figure demonstrates that different externalizing behaviors are most common at different developmental periods, consistent with heterotypic continuity. As examples, hurting others’ feelings on purpose (left panel) was most common in early adulthood; snapping or raising one’s voice (middle panel) was most common in middle adulthood; getting in power struggles with others (right panel) was most common in older adulthood.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1, p. 301. Petersen, I. T., Demko, Z., Doebler, P., Sabel, L., Oleson, J. J., &amp; Krueger, R. F. (2026). How often is”</w:t>
      </w:r>
      <w:r>
        <w:t xml:space="preserve">often”?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90">
        <w:r>
          <w:rPr>
            <w:rStyle w:val="Hyperlink"/>
          </w:rPr>
          <w:t xml:space="preserve">https://doi.org/10.1037/pas0001441</w:t>
        </w:r>
      </w:hyperlink>
      <w:r>
        <w:t xml:space="preserve">).”</w:t>
      </w:r>
      <w:r>
        <w:t xml:space="preserve"> </w:t>
      </w:r>
      <w:r>
        <w:t xml:space="preserve">}</w:t>
      </w:r>
    </w:p>
    <w:bookmarkEnd w:id="91"/>
    <w:p>
      <w:pPr>
        <w:pStyle w:val="AfterWithoutNote"/>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Tyrell2019">
        <w:r>
          <w:rPr>
            <w:rStyle w:val="Hyperlink"/>
          </w:rPr>
          <w:t xml:space="preserve">Tyrell et al., 2019</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Indeed, fighting is considered to differ in meaning from childhood to adulthood</w:t>
      </w:r>
      <w:r>
        <w:t xml:space="preserve"> </w:t>
      </w:r>
      <w:r>
        <w:t xml:space="preserve">(</w:t>
      </w:r>
      <w:hyperlink w:anchor="ref-Patterson1993">
        <w:r>
          <w:rPr>
            <w:rStyle w:val="Hyperlink"/>
          </w:rPr>
          <w:t xml:space="preserve">Patterson, 1993</w:t>
        </w:r>
      </w:hyperlink>
      <w:r>
        <w:t xml:space="preserve">;</w:t>
      </w:r>
      <w:r>
        <w:t xml:space="preserve"> </w:t>
      </w:r>
      <w:hyperlink w:anchor="ref-Tyrell2019">
        <w:r>
          <w:rPr>
            <w:rStyle w:val="Hyperlink"/>
          </w:rPr>
          <w:t xml:space="preserve">Tyrell et al., 2019</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94"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92"/>
      </w:r>
      <w:r>
        <w:t xml:space="preserve">—the diagnostic criteria do not differ across development, even though diagnostic manuals acknowledge that developmental factors impact symptom presentation</w:t>
      </w:r>
      <w:r>
        <w:rPr>
          <w:rStyle w:val="FootnoteReference"/>
        </w:rPr>
        <w:footnoteReference w:id="93"/>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94"/>
    <w:bookmarkEnd w:id="95"/>
    <w:bookmarkStart w:id="112"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102"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 Moffitt</w:t>
      </w:r>
      <w:r>
        <w:t xml:space="preserve"> </w:t>
      </w:r>
      <w:r>
        <w:t xml:space="preserve">(</w:t>
      </w:r>
      <w:hyperlink w:anchor="ref-Moffitt1993">
        <w:r>
          <w:rPr>
            <w:rStyle w:val="Hyperlink"/>
          </w:rPr>
          <w:t xml:space="preserve">1993, p. 694</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p>
    <w:p>
      <w:pPr>
        <w:pStyle w:val="BodyText"/>
      </w:pPr>
      <w:r>
        <w:t xml:space="preserve">However, measures show insufficient differences in which items are assessed at which ages to account for heterotypic continuity.</w:t>
      </w:r>
      <w:r>
        <w:t xml:space="preserve"> </w:t>
      </w:r>
      <w:r>
        <w:t xml:space="preserve">For example, among the most widely used measures of externalizing problems in research and practice is the Child Behavior Checklist (CBCL).</w:t>
      </w:r>
      <w:r>
        <w:t xml:space="preserve"> </w:t>
      </w:r>
      <w:r>
        <w:t xml:space="preserve">However, the same version of the Child Behavior Checklist (CBCL) spans ages 6–18.</w:t>
      </w:r>
      <w:r>
        <w:t xml:space="preserve"> </w:t>
      </w:r>
      <w:r>
        <w:t xml:space="preserve">Considerable development occurs during that span including key developmental transitions—from childhood to adolescence to emerging adulthood—and the CBCL does not capture such changes.</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6</w:t>
        </w:r>
      </w:hyperlink>
      <w:r>
        <w:t xml:space="preserve">.</w:t>
      </w:r>
      <w:r>
        <w:t xml:space="preserve"> </w:t>
      </w:r>
      <w:r>
        <w:t xml:space="preserve">The</w:t>
      </w:r>
      <w:r>
        <w:t xml:space="preserve"> </w:t>
      </w:r>
      <w:r>
        <w:t xml:space="preserve">“common items”</w:t>
      </w:r>
      <w:r>
        <w:t xml:space="preserve"> </w:t>
      </w:r>
      <w:r>
        <w:t xml:space="preserve">approach removes items that are age specific.</w:t>
      </w:r>
      <w:r>
        <w:rPr>
          <w:rStyle w:val="FootnoteReference"/>
        </w:rPr>
        <w:footnoteReference w:id="96"/>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w:t>
      </w:r>
      <w:r>
        <w:t xml:space="preserve"> </w:t>
      </w:r>
      <w:r>
        <w:t xml:space="preserve">(</w:t>
      </w:r>
      <w:hyperlink w:anchor="ref-Odgers2008">
        <w:r>
          <w:rPr>
            <w:rStyle w:val="Hyperlink"/>
          </w:rPr>
          <w:t xml:space="preserve">2008, p. 676</w:t>
        </w:r>
      </w:hyperlink>
      <w:r>
        <w:t xml:space="preserve">)</w:t>
      </w:r>
      <w:r>
        <w:t xml:space="preserve"> </w:t>
      </w:r>
      <w:r>
        <w:t xml:space="preserve">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w:t>
      </w:r>
      <w:r>
        <w:t xml:space="preserve"> </w:t>
      </w:r>
      <w:r>
        <w:t xml:space="preserve">(</w:t>
      </w:r>
      <w:hyperlink w:anchor="ref-Broeren2013">
        <w:r>
          <w:rPr>
            <w:rStyle w:val="Hyperlink"/>
          </w:rPr>
          <w:t xml:space="preserve">2013, p. 84</w:t>
        </w:r>
      </w:hyperlink>
      <w:r>
        <w:t xml:space="preserve">)</w:t>
      </w:r>
      <w:r>
        <w:t xml:space="preserve"> </w:t>
      </w:r>
      <w:r>
        <w:t xml:space="preserve">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101" w:name="fig-approachesToLongitudinalAssessment"/>
    <w:p>
      <w:pPr>
        <w:pStyle w:val="FigureWithoutNote"/>
      </w:pPr>
      <w:r>
        <w:t xml:space="preserve">Figure 6</w:t>
      </w:r>
    </w:p>
    <w:p>
      <w:pPr>
        <w:pStyle w:val="FigureWithoutNote"/>
      </w:pPr>
      <w:r>
        <w:drawing>
          <wp:inline>
            <wp:extent cx="5943600" cy="2351289"/>
            <wp:effectExtent b="0" l="0" r="0" t="0"/>
            <wp:docPr descr="Approaches to Longitudinal Assessment" title="" id="98" name="Picture"/>
            <a:graphic>
              <a:graphicData uri="http://schemas.openxmlformats.org/drawingml/2006/picture">
                <pic:pic>
                  <pic:nvPicPr>
                    <pic:cNvPr descr="Figures/approachesToLongitudinalAssessment.jpg" id="99" name="Picture"/>
                    <pic:cNvPicPr>
                      <a:picLocks noChangeArrowheads="1" noChangeAspect="1"/>
                    </pic:cNvPicPr>
                  </pic:nvPicPr>
                  <pic:blipFill>
                    <a:blip r:embed="rId97"/>
                    <a:stretch>
                      <a:fillRect/>
                    </a:stretch>
                  </pic:blipFill>
                  <pic:spPr bwMode="auto">
                    <a:xfrm>
                      <a:off x="0" y="0"/>
                      <a:ext cx="5943600" cy="2351289"/>
                    </a:xfrm>
                    <a:prstGeom prst="rect">
                      <a:avLst/>
                    </a:prstGeom>
                    <a:noFill/>
                    <a:ln w="9525">
                      <a:noFill/>
                      <a:headEnd/>
                      <a:tailEnd/>
                    </a:ln>
                  </pic:spPr>
                </pic:pic>
              </a:graphicData>
            </a:graphic>
          </wp:inline>
        </w:drawing>
      </w:r>
      <w:r>
        <w:t xml:space="preserve">{</w:t>
      </w:r>
      <w:r>
        <w:t xml:space="preserve"> </w:t>
      </w:r>
      <w:r>
        <w:t xml:space="preserve">width=100%</w:t>
      </w:r>
      <w:r>
        <w:t xml:space="preserve"> </w:t>
      </w:r>
      <w:r>
        <w:t xml:space="preserve">fig-alt=</w:t>
      </w:r>
      <w:r>
        <w:t xml:space="preserve">“Approaches to Longitudinal Assessment.”</w:t>
      </w:r>
      <w:r>
        <w:t xml:space="preserve"> </w:t>
      </w:r>
      <w:r>
        <w:t xml:space="preserve">apa-note=</w:t>
      </w:r>
      <w:r>
        <w:t xml:space="preserve">“Item set A refers to items that are construct-valid at only timepoint 1 (T1); item set B is construct-valid at both T1 and T2; item set C is construct-valid at only T2. A dash indicates that the item set was not assessed at a given timepoint. A white box indicates invalid assessment in terms of either a content gap (i.e., important missing items) or intrusion (i.e., invalid items at a given timepoint). In a study of externalizing behavior from early childhood to adulthood,”</w:t>
      </w:r>
      <w:r>
        <w:t xml:space="preserve">biting others” may be in item set A;</w:t>
      </w:r>
      <w:r>
        <w:t xml:space="preserve"> </w:t>
      </w:r>
      <w:r>
        <w:t xml:space="preserve">“noncompliant”</w:t>
      </w:r>
      <w:r>
        <w:t xml:space="preserve"> </w:t>
      </w:r>
      <w:r>
        <w:t xml:space="preserve">in B;</w:t>
      </w:r>
      <w:r>
        <w:t xml:space="preserve"> </w:t>
      </w:r>
      <w:r>
        <w:t xml:space="preserve">“drug use”</w:t>
      </w:r>
      <w:r>
        <w:t xml:space="preserve"> </w:t>
      </w:r>
      <w:r>
        <w:t xml:space="preserve">in C. The three approaches are: (1) common items: B at T1 and T2, (2) upward/downward extension: ABC at T1 and T2, or (3) construct-valid items: AB at T1; BC at T2.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 (Figure reprinted from</w:t>
      </w:r>
      <w:r>
        <w:t xml:space="preserve"> </w:t>
      </w:r>
      <w:r>
        <w:t xml:space="preserve">Petersen, Demko, Lee, et al. (</w:t>
      </w:r>
      <w:hyperlink w:anchor="ref-Petersen2026a">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100">
        <w:r>
          <w:rPr>
            <w:rStyle w:val="Hyperlink"/>
          </w:rPr>
          <w:t xml:space="preserve">https://doi.org/10.1016/j.jaacop.2025.10.008</w:t>
        </w:r>
      </w:hyperlink>
      <w:r>
        <w:t xml:space="preserve">).”</w:t>
      </w:r>
      <w:r>
        <w:t xml:space="preserve"> </w:t>
      </w:r>
      <w:r>
        <w:t xml:space="preserve">}</w:t>
      </w:r>
    </w:p>
    <w:bookmarkEnd w:id="101"/>
    <w:p>
      <w:pPr>
        <w:pStyle w:val="AfterWithoutNote"/>
      </w:pP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p>
    <w:p>
      <w:pPr>
        <w:pStyle w:val="BodyText"/>
      </w:pPr>
      <w:r>
        <w:t xml:space="preserve">Due to these problems, both simulation</w:t>
      </w:r>
      <w:r>
        <w:t xml:space="preserve"> </w:t>
      </w:r>
      <w:r>
        <w:t xml:space="preserve">(</w:t>
      </w:r>
      <w:hyperlink w:anchor="ref-Petersen2021a">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p>
      <w:pPr>
        <w:pStyle w:val="BodyText"/>
      </w:pPr>
      <w:r>
        <w:t xml:space="preserve">The problem cannot be solved merely by age-norming.</w:t>
      </w:r>
      <w:r>
        <w:t xml:space="preserve"> </w:t>
      </w:r>
      <w:r>
        <w:t xml:space="preserve">Generating norms from items that are invalid at a given age or from scales that have important content gaps at a given age leads to construct-invalid scores and resulting norms.</w:t>
      </w:r>
      <w:r>
        <w:t xml:space="preserve"> </w:t>
      </w:r>
      <w:r>
        <w:t xml:space="preserve">Moreover, using DSM disorders or diagnoses also does not solve the issue.</w:t>
      </w:r>
      <w:r>
        <w:t xml:space="preserve"> </w:t>
      </w:r>
    </w:p>
    <w:p>
      <w:pPr>
        <w:pStyle w:val="BodyText"/>
      </w:pPr>
      <w:r>
        <w:t xml:space="preserve">In addition, forcing use of the same measure across time naturally limits the ages a study can span, which prevents charting wider age spans.</w:t>
      </w:r>
      <w:r>
        <w:t xml:space="preserve"> </w:t>
      </w:r>
      <w:r>
        <w:t xml:space="preserve">For example, if a researcher used the CBCL and only wanted to study trajectories where the same measure was assessed across ages, they would not be able to examine development from ages 5–6, when there is a change in the CBCL version (i.e., one for ages 1.5–5 and another for ages 6–18).</w:t>
      </w:r>
      <w:r>
        <w:t xml:space="preserve"> </w:t>
      </w:r>
      <w:r>
        <w:t xml:space="preserve"> </w:t>
      </w:r>
    </w:p>
    <w:p>
      <w:pPr>
        <w:pStyle w:val="BodyText"/>
      </w:pPr>
      <w:r>
        <w:t xml:space="preserve">In addition to the behavioral expression of a construct changing across developmental time, the behavioral expression of a construct can also change across historical time.</w:t>
      </w:r>
      <w:r>
        <w:t xml:space="preserve"> </w:t>
      </w:r>
      <w:r>
        <w:t xml:space="preserve">Changes in the behavioral manifestation across historical time can lead existing items and measures to become obsolete and for new items to become relevant.</w:t>
      </w:r>
      <w:r>
        <w:t xml:space="preserve"> </w:t>
      </w:r>
      <w:r>
        <w:t xml:space="preserve">For instance, many measures and longitudinal studies do not assess important contemporary manifestations of externalizing behavior, including aggression on social media and cyberbullying</w:t>
      </w:r>
      <w:r>
        <w:t xml:space="preserve"> </w:t>
      </w:r>
      <w:r>
        <w:t xml:space="preserve">(</w:t>
      </w:r>
      <w:hyperlink w:anchor="ref-Nickerson2026">
        <w:r>
          <w:rPr>
            <w:rStyle w:val="Hyperlink"/>
          </w:rPr>
          <w:t xml:space="preserve">Nickerson &amp; Fredrick, 2026</w:t>
        </w:r>
      </w:hyperlink>
      <w:r>
        <w:t xml:space="preserve">)</w:t>
      </w:r>
      <w:r>
        <w:t xml:space="preserve">.</w:t>
      </w:r>
      <w:r>
        <w:t xml:space="preserve"> </w:t>
      </w:r>
      <w:r>
        <w:t xml:space="preserve">Changes in the behavioral manifestation across historical time provide additional reasons to change the measure by removing no-longer-valid items and by adding newer valid items.</w:t>
      </w:r>
    </w:p>
    <w:p>
      <w:pPr>
        <w:pStyle w:val="BodyText"/>
      </w:pPr>
      <w:r>
        <w:t xml:space="preserve">In sum, many problems arise from using the same measure across ages when the construct changes in behavioral manifestation across development and historical time.</w:t>
      </w:r>
    </w:p>
    <w:bookmarkEnd w:id="102"/>
    <w:bookmarkStart w:id="103"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assessments fail to implement the construct-valid item approach across development—existing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 Kjeldsen et al.</w:t>
      </w:r>
      <w:r>
        <w:t xml:space="preserve"> </w:t>
      </w:r>
      <w:r>
        <w:t xml:space="preserve">(</w:t>
      </w:r>
      <w:hyperlink w:anchor="ref-Kjeldsen2016">
        <w:r>
          <w:rPr>
            <w:rStyle w:val="Hyperlink"/>
          </w:rPr>
          <w:t xml:space="preserve">2016, p. 999</w:t>
        </w:r>
      </w:hyperlink>
      <w:r>
        <w:t xml:space="preserve">)</w:t>
      </w:r>
      <w:r>
        <w:t xml:space="preserve"> </w:t>
      </w:r>
      <w:r>
        <w:t xml:space="preserve">noted in their study,</w:t>
      </w:r>
      <w:r>
        <w:t xml:space="preserve"> </w:t>
      </w:r>
      <w:r>
        <w:t xml:space="preserve">“Due to change in measures and rescaled variables, only relative change across classes can be interpreted and not absolute (developmental) change.”</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In some cases, mean scores and proportion of maximum scores have been used to account for the age-differing measures having different numbers of items</w:t>
      </w:r>
      <w:r>
        <w:t xml:space="preserve"> </w:t>
      </w:r>
      <w:r>
        <w:t xml:space="preserve">(</w:t>
      </w:r>
      <w:hyperlink w:anchor="ref-Owens2003">
        <w:r>
          <w:rPr>
            <w:rStyle w:val="Hyperlink"/>
          </w:rPr>
          <w:t xml:space="preserve">Owens &amp; Shaw, 2003</w:t>
        </w:r>
      </w:hyperlink>
      <w:r>
        <w:t xml:space="preserve">;</w:t>
      </w:r>
      <w:r>
        <w:t xml:space="preserve"> </w:t>
      </w:r>
      <w:hyperlink w:anchor="ref-Petersen2015">
        <w:r>
          <w:rPr>
            <w:rStyle w:val="Hyperlink"/>
          </w:rPr>
          <w:t xml:space="preserve">Petersen et al., 2015</w:t>
        </w:r>
      </w:hyperlink>
      <w:r>
        <w:t xml:space="preserve">;</w:t>
      </w:r>
      <w:r>
        <w:t xml:space="preserve"> </w:t>
      </w:r>
      <w:hyperlink w:anchor="ref-SacuInPress">
        <w:r>
          <w:rPr>
            <w:rStyle w:val="Hyperlink"/>
          </w:rPr>
          <w:t xml:space="preserve">Sacu et al., in press</w:t>
        </w:r>
      </w:hyperlink>
      <w:r>
        <w:t xml:space="preserve">)</w:t>
      </w:r>
      <w:r>
        <w:t xml:space="preserve">.</w:t>
      </w:r>
      <w:r>
        <w:t xml:space="preserve"> </w:t>
      </w:r>
      <w:r>
        <w:t xml:space="preserve">However, such approaches assume that the age-differing measures have the same overall functioning in terms of difficulty and discrimination (described later), which is unlikely.</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r>
        <w:t xml:space="preserve"> </w:t>
      </w:r>
      <w:r>
        <w:t xml:space="preserve">Moreover, it is important for scores across ages to be on the same apples-to-apples scale to be able to compare scores across ages, as would be valuable even in a cross-sectional study that spans a wide age range, as might be found in an epidemiological study.</w:t>
      </w:r>
    </w:p>
    <w:p>
      <w:pPr>
        <w:pStyle w:val="BodyText"/>
      </w:pPr>
      <w:r>
        <w:t xml:space="preserve">There is a misperception that no practical approach exists that can handle different measures across ages or time.</w:t>
      </w:r>
      <w:r>
        <w:t xml:space="preserve"> </w:t>
      </w:r>
      <w:r>
        <w:t xml:space="preserve">Consider the following statement by LeBlanc</w:t>
      </w:r>
      <w:r>
        <w:t xml:space="preserve"> </w:t>
      </w:r>
      <w:r>
        <w:t xml:space="preserve">(</w:t>
      </w:r>
      <w:hyperlink w:anchor="ref-LeBlanc2021">
        <w:r>
          <w:rPr>
            <w:rStyle w:val="Hyperlink"/>
          </w:rPr>
          <w:t xml:space="preserve">2021, p. 15</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p>
    <w:p>
      <w:pPr>
        <w:pStyle w:val="BodyText"/>
      </w:pPr>
      <w:r>
        <w:t xml:space="preserve">The lack of scoring tools to link scores from age-differing assessments leads researchers to restrict the age range of study.</w:t>
      </w:r>
      <w:r>
        <w:t xml:space="preserve"> </w:t>
      </w:r>
      <w:r>
        <w:t xml:space="preserve">For instance, in their study, Bista et al.</w:t>
      </w:r>
      <w:r>
        <w:t xml:space="preserve"> </w:t>
      </w:r>
      <w:r>
        <w:t xml:space="preserve">(</w:t>
      </w:r>
      <w:hyperlink w:anchor="ref-Bista2025">
        <w:r>
          <w:rPr>
            <w:rStyle w:val="Hyperlink"/>
          </w:rPr>
          <w:t xml:space="preserve">2025, p. 179</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p>
    <w:bookmarkEnd w:id="103"/>
    <w:bookmarkStart w:id="110"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 </w:t>
      </w:r>
      <w:r>
        <w:t xml:space="preserve">and insensitivity to change.</w:t>
      </w:r>
      <w:r>
        <w:t xml:space="preserve"> </w:t>
      </w:r>
      <w:r>
        <w:t xml:space="preserve">Items with few discrete response categories tend to show less sensitivity to the full range of individual differences</w:t>
      </w:r>
      <w:r>
        <w:t xml:space="preserve"> </w:t>
      </w:r>
      <w:r>
        <w:t xml:space="preserve">(</w:t>
      </w:r>
      <w:hyperlink w:anchor="ref-Elliott1980">
        <w:r>
          <w:rPr>
            <w:rStyle w:val="Hyperlink"/>
          </w:rPr>
          <w:t xml:space="preserve">Elliott &amp; Ageton, 1980</w:t>
        </w:r>
      </w:hyperlink>
      <w:r>
        <w:t xml:space="preserve">)</w:t>
      </w:r>
      <w:r>
        <w:t xml:space="preserve"> </w:t>
      </w:r>
      <w:r>
        <w:t xml:space="preserve">and less sensitivity to change</w:t>
      </w:r>
      <w:r>
        <w:t xml:space="preserve"> </w:t>
      </w:r>
      <w:r>
        <w:t xml:space="preserve">(i.e., responsiveness;</w:t>
      </w:r>
      <w:r>
        <w:t xml:space="preserve"> </w:t>
      </w:r>
      <w:hyperlink w:anchor="ref-Grant1999">
        <w:r>
          <w:rPr>
            <w:rStyle w:val="Hyperlink"/>
          </w:rPr>
          <w:t xml:space="preserve">Grant et al., 1999</w:t>
        </w:r>
      </w:hyperlink>
      <w:r>
        <w:t xml:space="preserve">)</w:t>
      </w:r>
      <w:r>
        <w:t xml:space="preserve"> </w:t>
      </w:r>
      <w:r>
        <w:t xml:space="preserve">compared to items with more response options that have greater variability in scores.</w:t>
      </w:r>
      <w:r>
        <w:t xml:space="preserve"> </w:t>
      </w:r>
      <w:r>
        <w:t xml:space="preserve">In general, items with more response options yield more information [i.e., greater reduction of uncertainty in estimates of a person’s construct level; though there are diminishing returns when using more than six response options;</w:t>
      </w:r>
      <w:r>
        <w:t xml:space="preserve"> </w:t>
      </w:r>
      <w:r>
        <w:t xml:space="preserve">Culpepper (</w:t>
      </w:r>
      <w:hyperlink w:anchor="ref-Culpepper2013">
        <w:r>
          <w:rPr>
            <w:rStyle w:val="Hyperlink"/>
          </w:rPr>
          <w:t xml:space="preserve">2013</w:t>
        </w:r>
      </w:hyperlink>
      <w:r>
        <w:t xml:space="preserve">)</w:t>
      </w:r>
      <w:r>
        <w:t xml:space="preserve">;</w:t>
      </w:r>
      <w:r>
        <w:t xml:space="preserve"> </w:t>
      </w:r>
      <w:r>
        <w:t xml:space="preserve">Simms et al. (</w:t>
      </w:r>
      <w:hyperlink w:anchor="ref-Simms2019">
        <w:r>
          <w:rPr>
            <w:rStyle w:val="Hyperlink"/>
          </w:rPr>
          <w:t xml:space="preserve">2019</w:t>
        </w:r>
      </w:hyperlink>
      <w:r>
        <w:t xml:space="preserve">)</w:t>
      </w:r>
      <w:r>
        <w:t xml:space="preserve">].</w:t>
      </w:r>
      <w:r>
        <w:t xml:space="preserve"> </w:t>
      </w:r>
      <w:r>
        <w:t xml:space="preserve">Indeed, as depicted in</w:t>
      </w:r>
      <w:r>
        <w:t xml:space="preserve"> </w:t>
      </w:r>
      <w:hyperlink w:anchor="fig-absoluteFrequencyInformation">
        <w:r>
          <w:rPr>
            <w:rStyle w:val="Hyperlink"/>
          </w:rPr>
          <w:t xml:space="preserve">Figure 7</w:t>
        </w:r>
      </w:hyperlink>
      <w:r>
        <w:t xml:space="preserve">, items assessing absolute frequency have been shown to yield more information than dichotomized versions of the same items and than the Achenbach Adult Self-Report, which uses Likert-type response options.</w:t>
      </w:r>
      <w:r>
        <w:t xml:space="preserve"> </w:t>
      </w:r>
      <w:r>
        <w:t xml:space="preserve">In addition, if a respondent implicitly uses the target’s same-aged peers as the normative reference group for determining the relative frequency of a behavior, this could have the implicit effect of resulting in age-normed scores, which works against the goal of detecting change.</w:t>
      </w:r>
      <w:r>
        <w:t xml:space="preserve"> </w:t>
      </w:r>
      <w:r>
        <w:t xml:space="preserve">Moreover, Likert-type scales tend to focus on frequency of misbehavior and ignore intensity and severity.</w:t>
      </w:r>
      <w:r>
        <w:t xml:space="preserve"> </w:t>
      </w:r>
      <w:r>
        <w:t xml:space="preserve">It can be helpful to explicitly assess—and distinguish—frequency versus problematic impact of behavior.</w:t>
      </w:r>
      <w:r>
        <w:t xml:space="preserve"> </w:t>
      </w:r>
      <w:r>
        <w:t xml:space="preserve">Instead of assessing relative frequency, researchers advise assessing absolute frequency of behavior</w:t>
      </w:r>
      <w:r>
        <w:t xml:space="preserve"> </w:t>
      </w:r>
      <w:r>
        <w:t xml:space="preserve">(</w:t>
      </w:r>
      <w:hyperlink w:anchor="ref-Burns2001">
        <w:r>
          <w:rPr>
            <w:rStyle w:val="Hyperlink"/>
          </w:rPr>
          <w:t xml:space="preserve">Burns et al., 2001</w:t>
        </w:r>
      </w:hyperlink>
      <w:r>
        <w:t xml:space="preserve">;</w:t>
      </w:r>
      <w:r>
        <w:t xml:space="preserve"> </w:t>
      </w:r>
      <w:hyperlink w:anchor="ref-Schwarz1999">
        <w:r>
          <w:rPr>
            <w:rStyle w:val="Hyperlink"/>
          </w:rPr>
          <w:t xml:space="preserve">Schwarz, 1999</w:t>
        </w:r>
      </w:hyperlink>
      <w:r>
        <w:t xml:space="preserve">)</w:t>
      </w:r>
      <w:r>
        <w:t xml:space="preserve">—in addition to other aspects of behavior including onset, timing, duration, intensity, function, and resulting impairment.</w:t>
      </w:r>
    </w:p>
    <w:bookmarkStart w:id="107" w:name="fig-absoluteFrequencyInformation"/>
    <w:p>
      <w:pPr>
        <w:pStyle w:val="FigureWithoutNote"/>
      </w:pPr>
      <w:r>
        <w:t xml:space="preserve">Figure 7</w:t>
      </w:r>
    </w:p>
    <w:p>
      <w:pPr>
        <w:pStyle w:val="FigureWithoutNote"/>
      </w:pPr>
      <w:r>
        <w:drawing>
          <wp:inline>
            <wp:extent cx="5943600" cy="3668050"/>
            <wp:effectExtent b="0" l="0" r="0" t="0"/>
            <wp:docPr descr="Test Information Functions of Absolute Frequency Versus Dichotomized Versus Adult Self-Report Items: Test Information as a Function of Theta (θ)" title="" id="105" name="Picture"/>
            <a:graphic>
              <a:graphicData uri="http://schemas.openxmlformats.org/drawingml/2006/picture">
                <pic:pic>
                  <pic:nvPicPr>
                    <pic:cNvPr descr="Figures/Petersen2026_figure4.png" id="106" name="Picture"/>
                    <pic:cNvPicPr>
                      <a:picLocks noChangeArrowheads="1" noChangeAspect="1"/>
                    </pic:cNvPicPr>
                  </pic:nvPicPr>
                  <pic:blipFill>
                    <a:blip r:embed="rId104"/>
                    <a:stretch>
                      <a:fillRect/>
                    </a:stretch>
                  </pic:blipFill>
                  <pic:spPr bwMode="auto">
                    <a:xfrm>
                      <a:off x="0" y="0"/>
                      <a:ext cx="5943600" cy="3668050"/>
                    </a:xfrm>
                    <a:prstGeom prst="rect">
                      <a:avLst/>
                    </a:prstGeom>
                    <a:noFill/>
                    <a:ln w="9525">
                      <a:noFill/>
                      <a:headEnd/>
                      <a:tailEnd/>
                    </a:ln>
                  </pic:spPr>
                </pic:pic>
              </a:graphicData>
            </a:graphic>
          </wp:inline>
        </w:drawing>
      </w:r>
      <w:r>
        <w:t xml:space="preserve">{</w:t>
      </w:r>
      <w:r>
        <w:t xml:space="preserve"> </w:t>
      </w:r>
      <w:r>
        <w:t xml:space="preserve">width=100%</w:t>
      </w:r>
      <w:r>
        <w:t xml:space="preserve"> </w:t>
      </w:r>
      <w:r>
        <w:t xml:space="preserve">fig-alt=</w:t>
      </w:r>
      <w:r>
        <w:t xml:space="preserve">“Test Information Functions of Absolute Frequency Versus Dichotomized Versus Adult Self-Report Items: Test Information as a Function of Theta (θ).”</w:t>
      </w:r>
      <w:r>
        <w:t xml:space="preserve"> </w:t>
      </w:r>
      <w:r>
        <w:t xml:space="preserve">apa-note=“</w:t>
      </w:r>
      <w:r>
        <w:t xml:space="preserve">“Absolute Frequency”</w:t>
      </w:r>
      <w:r>
        <w:t xml:space="preserve"> </w:t>
      </w:r>
      <w:r>
        <w:t xml:space="preserve">refers to count items;</w:t>
      </w:r>
      <w:r>
        <w:t xml:space="preserve"> </w:t>
      </w:r>
      <w:r>
        <w:t xml:space="preserve">“Dichotomized”</w:t>
      </w:r>
      <w:r>
        <w:t xml:space="preserve"> </w:t>
      </w:r>
      <w:r>
        <w:t xml:space="preserve">refers to dichotomized versions of the count items;</w:t>
      </w:r>
      <w:r>
        <w:t xml:space="preserve"> </w:t>
      </w:r>
      <w:r>
        <w:t xml:space="preserve">“Adult Self-Report”</w:t>
      </w:r>
      <w:r>
        <w:t xml:space="preserve"> </w:t>
      </w:r>
      <w:r>
        <w:t xml:space="preserve">refers to items from the Achenbach Adult Self-Report.</w:t>
      </w:r>
      <w:r>
        <w:t xml:space="preserve"> </w:t>
      </w:r>
      <w:r>
        <w:t xml:space="preserve">“θ”</w:t>
      </w:r>
      <w:r>
        <w:t xml:space="preserve"> </w:t>
      </w:r>
      <w:r>
        <w:t xml:space="preserve">represents the person’s level on the latent externalizing problems factor. The figure demonstrates that items assessing absolute frequency yield more information than dichotomized versions of the same items and the Likert-type response options of the Adult Self-Report.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4, p. 303.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90">
        <w:r>
          <w:rPr>
            <w:rStyle w:val="Hyperlink"/>
          </w:rPr>
          <w:t xml:space="preserve">https://doi.org/10.1037/pas0001441</w:t>
        </w:r>
      </w:hyperlink>
      <w:r>
        <w:t xml:space="preserve">).”</w:t>
      </w:r>
      <w:r>
        <w:t xml:space="preserve"> </w:t>
      </w:r>
      <w:r>
        <w:t xml:space="preserve">}</w:t>
      </w:r>
    </w:p>
    <w:bookmarkEnd w:id="107"/>
    <w:p>
      <w:pPr>
        <w:pStyle w:val="AfterWithoutNote"/>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2005</w:t>
        </w:r>
      </w:hyperlink>
      <w:r>
        <w:t xml:space="preserve">,</w:t>
      </w:r>
      <w:r>
        <w:t xml:space="preserve"> </w:t>
      </w:r>
      <w:hyperlink w:anchor="ref-Krueger2007">
        <w:r>
          <w:rPr>
            <w:rStyle w:val="Hyperlink"/>
          </w:rPr>
          <w:t xml:space="preserve">2007</w:t>
        </w:r>
      </w:hyperlink>
      <w:r>
        <w:t xml:space="preserve">,</w:t>
      </w:r>
      <w:r>
        <w:t xml:space="preserve"> </w:t>
      </w:r>
      <w:hyperlink w:anchor="ref-Krueger2021">
        <w:r>
          <w:rPr>
            <w:rStyle w:val="Hyperlink"/>
          </w:rPr>
          <w:t xml:space="preserve">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 Pavlovich et al.</w:t>
      </w:r>
      <w:r>
        <w:t xml:space="preserve"> </w:t>
      </w:r>
      <w:r>
        <w:t xml:space="preserve">(</w:t>
      </w:r>
      <w:hyperlink w:anchor="ref-Pavlovich2026">
        <w:r>
          <w:rPr>
            <w:rStyle w:val="Hyperlink"/>
          </w:rPr>
          <w:t xml:space="preserve">2026, p. 1</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w:t>
      </w:r>
    </w:p>
    <w:p>
      <w:pPr>
        <w:pStyle w:val="BodyText"/>
      </w:pPr>
      <w:r>
        <w:t xml:space="preserve">To provide better phenotypic resolution, and to better identify biological processes underlying psychopathology,</w:t>
      </w:r>
      <w:r>
        <w:t xml:space="preserve"> </w:t>
      </w:r>
      <w:r>
        <w:t xml:space="preserve">Tiego et al.</w:t>
      </w:r>
      <w:r>
        <w:t xml:space="preserve"> </w:t>
      </w:r>
      <w:r>
        <w:t xml:space="preserve">(</w:t>
      </w:r>
      <w:hyperlink w:anchor="ref-Tiego2023">
        <w:r>
          <w:rPr>
            <w:rStyle w:val="Hyperlink"/>
          </w:rPr>
          <w:t xml:space="preserve">2023</w:t>
        </w:r>
      </w:hyperlink>
      <w:r>
        <w:t xml:space="preserve">)</w:t>
      </w:r>
      <w:r>
        <w:t xml:space="preserve"> </w:t>
      </w:r>
      <w:r>
        <w:t xml:space="preserve">argue for including content covering the full range, including items assessing the adaptive end of the continuum.</w:t>
      </w:r>
      <w:r>
        <w:t xml:space="preserve"> </w:t>
      </w:r>
      <w:r>
        <w:t xml:space="preserve">As they note, low scores on clinical measures are typically intended to assess absence of pathological functioning rather than the opposite end of the latent continuum—i.e., the presence of adaptive functioning.</w:t>
      </w:r>
      <w:r>
        <w:t xml:space="preserve"> </w:t>
      </w:r>
      <w:r>
        <w:t xml:space="preserve">For instance, it can be valuable to consider</w:t>
      </w:r>
      <w:r>
        <w:t xml:space="preserve"> </w:t>
      </w:r>
      <w:r>
        <w:t xml:space="preserve">“positive opposites”</w:t>
      </w:r>
      <w:r>
        <w:t xml:space="preserve">—i.e., positive behaviors that compete with and are incompatible (in a given moment) with the particular antisocial behavior.</w:t>
      </w:r>
      <w:r>
        <w:t xml:space="preserve"> </w:t>
      </w:r>
      <w:r>
        <w:t xml:space="preserve">For instance, in a study of externalizing behavior, it would be valuable to consider prosocial behavior (e.g., kindness, helping others, sharing, dependability, compliance, accountability).</w:t>
      </w:r>
      <w:r>
        <w:t xml:space="preserve"> </w:t>
      </w:r>
      <w:r>
        <w:t xml:space="preserve">Indeed, in a machine learning study of children’s conduct problems in the ABCD study, prosocial behavior was the strongest predictor</w:t>
      </w:r>
      <w:r>
        <w:t xml:space="preserve"> </w:t>
      </w:r>
      <w:r>
        <w:t xml:space="preserve">(</w:t>
      </w:r>
      <w:hyperlink w:anchor="ref-Berluti2026">
        <w:r>
          <w:rPr>
            <w:rStyle w:val="Hyperlink"/>
          </w:rPr>
          <w:t xml:space="preserve">Berluti et al., 2026</w:t>
        </w:r>
      </w:hyperlink>
      <w:r>
        <w:t xml:space="preserve">)</w:t>
      </w:r>
      <w:r>
        <w:t xml:space="preserve">.</w:t>
      </w:r>
      <w:r>
        <w:t xml:space="preserve"> </w:t>
      </w:r>
      <w:r>
        <w:t xml:space="preserve">Moreover, measures of externalizing behavior tend to focus on just global scores or just one or a few subdimensions.</w:t>
      </w:r>
      <w:r>
        <w:t xml:space="preserve"> </w:t>
      </w:r>
      <w:r>
        <w:t xml:space="preserve">For better phenotypic resolution, instruments should assess a wide range of phenotypes to better capture the full range of externalizing behavior, which will be important to distinguish various forms of behavior—e.g., physical versus verbal versus destructive versus relational aggression—and their functions—e.g., proactive versus reactive.</w:t>
      </w:r>
    </w:p>
    <w:p>
      <w:pPr>
        <w:pStyle w:val="BodyText"/>
      </w:pPr>
      <w:r>
        <w:t xml:space="preserve">Based on our content analysis of over 270 measures of externalizing behavior, we identified a wide range of facets that would be important for measures of externalizing behavior to capture (see</w:t>
      </w:r>
      <w:r>
        <w:t xml:space="preserve"> </w:t>
      </w:r>
      <w:hyperlink w:anchor="tbl-externalizingfacets">
        <w:r>
          <w:rPr>
            <w:rStyle w:val="Hyperlink"/>
          </w:rPr>
          <w:t xml:space="preserve">Table 1</w:t>
        </w:r>
      </w:hyperlink>
      <w:r>
        <w:t xml:space="preserve">).</w:t>
      </w:r>
      <w:r>
        <w:t xml:space="preserve"> </w:t>
      </w:r>
      <w:r>
        <w:t xml:space="preserve">We also identified potential positive opposites of each facet.</w:t>
      </w:r>
    </w:p>
    <w:bookmarkStart w:id="108" w:name="tbl-externalizingfacets"/>
    <w:p>
      <w:pPr>
        <w:pStyle w:val="FigureTitle"/>
      </w:pPr>
      <w:r>
        <w:t xml:space="preserve">Table 1</w:t>
      </w:r>
    </w:p>
    <w:p>
      <w:pPr>
        <w:pStyle w:val="Caption"/>
      </w:pPr>
      <w:r>
        <w:t xml:space="preserve">Externalizing Facets Identified in Content Analysis of Externalizing Measures.</w:t>
      </w:r>
    </w:p>
    <w:tbl>
      <w:tblPr>
        <w:tblStyle w:val="Table"/>
        <w:tblW w:type="pct" w:w="4935"/>
        <w:tblLayout w:type="fixed"/>
        <w:tblLook w:firstRow="1" w:lastRow="0" w:firstColumn="0" w:lastColumn="0" w:noHBand="0" w:noVBand="0" w:val="0020"/>
      </w:tblPr>
      <w:tblGrid>
        <w:gridCol w:w="3727"/>
        <w:gridCol w:w="2277"/>
        <w:gridCol w:w="1811"/>
      </w:tblGrid>
      <w:tr>
        <w:trPr>
          <w:tblHeader w:val="on"/>
        </w:trPr>
        <w:tc>
          <w:tcPr/>
          <w:p>
            <w:pPr>
              <w:pStyle w:val="Compact"/>
              <w:jc w:val="left"/>
            </w:pPr>
            <w:r>
              <w:t xml:space="preserve">Facet</w:t>
            </w:r>
          </w:p>
        </w:tc>
        <w:tc>
          <w:tcPr/>
          <w:p>
            <w:pPr>
              <w:pStyle w:val="Compact"/>
              <w:jc w:val="left"/>
            </w:pPr>
            <w:r>
              <w:t xml:space="preserve">Definition</w:t>
            </w:r>
          </w:p>
        </w:tc>
        <w:tc>
          <w:tcPr/>
          <w:p>
            <w:pPr>
              <w:pStyle w:val="Compact"/>
              <w:jc w:val="left"/>
            </w:pPr>
            <w:r>
              <w:t xml:space="preserve">Positive Opposite</w:t>
            </w:r>
          </w:p>
        </w:tc>
      </w:tr>
      <w:tr>
        <w:tc>
          <w:tcPr/>
          <w:p>
            <w:pPr>
              <w:pStyle w:val="Compact"/>
              <w:jc w:val="left"/>
            </w:pPr>
            <w:r>
              <w:t xml:space="preserve">Attention seeking/Exhibitionism</w:t>
            </w:r>
          </w:p>
        </w:tc>
        <w:tc>
          <w:tcPr/>
          <w:p>
            <w:pPr>
              <w:pStyle w:val="Compact"/>
              <w:jc w:val="left"/>
            </w:pPr>
            <w:r>
              <w:t xml:space="preserve">Exaggerated or dramatic expressions,</w:t>
            </w:r>
            <w:r>
              <w:t xml:space="preserve"> </w:t>
            </w:r>
            <w:r>
              <w:t xml:space="preserve">interrupting others, inappropriate or</w:t>
            </w:r>
            <w:r>
              <w:t xml:space="preserve"> </w:t>
            </w:r>
            <w:r>
              <w:t xml:space="preserve">provocative behaviors, provoking reactions</w:t>
            </w:r>
          </w:p>
        </w:tc>
        <w:tc>
          <w:tcPr/>
          <w:p>
            <w:pPr>
              <w:pStyle w:val="Compact"/>
              <w:jc w:val="left"/>
            </w:pPr>
            <w:r>
              <w:t xml:space="preserve">Humility/Appropriate</w:t>
            </w:r>
            <w:r>
              <w:t xml:space="preserve"> </w:t>
            </w:r>
            <w:r>
              <w:t xml:space="preserve">self-expression</w:t>
            </w:r>
          </w:p>
        </w:tc>
      </w:tr>
      <w:tr>
        <w:tc>
          <w:tcPr/>
          <w:p>
            <w:pPr>
              <w:pStyle w:val="Compact"/>
              <w:jc w:val="left"/>
            </w:pPr>
            <w:r>
              <w:t xml:space="preserve">Behavioral addiction</w:t>
            </w:r>
          </w:p>
        </w:tc>
        <w:tc>
          <w:tcPr/>
          <w:p>
            <w:pPr>
              <w:pStyle w:val="Compact"/>
              <w:jc w:val="left"/>
            </w:pPr>
            <w:r>
              <w:t xml:space="preserve">Non-substance addictions (e.g., gambling,</w:t>
            </w:r>
            <w:r>
              <w:t xml:space="preserve"> </w:t>
            </w:r>
            <w:r>
              <w:t xml:space="preserve">video games, risky sex, pornography, food,</w:t>
            </w:r>
            <w:r>
              <w:t xml:space="preserve"> </w:t>
            </w:r>
            <w:r>
              <w:t xml:space="preserve">the internet, mobile devices, shopping)</w:t>
            </w:r>
          </w:p>
        </w:tc>
        <w:tc>
          <w:tcPr/>
          <w:p>
            <w:pPr>
              <w:pStyle w:val="Compact"/>
              <w:jc w:val="left"/>
            </w:pPr>
            <w:r>
              <w:t xml:space="preserve">Self-regulated engagement/Balanced</w:t>
            </w:r>
            <w:r>
              <w:t xml:space="preserve"> </w:t>
            </w:r>
            <w:r>
              <w:t xml:space="preserve">lifestyle</w:t>
            </w:r>
          </w:p>
        </w:tc>
      </w:tr>
      <w:tr>
        <w:tc>
          <w:tcPr/>
          <w:p>
            <w:pPr>
              <w:pStyle w:val="Compact"/>
              <w:jc w:val="left"/>
            </w:pPr>
            <w:r>
              <w:t xml:space="preserve">Blame externalization</w:t>
            </w:r>
          </w:p>
        </w:tc>
        <w:tc>
          <w:tcPr/>
          <w:p>
            <w:pPr>
              <w:pStyle w:val="Compact"/>
              <w:jc w:val="left"/>
            </w:pPr>
            <w:r>
              <w:t xml:space="preserve">Attribute cause of problems or failures to</w:t>
            </w:r>
            <w:r>
              <w:t xml:space="preserve"> </w:t>
            </w:r>
            <w:r>
              <w:t xml:space="preserve">external factors, feeling like a victim,</w:t>
            </w:r>
            <w:r>
              <w:t xml:space="preserve"> </w:t>
            </w:r>
            <w:r>
              <w:t xml:space="preserve">blaming others</w:t>
            </w:r>
          </w:p>
        </w:tc>
        <w:tc>
          <w:tcPr/>
          <w:p>
            <w:pPr>
              <w:pStyle w:val="Compact"/>
              <w:jc w:val="left"/>
            </w:pPr>
            <w:r>
              <w:t xml:space="preserve">Personal</w:t>
            </w:r>
            <w:r>
              <w:t xml:space="preserve"> </w:t>
            </w:r>
            <w:r>
              <w:t xml:space="preserve">responsibility/Accountability</w:t>
            </w:r>
          </w:p>
        </w:tc>
      </w:tr>
      <w:tr>
        <w:tc>
          <w:tcPr/>
          <w:p>
            <w:pPr>
              <w:pStyle w:val="Compact"/>
              <w:jc w:val="left"/>
            </w:pPr>
            <w:r>
              <w:t xml:space="preserve">Boredom proneness</w:t>
            </w:r>
          </w:p>
        </w:tc>
        <w:tc>
          <w:tcPr/>
          <w:p>
            <w:pPr>
              <w:pStyle w:val="Compact"/>
              <w:jc w:val="left"/>
            </w:pPr>
            <w:r>
              <w:t xml:space="preserve">Expressing boredom often, difficulty</w:t>
            </w:r>
            <w:r>
              <w:t xml:space="preserve"> </w:t>
            </w:r>
            <w:r>
              <w:t xml:space="preserve">maintaining interest, lack of engagement</w:t>
            </w:r>
          </w:p>
        </w:tc>
        <w:tc>
          <w:tcPr/>
          <w:p>
            <w:pPr>
              <w:pStyle w:val="Compact"/>
              <w:jc w:val="left"/>
            </w:pPr>
            <w:r>
              <w:t xml:space="preserve">Curiosity/Sustained engagement</w:t>
            </w:r>
          </w:p>
        </w:tc>
      </w:tr>
      <w:tr>
        <w:tc>
          <w:tcPr/>
          <w:p>
            <w:pPr>
              <w:pStyle w:val="Compact"/>
              <w:jc w:val="left"/>
            </w:pPr>
            <w:r>
              <w:t xml:space="preserve">Callous aggression</w:t>
            </w:r>
          </w:p>
        </w:tc>
        <w:tc>
          <w:tcPr/>
          <w:p>
            <w:pPr>
              <w:pStyle w:val="Compact"/>
              <w:jc w:val="left"/>
            </w:pPr>
            <w:r>
              <w:t xml:space="preserve">Inflicting harm without feeling remorse or</w:t>
            </w:r>
            <w:r>
              <w:t xml:space="preserve"> </w:t>
            </w:r>
            <w:r>
              <w:t xml:space="preserve">concern, usually proactive/intentional</w:t>
            </w:r>
          </w:p>
        </w:tc>
        <w:tc>
          <w:tcPr/>
          <w:p>
            <w:pPr>
              <w:pStyle w:val="Compact"/>
              <w:jc w:val="left"/>
            </w:pPr>
            <w:r>
              <w:t xml:space="preserve">Compassionate</w:t>
            </w:r>
            <w:r>
              <w:t xml:space="preserve"> </w:t>
            </w:r>
            <w:r>
              <w:t xml:space="preserve">protection/Benevolence</w:t>
            </w:r>
          </w:p>
        </w:tc>
      </w:tr>
      <w:tr>
        <w:tc>
          <w:tcPr/>
          <w:p>
            <w:pPr>
              <w:pStyle w:val="Compact"/>
              <w:jc w:val="left"/>
            </w:pPr>
            <w:r>
              <w:t xml:space="preserve">Callousness/Disregard for others/Low concern/Low</w:t>
            </w:r>
            <w:r>
              <w:t xml:space="preserve"> </w:t>
            </w:r>
            <w:r>
              <w:t xml:space="preserve">empathy/Selfishness/Egocentricity</w:t>
            </w:r>
          </w:p>
        </w:tc>
        <w:tc>
          <w:tcPr/>
          <w:p>
            <w:pPr>
              <w:pStyle w:val="Compact"/>
              <w:jc w:val="left"/>
            </w:pPr>
            <w:r>
              <w:t xml:space="preserve">Emotional detachment, indifference to</w:t>
            </w:r>
            <w:r>
              <w:t xml:space="preserve"> </w:t>
            </w:r>
            <w:r>
              <w:t xml:space="preserve">well-being of others</w:t>
            </w:r>
          </w:p>
        </w:tc>
        <w:tc>
          <w:tcPr/>
          <w:p>
            <w:pPr>
              <w:pStyle w:val="Compact"/>
              <w:jc w:val="left"/>
            </w:pPr>
            <w:r>
              <w:t xml:space="preserve">Empathy/Compassion/Concern for</w:t>
            </w:r>
            <w:r>
              <w:t xml:space="preserve"> </w:t>
            </w:r>
            <w:r>
              <w:t xml:space="preserve">others/Helping others/Sharing</w:t>
            </w:r>
          </w:p>
        </w:tc>
      </w:tr>
      <w:tr>
        <w:tc>
          <w:tcPr/>
          <w:p>
            <w:pPr>
              <w:pStyle w:val="Compact"/>
              <w:jc w:val="left"/>
            </w:pPr>
            <w:r>
              <w:t xml:space="preserve">Deceitfulness/Fraud/Lying/Cheating/Dishonesty/Sneakiness/Exploitation</w:t>
            </w:r>
          </w:p>
        </w:tc>
        <w:tc>
          <w:tcPr/>
          <w:p>
            <w:pPr>
              <w:pStyle w:val="Compact"/>
              <w:jc w:val="left"/>
            </w:pPr>
            <w:r>
              <w:t xml:space="preserve">Keeping the truth hidden, especially to get</w:t>
            </w:r>
            <w:r>
              <w:t xml:space="preserve"> </w:t>
            </w:r>
            <w:r>
              <w:t xml:space="preserve">an advantage (e.g., lying, witholding</w:t>
            </w:r>
            <w:r>
              <w:t xml:space="preserve"> </w:t>
            </w:r>
            <w:r>
              <w:t xml:space="preserve">information, manipulation, making false</w:t>
            </w:r>
            <w:r>
              <w:t xml:space="preserve"> </w:t>
            </w:r>
            <w:r>
              <w:t xml:space="preserve">promises)</w:t>
            </w:r>
          </w:p>
        </w:tc>
        <w:tc>
          <w:tcPr/>
          <w:p>
            <w:pPr>
              <w:pStyle w:val="Compact"/>
              <w:jc w:val="left"/>
            </w:pPr>
            <w:r>
              <w:t xml:space="preserve">Honesty/Integrity/Fairness</w:t>
            </w:r>
          </w:p>
        </w:tc>
      </w:tr>
      <w:tr>
        <w:tc>
          <w:tcPr/>
          <w:p>
            <w:pPr>
              <w:pStyle w:val="Compact"/>
              <w:jc w:val="left"/>
            </w:pPr>
            <w:r>
              <w:t xml:space="preserve">Deviant peers</w:t>
            </w:r>
          </w:p>
        </w:tc>
        <w:tc>
          <w:tcPr/>
          <w:p>
            <w:pPr>
              <w:pStyle w:val="Compact"/>
              <w:jc w:val="left"/>
            </w:pPr>
            <w:r>
              <w:t xml:space="preserve">Affiliating with peer who engage in deviant</w:t>
            </w:r>
            <w:r>
              <w:t xml:space="preserve"> </w:t>
            </w:r>
            <w:r>
              <w:t xml:space="preserve">or delinquent behaviors</w:t>
            </w:r>
          </w:p>
        </w:tc>
        <w:tc>
          <w:tcPr/>
          <w:p>
            <w:pPr>
              <w:pStyle w:val="Compact"/>
              <w:jc w:val="left"/>
            </w:pPr>
            <w:r>
              <w:t xml:space="preserve">Prosocial peer affiliations</w:t>
            </w:r>
          </w:p>
        </w:tc>
      </w:tr>
      <w:tr>
        <w:tc>
          <w:tcPr/>
          <w:p>
            <w:pPr>
              <w:pStyle w:val="Compact"/>
              <w:jc w:val="left"/>
            </w:pPr>
            <w:r>
              <w:t xml:space="preserve">Destructive aggression/Destruction of property</w:t>
            </w:r>
          </w:p>
        </w:tc>
        <w:tc>
          <w:tcPr/>
          <w:p>
            <w:pPr>
              <w:pStyle w:val="Compact"/>
              <w:jc w:val="left"/>
            </w:pPr>
            <w:r>
              <w:t xml:space="preserve">Destruction of property, self, or others,</w:t>
            </w:r>
            <w:r>
              <w:t xml:space="preserve"> </w:t>
            </w:r>
            <w:r>
              <w:t xml:space="preserve">objects</w:t>
            </w:r>
          </w:p>
        </w:tc>
        <w:tc>
          <w:tcPr/>
          <w:p>
            <w:pPr>
              <w:pStyle w:val="Compact"/>
              <w:jc w:val="left"/>
            </w:pPr>
            <w:r>
              <w:t xml:space="preserve">Constructiveness/Care for property</w:t>
            </w:r>
          </w:p>
        </w:tc>
      </w:tr>
      <w:tr>
        <w:tc>
          <w:tcPr/>
          <w:p>
            <w:pPr>
              <w:pStyle w:val="Compact"/>
              <w:jc w:val="left"/>
            </w:pPr>
            <w:r>
              <w:t xml:space="preserve">Distractibility/Inattention/Attention</w:t>
            </w:r>
            <w:r>
              <w:t xml:space="preserve"> </w:t>
            </w:r>
            <w:r>
              <w:t xml:space="preserve">dysregulation/Forgetfulness/Daydreaming</w:t>
            </w:r>
          </w:p>
        </w:tc>
        <w:tc>
          <w:tcPr/>
          <w:p>
            <w:pPr>
              <w:pStyle w:val="Compact"/>
              <w:jc w:val="left"/>
            </w:pPr>
            <w:r>
              <w:t xml:space="preserve">Difficulty maintaining focus, attention, or</w:t>
            </w:r>
            <w:r>
              <w:t xml:space="preserve"> </w:t>
            </w:r>
            <w:r>
              <w:t xml:space="preserve">concentration , frequenct attention shifts</w:t>
            </w:r>
          </w:p>
        </w:tc>
        <w:tc>
          <w:tcPr/>
          <w:p>
            <w:pPr>
              <w:pStyle w:val="Compact"/>
              <w:jc w:val="left"/>
            </w:pPr>
            <w:r>
              <w:t xml:space="preserve">Attentional control/Sustained</w:t>
            </w:r>
            <w:r>
              <w:t xml:space="preserve"> </w:t>
            </w:r>
            <w:r>
              <w:t xml:space="preserve">attention</w:t>
            </w:r>
          </w:p>
        </w:tc>
      </w:tr>
      <w:tr>
        <w:tc>
          <w:tcPr/>
          <w:p>
            <w:pPr>
              <w:pStyle w:val="Compact"/>
              <w:jc w:val="left"/>
            </w:pPr>
            <w:r>
              <w:t xml:space="preserve">Domineering/Bossiness</w:t>
            </w:r>
          </w:p>
        </w:tc>
        <w:tc>
          <w:tcPr/>
          <w:p>
            <w:pPr>
              <w:pStyle w:val="Compact"/>
              <w:jc w:val="left"/>
            </w:pPr>
            <w:r>
              <w:t xml:space="preserve">Asserting control, power, and authority in</w:t>
            </w:r>
            <w:r>
              <w:t xml:space="preserve"> </w:t>
            </w:r>
            <w:r>
              <w:t xml:space="preserve">an overbearing or oppressive manner</w:t>
            </w:r>
          </w:p>
        </w:tc>
        <w:tc>
          <w:tcPr/>
          <w:p>
            <w:pPr>
              <w:pStyle w:val="Compact"/>
              <w:jc w:val="left"/>
            </w:pPr>
            <w:r>
              <w:t xml:space="preserve">Collaborativeness</w:t>
            </w:r>
          </w:p>
        </w:tc>
      </w:tr>
      <w:tr>
        <w:tc>
          <w:tcPr/>
          <w:p>
            <w:pPr>
              <w:pStyle w:val="Compact"/>
              <w:jc w:val="left"/>
            </w:pPr>
            <w:r>
              <w:t xml:space="preserve">Excitement seeking/Risk taking/Sensation seeking</w:t>
            </w:r>
          </w:p>
        </w:tc>
        <w:tc>
          <w:tcPr/>
          <w:p>
            <w:pPr>
              <w:pStyle w:val="Compact"/>
              <w:jc w:val="left"/>
            </w:pPr>
            <w:r>
              <w:t xml:space="preserve">Tendency to pursue new and different</w:t>
            </w:r>
            <w:r>
              <w:t xml:space="preserve"> </w:t>
            </w:r>
            <w:r>
              <w:t xml:space="preserve">sensations, especially intense,</w:t>
            </w:r>
            <w:r>
              <w:t xml:space="preserve"> </w:t>
            </w:r>
            <w:r>
              <w:t xml:space="preserve">exhilerating, thrilling, etc. (e.g., risk</w:t>
            </w:r>
            <w:r>
              <w:t xml:space="preserve"> </w:t>
            </w:r>
            <w:r>
              <w:t xml:space="preserve">taking, preference for novelty, intensity)</w:t>
            </w:r>
          </w:p>
        </w:tc>
        <w:tc>
          <w:tcPr/>
          <w:p>
            <w:pPr>
              <w:pStyle w:val="Compact"/>
              <w:jc w:val="left"/>
            </w:pPr>
            <w:r>
              <w:t xml:space="preserve">Prudent exploration/Measured</w:t>
            </w:r>
            <w:r>
              <w:t xml:space="preserve"> </w:t>
            </w:r>
            <w:r>
              <w:t xml:space="preserve">novelty seeking</w:t>
            </w:r>
          </w:p>
        </w:tc>
      </w:tr>
      <w:tr>
        <w:tc>
          <w:tcPr/>
          <w:p>
            <w:pPr>
              <w:pStyle w:val="Compact"/>
              <w:jc w:val="left"/>
            </w:pPr>
            <w:r>
              <w:t xml:space="preserve">Grandiosity/Overconfidence</w:t>
            </w:r>
          </w:p>
        </w:tc>
        <w:tc>
          <w:tcPr/>
          <w:p>
            <w:pPr>
              <w:pStyle w:val="Compact"/>
              <w:jc w:val="left"/>
            </w:pPr>
            <w:r>
              <w:t xml:space="preserve">Exhaggerated sense of self-importance,</w:t>
            </w:r>
            <w:r>
              <w:t xml:space="preserve"> </w:t>
            </w:r>
            <w:r>
              <w:t xml:space="preserve">sense of superiority or specialness</w:t>
            </w:r>
          </w:p>
        </w:tc>
        <w:tc>
          <w:tcPr/>
          <w:p>
            <w:pPr>
              <w:pStyle w:val="Compact"/>
              <w:jc w:val="left"/>
            </w:pPr>
            <w:r>
              <w:t xml:space="preserve">Realistic self-confidence</w:t>
            </w:r>
          </w:p>
        </w:tc>
      </w:tr>
      <w:tr>
        <w:tc>
          <w:tcPr/>
          <w:p>
            <w:pPr>
              <w:pStyle w:val="Compact"/>
              <w:jc w:val="left"/>
            </w:pPr>
            <w:r>
              <w:t xml:space="preserve">Hostility/Rudeness</w:t>
            </w:r>
          </w:p>
        </w:tc>
        <w:tc>
          <w:tcPr/>
          <w:p>
            <w:pPr>
              <w:pStyle w:val="Compact"/>
              <w:jc w:val="left"/>
            </w:pPr>
            <w:r>
              <w:t xml:space="preserve">Hostile behavior, unfriendliness,</w:t>
            </w:r>
            <w:r>
              <w:t xml:space="preserve"> </w:t>
            </w:r>
            <w:r>
              <w:t xml:space="preserve">resentment, antagonism, ranging from mild</w:t>
            </w:r>
            <w:r>
              <w:t xml:space="preserve"> </w:t>
            </w:r>
            <w:r>
              <w:t xml:space="preserve">irritation to intense rage, interpret</w:t>
            </w:r>
            <w:r>
              <w:t xml:space="preserve"> </w:t>
            </w:r>
            <w:r>
              <w:t xml:space="preserve">others’ behavior as hostile</w:t>
            </w:r>
          </w:p>
        </w:tc>
        <w:tc>
          <w:tcPr/>
          <w:p>
            <w:pPr>
              <w:pStyle w:val="Compact"/>
              <w:jc w:val="left"/>
            </w:pPr>
            <w:r>
              <w:t xml:space="preserve">Warmth/Friendliness/Kindness</w:t>
            </w:r>
          </w:p>
        </w:tc>
      </w:tr>
      <w:tr>
        <w:tc>
          <w:tcPr/>
          <w:p>
            <w:pPr>
              <w:pStyle w:val="Compact"/>
              <w:jc w:val="left"/>
            </w:pPr>
            <w:r>
              <w:t xml:space="preserve">Hyperactivity</w:t>
            </w:r>
          </w:p>
        </w:tc>
        <w:tc>
          <w:tcPr/>
          <w:p>
            <w:pPr>
              <w:pStyle w:val="Compact"/>
              <w:jc w:val="left"/>
            </w:pPr>
            <w:r>
              <w:t xml:space="preserve">High levels of physical activity,</w:t>
            </w:r>
            <w:r>
              <w:t xml:space="preserve"> </w:t>
            </w:r>
            <w:r>
              <w:t xml:space="preserve">restlessness, difficulty engaging in quiet</w:t>
            </w:r>
            <w:r>
              <w:t xml:space="preserve"> </w:t>
            </w:r>
            <w:r>
              <w:t xml:space="preserve">activities</w:t>
            </w:r>
          </w:p>
        </w:tc>
        <w:tc>
          <w:tcPr/>
          <w:p>
            <w:pPr>
              <w:pStyle w:val="Compact"/>
              <w:jc w:val="left"/>
            </w:pPr>
            <w:r>
              <w:t xml:space="preserve">Behavioral regulation/Calm</w:t>
            </w:r>
            <w:r>
              <w:t xml:space="preserve"> </w:t>
            </w:r>
            <w:r>
              <w:t xml:space="preserve">engagement</w:t>
            </w:r>
          </w:p>
        </w:tc>
      </w:tr>
      <w:tr>
        <w:tc>
          <w:tcPr/>
          <w:p>
            <w:pPr>
              <w:pStyle w:val="Compact"/>
              <w:jc w:val="left"/>
            </w:pPr>
            <w:r>
              <w:t xml:space="preserve">Impulsivity/Disinhibition/Impatient urgency/(Low) Planful control</w:t>
            </w:r>
          </w:p>
        </w:tc>
        <w:tc>
          <w:tcPr/>
          <w:p>
            <w:pPr>
              <w:pStyle w:val="Compact"/>
              <w:jc w:val="left"/>
            </w:pPr>
            <w:r>
              <w:t xml:space="preserve">Tendency to act without thinking,</w:t>
            </w:r>
            <w:r>
              <w:t xml:space="preserve"> </w:t>
            </w:r>
            <w:r>
              <w:t xml:space="preserve">disinhibited engagement</w:t>
            </w:r>
          </w:p>
        </w:tc>
        <w:tc>
          <w:tcPr/>
          <w:p>
            <w:pPr>
              <w:pStyle w:val="Compact"/>
              <w:jc w:val="left"/>
            </w:pPr>
            <w:r>
              <w:t xml:space="preserve">Planful control</w:t>
            </w:r>
          </w:p>
        </w:tc>
      </w:tr>
      <w:tr>
        <w:tc>
          <w:tcPr/>
          <w:p>
            <w:pPr>
              <w:pStyle w:val="Compact"/>
              <w:jc w:val="left"/>
            </w:pPr>
            <w:r>
              <w:t xml:space="preserve">Irresponsibility</w:t>
            </w:r>
          </w:p>
        </w:tc>
        <w:tc>
          <w:tcPr/>
          <w:p>
            <w:pPr>
              <w:pStyle w:val="Compact"/>
              <w:jc w:val="left"/>
            </w:pPr>
            <w:r>
              <w:t xml:space="preserve">Failing to meet obligations, avoiding</w:t>
            </w:r>
            <w:r>
              <w:t xml:space="preserve"> </w:t>
            </w:r>
            <w:r>
              <w:t xml:space="preserve">addressing difficulties</w:t>
            </w:r>
          </w:p>
        </w:tc>
        <w:tc>
          <w:tcPr/>
          <w:p>
            <w:pPr>
              <w:pStyle w:val="Compact"/>
              <w:jc w:val="left"/>
            </w:pPr>
            <w:r>
              <w:t xml:space="preserve">Responsibility/Conscientiousness</w:t>
            </w:r>
          </w:p>
        </w:tc>
      </w:tr>
      <w:tr>
        <w:tc>
          <w:tcPr/>
          <w:p>
            <w:pPr>
              <w:pStyle w:val="Compact"/>
              <w:jc w:val="left"/>
            </w:pPr>
            <w:r>
              <w:t xml:space="preserve">(Low) Dependability</w:t>
            </w:r>
          </w:p>
        </w:tc>
        <w:tc>
          <w:tcPr/>
          <w:p>
            <w:pPr>
              <w:pStyle w:val="Compact"/>
              <w:jc w:val="left"/>
            </w:pPr>
            <w:r>
              <w:t xml:space="preserve">Low reliability, consistency,</w:t>
            </w:r>
            <w:r>
              <w:t xml:space="preserve"> </w:t>
            </w:r>
            <w:r>
              <w:t xml:space="preserve">trustworthiness</w:t>
            </w:r>
          </w:p>
        </w:tc>
        <w:tc>
          <w:tcPr/>
          <w:p>
            <w:pPr>
              <w:pStyle w:val="Compact"/>
              <w:jc w:val="left"/>
            </w:pPr>
            <w:r>
              <w:t xml:space="preserve">Dependability/Reliability</w:t>
            </w:r>
          </w:p>
        </w:tc>
      </w:tr>
      <w:tr>
        <w:tc>
          <w:tcPr/>
          <w:p>
            <w:pPr>
              <w:pStyle w:val="Compact"/>
              <w:jc w:val="left"/>
            </w:pPr>
            <w:r>
              <w:t xml:space="preserve">(Low) Perfectionism/(Dis)organization/(Low) Planning</w:t>
            </w:r>
          </w:p>
        </w:tc>
        <w:tc>
          <w:tcPr/>
          <w:p>
            <w:pPr>
              <w:pStyle w:val="Compact"/>
              <w:jc w:val="left"/>
            </w:pPr>
            <w:r>
              <w:t xml:space="preserve">Unconcerned about achievement, low</w:t>
            </w:r>
            <w:r>
              <w:t xml:space="preserve"> </w:t>
            </w:r>
            <w:r>
              <w:t xml:space="preserve">motivation, lack of organization and</w:t>
            </w:r>
            <w:r>
              <w:t xml:space="preserve"> </w:t>
            </w:r>
            <w:r>
              <w:t xml:space="preserve">planning, doesn’t have to be about school</w:t>
            </w:r>
            <w:r>
              <w:t xml:space="preserve"> </w:t>
            </w:r>
            <w:r>
              <w:t xml:space="preserve">or work</w:t>
            </w:r>
          </w:p>
        </w:tc>
        <w:tc>
          <w:tcPr/>
          <w:p>
            <w:pPr>
              <w:pStyle w:val="Compact"/>
              <w:jc w:val="left"/>
            </w:pPr>
            <w:r>
              <w:t xml:space="preserve">Organization/Diligence</w:t>
            </w:r>
          </w:p>
        </w:tc>
      </w:tr>
      <w:tr>
        <w:tc>
          <w:tcPr/>
          <w:p>
            <w:pPr>
              <w:pStyle w:val="Compact"/>
              <w:jc w:val="left"/>
            </w:pPr>
            <w:r>
              <w:t xml:space="preserve">(Low) Performance Concern/(Low) School/Work Performance/ (Low)</w:t>
            </w:r>
            <w:r>
              <w:t xml:space="preserve"> </w:t>
            </w:r>
            <w:r>
              <w:t xml:space="preserve">Workaholism</w:t>
            </w:r>
          </w:p>
        </w:tc>
        <w:tc>
          <w:tcPr/>
          <w:p>
            <w:pPr>
              <w:pStyle w:val="Compact"/>
              <w:jc w:val="left"/>
            </w:pPr>
            <w:r>
              <w:t xml:space="preserve">Low concern about how one’s abilities or</w:t>
            </w:r>
            <w:r>
              <w:t xml:space="preserve"> </w:t>
            </w:r>
            <w:r>
              <w:t xml:space="preserve">actions are evaluated, specific to contexts</w:t>
            </w:r>
            <w:r>
              <w:t xml:space="preserve"> </w:t>
            </w:r>
            <w:r>
              <w:t xml:space="preserve">in which others have expectations for</w:t>
            </w:r>
            <w:r>
              <w:t xml:space="preserve"> </w:t>
            </w:r>
            <w:r>
              <w:t xml:space="preserve">performance (e.g., school and work),</w:t>
            </w:r>
            <w:r>
              <w:t xml:space="preserve"> </w:t>
            </w:r>
            <w:r>
              <w:t xml:space="preserve">specifically low effort rather than</w:t>
            </w:r>
            <w:r>
              <w:t xml:space="preserve"> </w:t>
            </w:r>
            <w:r>
              <w:t xml:space="preserve">performance; low workaholism</w:t>
            </w:r>
          </w:p>
        </w:tc>
        <w:tc>
          <w:tcPr/>
          <w:p>
            <w:pPr>
              <w:pStyle w:val="Compact"/>
              <w:jc w:val="left"/>
            </w:pPr>
            <w:r>
              <w:t xml:space="preserve">Achievement motivation</w:t>
            </w:r>
          </w:p>
        </w:tc>
      </w:tr>
      <w:tr>
        <w:tc>
          <w:tcPr/>
          <w:p>
            <w:pPr>
              <w:pStyle w:val="Compact"/>
              <w:jc w:val="left"/>
            </w:pPr>
            <w:r>
              <w:t xml:space="preserve">Manipulativeness/Psychological aggression</w:t>
            </w:r>
          </w:p>
        </w:tc>
        <w:tc>
          <w:tcPr/>
          <w:p>
            <w:pPr>
              <w:pStyle w:val="Compact"/>
              <w:jc w:val="left"/>
            </w:pPr>
            <w:r>
              <w:t xml:space="preserve">Tendency to influence or control others to</w:t>
            </w:r>
            <w:r>
              <w:t xml:space="preserve"> </w:t>
            </w:r>
            <w:r>
              <w:t xml:space="preserve">achieve one’s own goals or desires, e.g.,</w:t>
            </w:r>
            <w:r>
              <w:t xml:space="preserve"> </w:t>
            </w:r>
            <w:r>
              <w:t xml:space="preserve">playing the victim, flattery, gaslighting,</w:t>
            </w:r>
            <w:r>
              <w:t xml:space="preserve"> </w:t>
            </w:r>
            <w:r>
              <w:t xml:space="preserve">guilt-tripping, psychological aggression</w:t>
            </w:r>
          </w:p>
        </w:tc>
        <w:tc>
          <w:tcPr/>
          <w:p>
            <w:pPr>
              <w:pStyle w:val="Compact"/>
              <w:jc w:val="left"/>
            </w:pPr>
            <w:r>
              <w:t xml:space="preserve">Sincerity/Authenticity</w:t>
            </w:r>
          </w:p>
        </w:tc>
      </w:tr>
      <w:tr>
        <w:tc>
          <w:tcPr/>
          <w:p>
            <w:pPr>
              <w:pStyle w:val="Compact"/>
              <w:jc w:val="left"/>
            </w:pPr>
            <w:r>
              <w:t xml:space="preserve">Mistrust/Suspiciousness/Paranoia</w:t>
            </w:r>
          </w:p>
        </w:tc>
        <w:tc>
          <w:tcPr/>
          <w:p>
            <w:pPr>
              <w:pStyle w:val="Compact"/>
              <w:jc w:val="left"/>
            </w:pPr>
            <w:r>
              <w:t xml:space="preserve">Lack of confidence in the reliability,</w:t>
            </w:r>
            <w:r>
              <w:t xml:space="preserve"> </w:t>
            </w:r>
            <w:r>
              <w:t xml:space="preserve">intentions of others, difficulty forming</w:t>
            </w:r>
            <w:r>
              <w:t xml:space="preserve"> </w:t>
            </w:r>
            <w:r>
              <w:t xml:space="preserve">close relationships with others, difficulty</w:t>
            </w:r>
            <w:r>
              <w:t xml:space="preserve"> </w:t>
            </w:r>
            <w:r>
              <w:t xml:space="preserve">forgiving</w:t>
            </w:r>
          </w:p>
        </w:tc>
        <w:tc>
          <w:tcPr/>
          <w:p>
            <w:pPr>
              <w:pStyle w:val="Compact"/>
              <w:jc w:val="left"/>
            </w:pPr>
            <w:r>
              <w:t xml:space="preserve">Interpersonal trust (appropriately</w:t>
            </w:r>
            <w:r>
              <w:t xml:space="preserve"> </w:t>
            </w:r>
            <w:r>
              <w:t xml:space="preserve">calibrated)</w:t>
            </w:r>
          </w:p>
        </w:tc>
      </w:tr>
      <w:tr>
        <w:tc>
          <w:tcPr/>
          <w:p>
            <w:pPr>
              <w:pStyle w:val="Compact"/>
              <w:jc w:val="left"/>
            </w:pPr>
            <w:r>
              <w:t xml:space="preserve">Oppositionality/Stubbornness</w:t>
            </w:r>
          </w:p>
        </w:tc>
        <w:tc>
          <w:tcPr/>
          <w:p>
            <w:pPr>
              <w:pStyle w:val="Compact"/>
              <w:jc w:val="left"/>
            </w:pPr>
            <w:r>
              <w:t xml:space="preserve">Persistent and defiant attitude, tendency</w:t>
            </w:r>
            <w:r>
              <w:t xml:space="preserve"> </w:t>
            </w:r>
            <w:r>
              <w:t xml:space="preserve">to challenge authority, refusal to comply,</w:t>
            </w:r>
            <w:r>
              <w:t xml:space="preserve"> </w:t>
            </w:r>
            <w:r>
              <w:t xml:space="preserve">argumentativeness (could include while</w:t>
            </w:r>
            <w:r>
              <w:t xml:space="preserve"> </w:t>
            </w:r>
            <w:r>
              <w:t xml:space="preserve">complying), etc.</w:t>
            </w:r>
          </w:p>
        </w:tc>
        <w:tc>
          <w:tcPr/>
          <w:p>
            <w:pPr>
              <w:pStyle w:val="Compact"/>
              <w:jc w:val="left"/>
            </w:pPr>
            <w:r>
              <w:t xml:space="preserve">Cooperativeness</w:t>
            </w:r>
          </w:p>
        </w:tc>
      </w:tr>
      <w:tr>
        <w:tc>
          <w:tcPr/>
          <w:p>
            <w:pPr>
              <w:pStyle w:val="Compact"/>
              <w:jc w:val="left"/>
            </w:pPr>
            <w:r>
              <w:t xml:space="preserve">Physical aggression</w:t>
            </w:r>
          </w:p>
        </w:tc>
        <w:tc>
          <w:tcPr/>
          <w:p>
            <w:pPr>
              <w:pStyle w:val="Compact"/>
              <w:jc w:val="left"/>
            </w:pPr>
            <w:r>
              <w:t xml:space="preserve">Use of physical force or violence to harm</w:t>
            </w:r>
            <w:r>
              <w:t xml:space="preserve"> </w:t>
            </w:r>
            <w:r>
              <w:t xml:space="preserve">others or their property</w:t>
            </w:r>
          </w:p>
        </w:tc>
        <w:tc>
          <w:tcPr/>
          <w:p>
            <w:pPr>
              <w:pStyle w:val="Compact"/>
              <w:jc w:val="left"/>
            </w:pPr>
            <w:r>
              <w:t xml:space="preserve">Respect for others’ bodies/Helping</w:t>
            </w:r>
            <w:r>
              <w:t xml:space="preserve"> </w:t>
            </w:r>
            <w:r>
              <w:t xml:space="preserve">others</w:t>
            </w:r>
          </w:p>
        </w:tc>
      </w:tr>
      <w:tr>
        <w:tc>
          <w:tcPr/>
          <w:p>
            <w:pPr>
              <w:pStyle w:val="Compact"/>
              <w:jc w:val="left"/>
            </w:pPr>
            <w:r>
              <w:t xml:space="preserve">Punishment insensitivity</w:t>
            </w:r>
          </w:p>
        </w:tc>
        <w:tc>
          <w:tcPr/>
          <w:p>
            <w:pPr>
              <w:pStyle w:val="Compact"/>
              <w:jc w:val="left"/>
            </w:pPr>
            <w:r>
              <w:t xml:space="preserve">Doesn’t change behavior after punishment,</w:t>
            </w:r>
            <w:r>
              <w:t xml:space="preserve"> </w:t>
            </w:r>
            <w:r>
              <w:t xml:space="preserve">high tolerance for negative outcomes</w:t>
            </w:r>
          </w:p>
        </w:tc>
        <w:tc>
          <w:tcPr/>
          <w:p>
            <w:pPr>
              <w:pStyle w:val="Compact"/>
              <w:jc w:val="left"/>
            </w:pPr>
            <w:r>
              <w:t xml:space="preserve">Responsive to consequences</w:t>
            </w:r>
          </w:p>
        </w:tc>
      </w:tr>
      <w:tr>
        <w:tc>
          <w:tcPr/>
          <w:p>
            <w:pPr>
              <w:pStyle w:val="Compact"/>
              <w:jc w:val="left"/>
            </w:pPr>
            <w:r>
              <w:t xml:space="preserve">Rebelliousness/Rule-breaking/Noncompliance</w:t>
            </w:r>
          </w:p>
        </w:tc>
        <w:tc>
          <w:tcPr/>
          <w:p>
            <w:pPr>
              <w:pStyle w:val="Compact"/>
              <w:jc w:val="left"/>
            </w:pPr>
            <w:r>
              <w:t xml:space="preserve">Doing things differently than one is asked</w:t>
            </w:r>
            <w:r>
              <w:t xml:space="preserve"> </w:t>
            </w:r>
            <w:r>
              <w:t xml:space="preserve">to do (e.g., breaking house rules)</w:t>
            </w:r>
          </w:p>
        </w:tc>
        <w:tc>
          <w:tcPr/>
          <w:p>
            <w:pPr>
              <w:pStyle w:val="Compact"/>
              <w:jc w:val="left"/>
            </w:pPr>
            <w:r>
              <w:t xml:space="preserve">Compliance/Civic responsibility</w:t>
            </w:r>
          </w:p>
        </w:tc>
      </w:tr>
      <w:tr>
        <w:tc>
          <w:tcPr/>
          <w:p>
            <w:pPr>
              <w:pStyle w:val="Compact"/>
              <w:jc w:val="left"/>
            </w:pPr>
            <w:r>
              <w:t xml:space="preserve">Relational aggression</w:t>
            </w:r>
          </w:p>
        </w:tc>
        <w:tc>
          <w:tcPr/>
          <w:p>
            <w:pPr>
              <w:pStyle w:val="Compact"/>
              <w:jc w:val="left"/>
            </w:pPr>
            <w:r>
              <w:t xml:space="preserve">Aggression intended to harm others through</w:t>
            </w:r>
            <w:r>
              <w:t xml:space="preserve"> </w:t>
            </w:r>
            <w:r>
              <w:t xml:space="preserve">deliberate manipulation of their social</w:t>
            </w:r>
            <w:r>
              <w:t xml:space="preserve"> </w:t>
            </w:r>
            <w:r>
              <w:t xml:space="preserve">standing and relationships (e.g.,</w:t>
            </w:r>
            <w:r>
              <w:t xml:space="preserve"> </w:t>
            </w:r>
            <w:r>
              <w:t xml:space="preserve">exclusion, speaking negatively of another,</w:t>
            </w:r>
            <w:r>
              <w:t xml:space="preserve"> </w:t>
            </w:r>
            <w:r>
              <w:t xml:space="preserve">etc)</w:t>
            </w:r>
          </w:p>
        </w:tc>
        <w:tc>
          <w:tcPr/>
          <w:p>
            <w:pPr>
              <w:pStyle w:val="Compact"/>
              <w:jc w:val="left"/>
            </w:pPr>
            <w:r>
              <w:t xml:space="preserve">Inclusion</w:t>
            </w:r>
          </w:p>
        </w:tc>
      </w:tr>
      <w:tr>
        <w:tc>
          <w:tcPr/>
          <w:p>
            <w:pPr>
              <w:pStyle w:val="Compact"/>
              <w:jc w:val="left"/>
            </w:pPr>
            <w:r>
              <w:t xml:space="preserve">Sexual aggression</w:t>
            </w:r>
          </w:p>
        </w:tc>
        <w:tc>
          <w:tcPr/>
          <w:p>
            <w:pPr>
              <w:pStyle w:val="Compact"/>
              <w:jc w:val="left"/>
            </w:pPr>
            <w:r>
              <w:t xml:space="preserve">Engaging in sexual activity with someone</w:t>
            </w:r>
            <w:r>
              <w:t xml:space="preserve"> </w:t>
            </w:r>
            <w:r>
              <w:t xml:space="preserve">who does not or cannot consent to that</w:t>
            </w:r>
            <w:r>
              <w:t xml:space="preserve"> </w:t>
            </w:r>
            <w:r>
              <w:t xml:space="preserve">behavior, or threatening to do so (e.g.,</w:t>
            </w:r>
            <w:r>
              <w:t xml:space="preserve"> </w:t>
            </w:r>
            <w:r>
              <w:t xml:space="preserve">harrassment)</w:t>
            </w:r>
          </w:p>
        </w:tc>
        <w:tc>
          <w:tcPr/>
          <w:p>
            <w:pPr>
              <w:pStyle w:val="Compact"/>
              <w:jc w:val="left"/>
            </w:pPr>
            <w:r>
              <w:t xml:space="preserve">Respect for consent</w:t>
            </w:r>
          </w:p>
        </w:tc>
      </w:tr>
      <w:tr>
        <w:tc>
          <w:tcPr/>
          <w:p>
            <w:pPr>
              <w:pStyle w:val="Compact"/>
              <w:jc w:val="left"/>
            </w:pPr>
            <w:r>
              <w:t xml:space="preserve">Impulsive sexual behavior/Risky sexual behavior</w:t>
            </w:r>
          </w:p>
        </w:tc>
        <w:tc>
          <w:tcPr/>
          <w:p>
            <w:pPr>
              <w:pStyle w:val="Compact"/>
              <w:jc w:val="left"/>
            </w:pPr>
            <w:r>
              <w:t xml:space="preserve">Engaging in risky sexual activity (e.g.,</w:t>
            </w:r>
            <w:r>
              <w:t xml:space="preserve"> </w:t>
            </w:r>
            <w:r>
              <w:t xml:space="preserve">sex without contraceptives)</w:t>
            </w:r>
          </w:p>
        </w:tc>
        <w:tc>
          <w:tcPr/>
          <w:p>
            <w:pPr>
              <w:pStyle w:val="Compact"/>
              <w:jc w:val="left"/>
            </w:pPr>
            <w:r>
              <w:t xml:space="preserve">Responsible sexual decision-making</w:t>
            </w:r>
          </w:p>
        </w:tc>
      </w:tr>
      <w:tr>
        <w:tc>
          <w:tcPr/>
          <w:p>
            <w:pPr>
              <w:pStyle w:val="Compact"/>
              <w:jc w:val="left"/>
            </w:pPr>
            <w:r>
              <w:t xml:space="preserve">(Harmful) Substance Use/Problems</w:t>
            </w:r>
          </w:p>
        </w:tc>
        <w:tc>
          <w:tcPr/>
          <w:p>
            <w:pPr>
              <w:pStyle w:val="Compact"/>
              <w:jc w:val="left"/>
            </w:pPr>
            <w:r>
              <w:t xml:space="preserve">Harmful use of any drugs (e.g., alcohol,</w:t>
            </w:r>
            <w:r>
              <w:t xml:space="preserve"> </w:t>
            </w:r>
            <w:r>
              <w:t xml:space="preserve">tobacco, illegal drugs)</w:t>
            </w:r>
          </w:p>
        </w:tc>
        <w:tc>
          <w:tcPr/>
          <w:p>
            <w:pPr>
              <w:pStyle w:val="Compact"/>
              <w:jc w:val="left"/>
            </w:pPr>
            <w:r>
              <w:t xml:space="preserve">Healthy choices around substance</w:t>
            </w:r>
            <w:r>
              <w:t xml:space="preserve"> </w:t>
            </w:r>
            <w:r>
              <w:t xml:space="preserve">use</w:t>
            </w:r>
          </w:p>
        </w:tc>
      </w:tr>
      <w:tr>
        <w:tc>
          <w:tcPr/>
          <w:p>
            <w:pPr>
              <w:pStyle w:val="Compact"/>
              <w:jc w:val="left"/>
            </w:pPr>
            <w:r>
              <w:t xml:space="preserve">Theft/Stealing</w:t>
            </w:r>
          </w:p>
        </w:tc>
        <w:tc>
          <w:tcPr/>
          <w:p>
            <w:pPr>
              <w:pStyle w:val="Compact"/>
              <w:jc w:val="left"/>
            </w:pPr>
            <w:r>
              <w:t xml:space="preserve">Unauthorized taking of someone else’s</w:t>
            </w:r>
            <w:r>
              <w:t xml:space="preserve"> </w:t>
            </w:r>
            <w:r>
              <w:t xml:space="preserve">property without their knowledge or consent</w:t>
            </w:r>
          </w:p>
        </w:tc>
        <w:tc>
          <w:tcPr/>
          <w:p>
            <w:pPr>
              <w:pStyle w:val="Compact"/>
              <w:jc w:val="left"/>
            </w:pPr>
            <w:r>
              <w:t xml:space="preserve">Respect for people’s possessions</w:t>
            </w:r>
          </w:p>
        </w:tc>
      </w:tr>
      <w:tr>
        <w:tc>
          <w:tcPr/>
          <w:p>
            <w:pPr>
              <w:pStyle w:val="Compact"/>
              <w:jc w:val="left"/>
            </w:pPr>
            <w:r>
              <w:t xml:space="preserve">Verbal Aggression</w:t>
            </w:r>
          </w:p>
        </w:tc>
        <w:tc>
          <w:tcPr/>
          <w:p>
            <w:pPr>
              <w:pStyle w:val="Compact"/>
              <w:jc w:val="left"/>
            </w:pPr>
            <w:r>
              <w:t xml:space="preserve">Communication with an intention to harm an</w:t>
            </w:r>
            <w:r>
              <w:t xml:space="preserve"> </w:t>
            </w:r>
            <w:r>
              <w:t xml:space="preserve">individual through words, tone or manner</w:t>
            </w:r>
          </w:p>
        </w:tc>
        <w:tc>
          <w:tcPr/>
          <w:p>
            <w:pPr>
              <w:pStyle w:val="Compact"/>
              <w:jc w:val="left"/>
            </w:pPr>
            <w:r>
              <w:t xml:space="preserve">Respectful communication</w:t>
            </w:r>
          </w:p>
        </w:tc>
      </w:tr>
    </w:tbl>
    <w:bookmarkEnd w:id="108"/>
    <w:p>
      <w:pPr>
        <w:pStyle w:val="FigureWithoutNote"/>
      </w:pPr>
      <w:r>
        <w:rPr>
          <w:vertAlign w:val="subscript"/>
        </w:rPr>
        <w:t xml:space="preserve">Source:</w:t>
      </w:r>
      <w:r>
        <w:rPr>
          <w:vertAlign w:val="subscript"/>
        </w:rPr>
        <w:t xml:space="preserve"> </w:t>
      </w:r>
      <w:hyperlink r:id="rId109">
        <w:r>
          <w:rPr>
            <w:rStyle w:val="Hyperlink"/>
            <w:vertAlign w:val="subscript"/>
          </w:rPr>
          <w:t xml:space="preserve">Analyses</w:t>
        </w:r>
      </w:hyperlink>
    </w:p>
    <w:p>
      <w:pPr>
        <w:pStyle w:val="AfterWithoutNote"/>
      </w:pPr>
      <w:r>
        <w:t xml:space="preserve">Because existing measures do not capture the full range of individual differences, this naturally further limits the measures’ sensitivity to detect change (i.e., responsiveness), which is crucial for clinical utility and for longitudinal research.</w:t>
      </w:r>
    </w:p>
    <w:bookmarkEnd w:id="110"/>
    <w:bookmarkStart w:id="111"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r>
        <w:t xml:space="preserve"> </w:t>
      </w:r>
      <w:r>
        <w:t xml:space="preserve">As we described above, existing assessment of externalizing behavior—and other aspects of psychopathology—have key limitations.</w:t>
      </w:r>
      <w:r>
        <w:t xml:space="preserve"> </w:t>
      </w:r>
      <w:r>
        <w:t xml:space="preserve">To address this concern, the field will need to develop better assessments.</w:t>
      </w:r>
      <w:r>
        <w:t xml:space="preserve"> </w:t>
      </w:r>
      <w:r>
        <w:t xml:space="preserve">Moreover, there are problems with how assessments are used to examine development—studies have primarily used the common items approach or the upward/downward extension approach across ages, which are problematic approaches that lead to inaccurate scores and resulting trajectories and developmental inferences.</w:t>
      </w:r>
      <w:r>
        <w:t xml:space="preserve"> </w:t>
      </w:r>
      <w:r>
        <w:t xml:space="preserve">To address this concern, we propose a potential solution to account for heterotypic continuity and to allow charting individuals’ change across the lifespan: a developmental scaling framework.</w:t>
      </w:r>
    </w:p>
    <w:bookmarkEnd w:id="111"/>
    <w:bookmarkEnd w:id="112"/>
    <w:bookmarkEnd w:id="113"/>
    <w:bookmarkStart w:id="125" w:name="X90173f212147643646723f86a6ce6f8ad77bf31"/>
    <w:p>
      <w:pPr>
        <w:pStyle w:val="Heading1"/>
      </w:pPr>
      <w:r>
        <w:t xml:space="preserve">Solution: A Developmental Scaling Framework</w:t>
      </w:r>
    </w:p>
    <w:p>
      <w:pPr>
        <w:pStyle w:val="FirstParagraph"/>
      </w:pPr>
      <w:r>
        <w:t xml:space="preserve">A developmental scaling framework informs both assessment—including item selection—and linking of scores.</w:t>
      </w:r>
    </w:p>
    <w:bookmarkStart w:id="118" w:name="item-selection"/>
    <w:p>
      <w:pPr>
        <w:pStyle w:val="Heading2"/>
      </w:pPr>
      <w:r>
        <w:t xml:space="preserve">Item Selection</w:t>
      </w:r>
    </w:p>
    <w:p>
      <w:pPr>
        <w:pStyle w:val="FirstParagraph"/>
      </w:pPr>
      <w:r>
        <w:t xml:space="preserve">When a construct changes in behavioral manifestation across development, which we would argue is the norm rather than the exception when considering constructs across the lifespan, it is important to account for such changes in item selection.</w:t>
      </w:r>
      <w:r>
        <w:t xml:space="preserve"> </w:t>
      </w:r>
      <w:r>
        <w:t xml:space="preserve">Thus, it is important to use the construct-valid items at a given age, even if that leads to using different measures across ages.</w:t>
      </w:r>
      <w:r>
        <w:t xml:space="preserve"> </w:t>
      </w:r>
      <w:r>
        <w:t xml:space="preserve">A conceptual depiction of an example construct-valid item design spanning infancy to adulthood is in</w:t>
      </w:r>
      <w:r>
        <w:t xml:space="preserve"> </w:t>
      </w:r>
      <w:hyperlink w:anchor="fig-constructValidItemDesign">
        <w:r>
          <w:rPr>
            <w:rStyle w:val="Hyperlink"/>
          </w:rPr>
          <w:t xml:space="preserve">Figure 8</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age-common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8</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17" w:name="fig-constructValidItemDesign"/>
    <w:p>
      <w:pPr>
        <w:pStyle w:val="FigureWithoutNote"/>
      </w:pPr>
      <w:r>
        <w:t xml:space="preserve">Figure 8</w:t>
      </w:r>
    </w:p>
    <w:p>
      <w:pPr>
        <w:pStyle w:val="FigureWithoutNote"/>
      </w:pPr>
      <w:r>
        <w:drawing>
          <wp:inline>
            <wp:extent cx="5877848" cy="3260034"/>
            <wp:effectExtent b="0" l="0" r="0" t="0"/>
            <wp:docPr descr="Conceptual Depiction of a Construct-Valid Item Design from Infancy to Adulthood" title="" id="115" name="Picture"/>
            <a:graphic>
              <a:graphicData uri="http://schemas.openxmlformats.org/drawingml/2006/picture">
                <pic:pic>
                  <pic:nvPicPr>
                    <pic:cNvPr descr="Figures/constructValidItemDesign.png" id="116" name="Picture"/>
                    <pic:cNvPicPr>
                      <a:picLocks noChangeArrowheads="1" noChangeAspect="1"/>
                    </pic:cNvPicPr>
                  </pic:nvPicPr>
                  <pic:blipFill>
                    <a:blip r:embed="rId114"/>
                    <a:stretch>
                      <a:fillRect/>
                    </a:stretch>
                  </pic:blipFill>
                  <pic:spPr bwMode="auto">
                    <a:xfrm>
                      <a:off x="0" y="0"/>
                      <a:ext cx="5877848" cy="3260034"/>
                    </a:xfrm>
                    <a:prstGeom prst="rect">
                      <a:avLst/>
                    </a:prstGeom>
                    <a:noFill/>
                    <a:ln w="9525">
                      <a:noFill/>
                      <a:headEnd/>
                      <a:tailEnd/>
                    </a:ln>
                  </pic:spPr>
                </pic:pic>
              </a:graphicData>
            </a:graphic>
          </wp:inline>
        </w:drawing>
      </w:r>
      <w:r>
        <w:t xml:space="preserve">{</w:t>
      </w:r>
      <w:r>
        <w:t xml:space="preserve"> </w:t>
      </w:r>
      <w:r>
        <w:t xml:space="preserve">width=100%</w:t>
      </w:r>
      <w:r>
        <w:t xml:space="preserve"> </w:t>
      </w:r>
      <w:r>
        <w:t xml:space="preserve">fig-alt=</w:t>
      </w:r>
      <w:r>
        <w:t xml:space="preserve">“Conceptual depiction of a construct-valid item design from infancy to adulthood.”</w:t>
      </w:r>
      <w:r>
        <w:t xml:space="preserve"> </w:t>
      </w:r>
      <w:r>
        <w:t xml:space="preserve">apa-note=</w:t>
      </w:r>
      <w:r>
        <w:t xml:space="preserve">“The age(s) at which an item set is assessed are represented by the letter</w:t>
      </w:r>
      <w:r>
        <w:t xml:space="preserve"> </w:t>
      </w:r>
      <w:r>
        <w:rPr>
          <w:rStyle w:val="VerbatimChar"/>
        </w:rPr>
        <w:t xml:space="preserve">x</w:t>
      </w:r>
      <w:r>
        <w:t xml:space="preserve"> </w:t>
      </w:r>
      <w:r>
        <w:t xml:space="preserve">and a colored box. Some items (”</w:t>
      </w:r>
      <w:r>
        <w:t xml:space="preserve">Core”, in green) represent the core of the phenotype and are assessed across all ages. Some items (in varying shades of brown) are age-specific and are assessed at only one or a few ages. However, some of the items assessed at a given age are shared with those assessed at adjacent ages, to facilitate linking the scores across ages. 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 Hypothetically, items could be assessed for as many or as few years as desired—as long as the items are construct valid for those ages and there enough age-common items between adjacent ages for linking scores across ages.”</w:t>
      </w:r>
      <w:r>
        <w:t xml:space="preserve"> </w:t>
      </w:r>
      <w:r>
        <w:t xml:space="preserve">}</w:t>
      </w:r>
    </w:p>
    <w:bookmarkEnd w:id="117"/>
    <w:bookmarkEnd w:id="118"/>
    <w:bookmarkStart w:id="124" w:name="linking-of-scores"/>
    <w:p>
      <w:pPr>
        <w:pStyle w:val="Heading2"/>
      </w:pPr>
      <w:r>
        <w:t xml:space="preserve">Linking of Scores</w:t>
      </w:r>
    </w:p>
    <w:p>
      <w:pPr>
        <w:pStyle w:val="FirstParagraph"/>
      </w:pPr>
      <w:r>
        <w:t xml:space="preserve">After the age-differing measures have been assessed, the scores from the age-differing measures can be linked to be on the same scale.</w:t>
      </w:r>
      <w:r>
        <w:t xml:space="preserve"> </w:t>
      </w:r>
      <w:r>
        <w:t xml:space="preserve">To perform developmental scaling, a variety of approaches can be used, including partial measurement invariance, the alignment method, moderated nonlinear factor analysis (MNLFA), and item response theory (IRT).</w:t>
      </w:r>
      <w:r>
        <w:t xml:space="preserve"> </w:t>
      </w:r>
      <w:r>
        <w:t xml:space="preserve">These are all approaches to harmonization—i.e., linking scores from different measures onto the same scale so they can be meaningfully compared.</w:t>
      </w:r>
      <w:r>
        <w:t xml:space="preserve"> </w:t>
      </w:r>
      <w:r>
        <w:t xml:space="preserve">They attempt to estimate latent variables—using either confirmatory factor analysis (CFA) or IRT—on a common scale across ages.</w:t>
      </w:r>
      <w:r>
        <w:t xml:space="preserve"> </w:t>
      </w:r>
      <w:r>
        <w:t xml:space="preserve"> </w:t>
      </w:r>
      <w:r>
        <w:t xml:space="preserve">They do so by trying to align the item parameters for at least a subset of items.</w:t>
      </w:r>
      <w:r>
        <w:t xml:space="preserve"> </w:t>
      </w:r>
      <w:r>
        <w:t xml:space="preserve">In particular, to be able to chart individuals’ change over time, it is helpful to ensure that the scores are on the same number line across time—that is, they have the same scale and location across ages.</w:t>
      </w:r>
      <w:r>
        <w:t xml:space="preserve"> </w:t>
      </w:r>
      <w:r>
        <w:t xml:space="preserve">Scale refers to the size of a unit on the number line.</w:t>
      </w:r>
      <w:r>
        <w:t xml:space="preserve"> </w:t>
      </w:r>
      <w:r>
        <w:t xml:space="preserve">If scores have the same scale across ages, a one-unit difference represents the same amount of the construct at each age.</w:t>
      </w:r>
      <w:r>
        <w:t xml:space="preserve"> </w:t>
      </w:r>
      <w:r>
        <w:t xml:space="preserve">Location refers to the origin or zero point on the number line.</w:t>
      </w:r>
      <w:r>
        <w:t xml:space="preserve"> </w:t>
      </w:r>
      <w:r>
        <w:t xml:space="preserve">If scores have the same location across ages, a score of zero corresponds to the same position on the construct across ages.</w:t>
      </w:r>
      <w:r>
        <w:t xml:space="preserve"> </w:t>
      </w:r>
      <w:r>
        <w:t xml:space="preserve">Collectively, if scores have the same scale and location across ages, the measure is constantly calibrated across ages and the same score corresponds to the same level on the construct across ages.</w:t>
      </w:r>
      <w:r>
        <w:t xml:space="preserve"> </w:t>
      </w:r>
      <w:r>
        <w:t xml:space="preserve">CFA and IRT each have item parameters corresponding to scale and location.</w:t>
      </w:r>
    </w:p>
    <w:p>
      <w:pPr>
        <w:pStyle w:val="BodyText"/>
      </w:pPr>
      <w:r>
        <w:t xml:space="preserve">In CFA, scale is informed by an item’s factor loading, and location is informed by an item’s intercept.</w:t>
      </w:r>
      <w:r>
        <w:t xml:space="preserve"> </w:t>
      </w:r>
      <w:r>
        <w:t xml:space="preserve">A factor loading reflects the strength of association between the item and the latent factor, with larger loadings indicating stronger associations.</w:t>
      </w:r>
      <w:r>
        <w:t xml:space="preserve"> </w:t>
      </w:r>
      <w:r>
        <w:t xml:space="preserve">For instance, an item assessing the extent to which the child hits others would have a stronger factor loading on an externalizing factor than an item assessing the extent to which the child likes ice cream.</w:t>
      </w:r>
      <w:r>
        <w:t xml:space="preserve"> </w:t>
      </w:r>
      <w:r>
        <w:t xml:space="preserve">The intercept is the expected score on the item when the latent factor equals zero.</w:t>
      </w:r>
      <w:r>
        <w:t xml:space="preserve"> </w:t>
      </w:r>
      <w:r>
        <w:t xml:space="preserve">When the latent factor is centered to have a mean of zero, the intercept represents the expected score on the item for someone at the mean level of the construct.</w:t>
      </w:r>
      <w:r>
        <w:t xml:space="preserve"> </w:t>
      </w:r>
      <w:r>
        <w:t xml:space="preserve">Items with lower intercepts tend to be endorsed by individuals with higher levels of the latent factor and therefore often reflect more severe behaviors.</w:t>
      </w:r>
      <w:r>
        <w:t xml:space="preserve"> </w:t>
      </w:r>
      <w:r>
        <w:t xml:space="preserve">For example, an item assessing the extent to which the child sets fires would be expected to have a lower intercept than an item assessing the extent to which the child argues.</w:t>
      </w:r>
    </w:p>
    <w:p>
      <w:pPr>
        <w:pStyle w:val="BodyText"/>
      </w:pPr>
      <w:r>
        <w:t xml:space="preserve">In IRT, scale is informed by an item’s discrimination, and location is informed by an item’s difficulty.</w:t>
      </w:r>
      <w:r>
        <w:t xml:space="preserve"> </w:t>
      </w:r>
      <w:r>
        <w:t xml:space="preserve">An item’s discrimination reflects how strongly the item differentiates individuals at different levels of the construct, with higher discrimination indicating a stronger association with the latent factor.</w:t>
      </w:r>
      <w:r>
        <w:t xml:space="preserve"> </w:t>
      </w:r>
      <w:r>
        <w:t xml:space="preserve">In a two-parameter IRT model, an item’s difficulty reflects the level on the latent factor where there is a 50% probability of endorsing the item.</w:t>
      </w:r>
      <w:r>
        <w:t xml:space="preserve"> </w:t>
      </w:r>
      <w:r>
        <w:t xml:space="preserve">Items with higher difficulty require a higher level of the latent factor to have a 50% probability of endorsing the item and therefore represent more severe behaviors.</w:t>
      </w:r>
    </w:p>
    <w:p>
      <w:pPr>
        <w:pStyle w:val="BodyText"/>
      </w:pPr>
      <w:r>
        <w:t xml:space="preserve">The partial invariance method can be used to link scores across different measures</w:t>
      </w:r>
      <w:r>
        <w:t xml:space="preserve"> </w:t>
      </w:r>
      <w:r>
        <w:t xml:space="preserve">(</w:t>
      </w:r>
      <w:hyperlink w:anchor="ref-Tyrell2019">
        <w:r>
          <w:rPr>
            <w:rStyle w:val="Hyperlink"/>
          </w:rPr>
          <w:t xml:space="preserve">Tyrell et al., 2019</w:t>
        </w:r>
      </w:hyperlink>
      <w:r>
        <w:t xml:space="preserve">)</w:t>
      </w:r>
      <w:r>
        <w:t xml:space="preserve"> </w:t>
      </w:r>
      <w:r>
        <w:t xml:space="preserve">and can be paired with second-order growth functions to examine individuals’ change over time</w:t>
      </w:r>
      <w:r>
        <w:t xml:space="preserve"> </w:t>
      </w:r>
      <w:r>
        <w:t xml:space="preserve">(</w:t>
      </w:r>
      <w:hyperlink w:anchor="ref-Hancock2008">
        <w:r>
          <w:rPr>
            <w:rStyle w:val="Hyperlink"/>
          </w:rPr>
          <w:t xml:space="preserve">Hancock &amp; Buehl, 2008</w:t>
        </w:r>
      </w:hyperlink>
      <w:r>
        <w:t xml:space="preserve">)</w:t>
      </w:r>
      <w:r>
        <w:t xml:space="preserve">.</w:t>
      </w:r>
      <w:r>
        <w:t xml:space="preserve"> </w:t>
      </w:r>
      <w:r>
        <w:t xml:space="preserve">The partial invariance approach attempts to establish partial strong longitudinal factorial invariance</w:t>
      </w:r>
      <w:r>
        <w:rPr>
          <w:rStyle w:val="FootnoteReference"/>
        </w:rPr>
        <w:footnoteReference w:id="119"/>
      </w:r>
      <w:r>
        <w:t xml:space="preserve">—i.e., invariant intercepts and factor loadings across ages for a subset of items to set the latent factor across ages on a comparable scale, with some items’ intercepts and/or factor loadings allowed to differ across ages.</w:t>
      </w:r>
      <w:r>
        <w:t xml:space="preserve"> </w:t>
      </w:r>
      <w:r>
        <w:t xml:space="preserve">The researcher first identifies which items show invariant factors loadings and/or intercepts and which items show noninvariant factor loadings or intercepts.</w:t>
      </w:r>
      <w:r>
        <w:t xml:space="preserve"> </w:t>
      </w:r>
      <w:r>
        <w:t xml:space="preserve">The researcher then constrains the factors loadings across time for any items with invariant factor loadings, to serve as anchor items and establish an equivalent scale of the measures across time, and allows the factor loadings to differ across time for the items with noninvariant factors loadings.</w:t>
      </w:r>
      <w:r>
        <w:t xml:space="preserve"> </w:t>
      </w:r>
      <w:r>
        <w:t xml:space="preserve">In addition, the researcher constrains the intercepts across time for any items with invariant intercepts, to serve as anchor items and establish an equivalent location of the measures across time, and allows the intercepts to differ across time for the items with noninvariant intercepts.</w:t>
      </w:r>
      <w:r>
        <w:t xml:space="preserve"> </w:t>
      </w:r>
      <w:r>
        <w:t xml:space="preserve">The anchor items thus equate the latent factor over time, preventing drift in the scale calibration and rendering scores comparable across time</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Then, the researcher estimates second-order growth functions (e.g., intercept and slope) of the first-order latent factor across time.</w:t>
      </w:r>
      <w:r>
        <w:t xml:space="preserve"> </w:t>
      </w:r>
      <w:r>
        <w:t xml:space="preserve">The method can allow different indicators across ages, either by dropping or adding indicators or by using item parcels composed of differing items across ages</w:t>
      </w:r>
      <w:r>
        <w:t xml:space="preserve"> </w:t>
      </w:r>
      <w:r>
        <w:t xml:space="preserve">(</w:t>
      </w:r>
      <w:hyperlink w:anchor="ref-Tyrell2019">
        <w:r>
          <w:rPr>
            <w:rStyle w:val="Hyperlink"/>
          </w:rPr>
          <w:t xml:space="preserve">Tyrell et al., 2019</w:t>
        </w:r>
      </w:hyperlink>
      <w:r>
        <w:t xml:space="preserve">)</w:t>
      </w:r>
      <w:r>
        <w:t xml:space="preserve">.</w:t>
      </w:r>
      <w:r>
        <w:t xml:space="preserve"> </w:t>
      </w:r>
      <w:r>
        <w:t xml:space="preserve">However, the partial invariance approach requires identifying—and accurately specifying—invariant items and any noninvariant items, which can be both inefficient and error-prone</w:t>
      </w:r>
      <w:r>
        <w:t xml:space="preserve"> </w:t>
      </w:r>
      <w:r>
        <w:t xml:space="preserve">(</w:t>
      </w:r>
      <w:hyperlink w:anchor="ref-ChenPM">
        <w:r>
          <w:rPr>
            <w:rStyle w:val="Hyperlink"/>
          </w:rPr>
          <w:t xml:space="preserve">S. M. Chen &amp; Bauer, in pressb</w:t>
        </w:r>
      </w:hyperlink>
      <w:r>
        <w:t xml:space="preserve">;</w:t>
      </w:r>
      <w:r>
        <w:t xml:space="preserve"> </w:t>
      </w:r>
      <w:hyperlink w:anchor="ref-Lai2023">
        <w:r>
          <w:rPr>
            <w:rStyle w:val="Hyperlink"/>
          </w:rPr>
          <w:t xml:space="preserve">Lai, 2023</w:t>
        </w:r>
      </w:hyperlink>
      <w:r>
        <w:t xml:space="preserve">)</w:t>
      </w:r>
      <w:r>
        <w:t xml:space="preserve">.</w:t>
      </w:r>
      <w:r>
        <w:t xml:space="preserve"> </w:t>
      </w:r>
      <w:r>
        <w:t xml:space="preserve">Moreover, the partial invariance approach tends not to work as well when a large proportion of items are noninvariant</w:t>
      </w:r>
      <w:r>
        <w:t xml:space="preserve"> </w:t>
      </w:r>
      <w:r>
        <w:t xml:space="preserve">(</w:t>
      </w:r>
      <w:hyperlink w:anchor="ref-Lai2023">
        <w:r>
          <w:rPr>
            <w:rStyle w:val="Hyperlink"/>
          </w:rPr>
          <w:t xml:space="preserve">Lai, 2023</w:t>
        </w:r>
      </w:hyperlink>
      <w:r>
        <w:t xml:space="preserve">)</w:t>
      </w:r>
      <w:r>
        <w:t xml:space="preserve">, there are many timepoints, there is considerable variability in the numbers of responses provided to items such as might occur due to missing data or when not all items are assessed at all timepoints, or the researcher wants to consider DIF as a function of multiple variables or continuous variables</w:t>
      </w:r>
      <w:r>
        <w:t xml:space="preserve"> </w:t>
      </w:r>
      <w:r>
        <w:t xml:space="preserve">(</w:t>
      </w:r>
      <w:hyperlink w:anchor="ref-ChenPM">
        <w:r>
          <w:rPr>
            <w:rStyle w:val="Hyperlink"/>
          </w:rPr>
          <w:t xml:space="preserve">S. M. Chen &amp; Bauer, in pressb</w:t>
        </w:r>
      </w:hyperlink>
      <w:r>
        <w:t xml:space="preserve">)</w:t>
      </w:r>
      <w:r>
        <w:t xml:space="preserve">.</w:t>
      </w:r>
    </w:p>
    <w:p>
      <w:pPr>
        <w:pStyle w:val="BodyText"/>
      </w:pPr>
      <w:r>
        <w:t xml:space="preserve">The alignment optimization method</w:t>
      </w:r>
      <w:r>
        <w:t xml:space="preserve"> </w:t>
      </w:r>
      <w:r>
        <w:t xml:space="preserve">(</w:t>
      </w:r>
      <w:hyperlink w:anchor="ref-Muthen2014">
        <w:r>
          <w:rPr>
            <w:rStyle w:val="Hyperlink"/>
          </w:rPr>
          <w:t xml:space="preserve">Muthén &amp; Asparouhov, 2014</w:t>
        </w:r>
      </w:hyperlink>
      <w:r>
        <w:t xml:space="preserve">)</w:t>
      </w:r>
      <w:r>
        <w:t xml:space="preserve"> </w:t>
      </w:r>
      <w:r>
        <w:t xml:space="preserve">has been used to link scores across time</w:t>
      </w:r>
      <w:r>
        <w:t xml:space="preserve"> </w:t>
      </w:r>
      <w:r>
        <w:t xml:space="preserve">(</w:t>
      </w:r>
      <w:hyperlink w:anchor="ref-Lai2023">
        <w:r>
          <w:rPr>
            <w:rStyle w:val="Hyperlink"/>
          </w:rPr>
          <w:t xml:space="preserve">Lai, 2023</w:t>
        </w:r>
      </w:hyperlink>
      <w:r>
        <w:t xml:space="preserve">)</w:t>
      </w:r>
      <w:r>
        <w:t xml:space="preserve">.</w:t>
      </w:r>
      <w:r>
        <w:t xml:space="preserve"> </w:t>
      </w:r>
      <w:r>
        <w:t xml:space="preserve">The alignment optimization method within confirmatory factor analysis attempts to identify a model with approximate longitudinal factorial invariance—that is, to retain any instances of large noninvariance across ages and to keep other parameters approximately invariant across ages—to adjust for violations of invariance.</w:t>
      </w:r>
      <w:r>
        <w:t xml:space="preserve"> </w:t>
      </w:r>
      <w:r>
        <w:t xml:space="preserve">The approach uses a component loss function to align the item parameters across ages so that the scores on the latent factors are on the same scale.</w:t>
      </w:r>
      <w:r>
        <w:t xml:space="preserve"> </w:t>
      </w:r>
      <w:r>
        <w:t xml:space="preserve">Unlike the partial invariance method, the alignment method does not require a priori identification of any noninvariant items</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MNLFA</w:t>
      </w:r>
      <w:r>
        <w:t xml:space="preserve"> </w:t>
      </w:r>
      <w:r>
        <w:t xml:space="preserve">(</w:t>
      </w:r>
      <w:hyperlink w:anchor="ref-Bauer2017">
        <w:r>
          <w:rPr>
            <w:rStyle w:val="Hyperlink"/>
          </w:rPr>
          <w:t xml:space="preserve">Bauer, 2017</w:t>
        </w:r>
      </w:hyperlink>
      <w:r>
        <w:t xml:space="preserve">)</w:t>
      </w:r>
      <w:r>
        <w:t xml:space="preserve"> </w:t>
      </w:r>
      <w:r>
        <w:t xml:space="preserve">has also been used to link scores across different measures</w:t>
      </w:r>
      <w:r>
        <w:t xml:space="preserve"> </w:t>
      </w:r>
      <w:r>
        <w:t xml:space="preserve">(</w:t>
      </w:r>
      <w:hyperlink w:anchor="ref-Curran2014">
        <w:r>
          <w:rPr>
            <w:rStyle w:val="Hyperlink"/>
          </w:rPr>
          <w:t xml:space="preserve">Curran et al., 2014</w:t>
        </w:r>
      </w:hyperlink>
      <w:r>
        <w:t xml:space="preserve">)</w:t>
      </w:r>
      <w:r>
        <w:t xml:space="preserve">, including across ages</w:t>
      </w:r>
      <w:r>
        <w:t xml:space="preserve"> </w:t>
      </w:r>
      <w:r>
        <w:t xml:space="preserve">(</w:t>
      </w:r>
      <w:hyperlink w:anchor="ref-ChenPM">
        <w:r>
          <w:rPr>
            <w:rStyle w:val="Hyperlink"/>
          </w:rPr>
          <w:t xml:space="preserve">S. M. Chen &amp; Bauer, in pressb</w:t>
        </w:r>
      </w:hyperlink>
      <w:r>
        <w:t xml:space="preserve">,</w:t>
      </w:r>
      <w:r>
        <w:t xml:space="preserve"> </w:t>
      </w:r>
      <w:hyperlink w:anchor="ref-ChenMBR">
        <w:r>
          <w:rPr>
            <w:rStyle w:val="Hyperlink"/>
          </w:rPr>
          <w:t xml:space="preserve">in pressa</w:t>
        </w:r>
      </w:hyperlink>
      <w:r>
        <w:t xml:space="preserve">)</w:t>
      </w:r>
      <w:r>
        <w:t xml:space="preserve">.</w:t>
      </w:r>
      <w:r>
        <w:t xml:space="preserve"> </w:t>
      </w:r>
      <w:r>
        <w:t xml:space="preserve">Unlike the partial invariance approach, MNLFA represents the measurement model in continuous time (rather than discrete time).</w:t>
      </w:r>
      <w:r>
        <w:t xml:space="preserve"> </w:t>
      </w:r>
      <w:r>
        <w:t xml:space="preserve">MNLFA allows simultaneous estimation of growth functions while estimating and accounting for DIF effects.</w:t>
      </w:r>
      <w:r>
        <w:t xml:space="preserve"> </w:t>
      </w:r>
      <w:r>
        <w:t xml:space="preserve">It allows estimating DIF as a function of time and as a function of multiple variables, including categorical and continuous variables.</w:t>
      </w:r>
      <w:r>
        <w:t xml:space="preserve"> </w:t>
      </w:r>
      <w:r>
        <w:t xml:space="preserve">Bayesian approaches can be used to apply MNLFA.</w:t>
      </w:r>
      <w:r>
        <w:t xml:space="preserve"> </w:t>
      </w:r>
      <w:r>
        <w:t xml:space="preserve">A key benefit of Bayesian approaches is the use of regularizing priors that allow estimating the model without having to identify noninvariant/DIF items and anchor items in advance</w:t>
      </w:r>
      <w:r>
        <w:t xml:space="preserve"> </w:t>
      </w:r>
      <w:r>
        <w:t xml:space="preserve">(</w:t>
      </w:r>
      <w:hyperlink w:anchor="ref-ChenPM">
        <w:r>
          <w:rPr>
            <w:rStyle w:val="Hyperlink"/>
          </w:rPr>
          <w:t xml:space="preserve">S. M. Chen &amp; Bauer, in pressb</w:t>
        </w:r>
      </w:hyperlink>
      <w:r>
        <w:t xml:space="preserve">,</w:t>
      </w:r>
      <w:r>
        <w:t xml:space="preserve"> </w:t>
      </w:r>
      <w:hyperlink w:anchor="ref-ChenMBR">
        <w:r>
          <w:rPr>
            <w:rStyle w:val="Hyperlink"/>
          </w:rPr>
          <w:t xml:space="preserve">in pressa</w:t>
        </w:r>
      </w:hyperlink>
      <w:r>
        <w:t xml:space="preserve">)</w:t>
      </w:r>
      <w:r>
        <w:t xml:space="preserve">.</w:t>
      </w:r>
      <w:r>
        <w:t xml:space="preserve"> </w:t>
      </w:r>
      <w:r>
        <w:t xml:space="preserve">Using regularization, unimportant DIF effects are shunken toward zero—while retaining larger DIF effects—thus identifying potential anchor items without having to specify them in advance</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In addition, Bayesian approaches are often better suited to handle small sample sizes and data with sparse responses</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Using a simulation,</w:t>
      </w:r>
      <w:r>
        <w:t xml:space="preserve"> </w:t>
      </w:r>
      <w:r>
        <w:t xml:space="preserve">S. M. Chen and Bauer (</w:t>
      </w:r>
      <w:hyperlink w:anchor="ref-ChenMBR">
        <w:r>
          <w:rPr>
            <w:rStyle w:val="Hyperlink"/>
          </w:rPr>
          <w:t xml:space="preserve">in pressa</w:t>
        </w:r>
      </w:hyperlink>
      <w:r>
        <w:t xml:space="preserve">)</w:t>
      </w:r>
      <w:r>
        <w:t xml:space="preserve"> </w:t>
      </w:r>
      <w:r>
        <w:t xml:space="preserve">found that MNLFA estimated change more accurately than traditional first- or second-order growth curve models.</w:t>
      </w:r>
    </w:p>
    <w:p>
      <w:pPr>
        <w:pStyle w:val="BodyText"/>
      </w:pPr>
      <w:r>
        <w:t xml:space="preserve">IRT can also be used to link scores across different measures</w:t>
      </w:r>
      <w:r>
        <w:t xml:space="preserve"> </w:t>
      </w:r>
      <w:r>
        <w:t xml:space="preserve">(</w:t>
      </w:r>
      <w:hyperlink w:anchor="ref-Kolen2014">
        <w:r>
          <w:rPr>
            <w:rStyle w:val="Hyperlink"/>
          </w:rPr>
          <w:t xml:space="preserve">Kolen &amp; Brennan, 2014</w:t>
        </w:r>
      </w:hyperlink>
      <w:r>
        <w:t xml:space="preserve">)</w:t>
      </w:r>
      <w:r>
        <w:t xml:space="preserve">.</w:t>
      </w:r>
      <w:r>
        <w:t xml:space="preserve"> </w:t>
      </w:r>
      <w:r>
        <w:t xml:space="preserve">The IRT approach to developmetal scaling is depicted in</w:t>
      </w:r>
      <w:r>
        <w:t xml:space="preserve"> </w:t>
      </w:r>
      <w:hyperlink w:anchor="fig-linking">
        <w:r>
          <w:rPr>
            <w:rStyle w:val="Hyperlink"/>
          </w:rPr>
          <w:t xml:space="preserve">Figure 9</w:t>
        </w:r>
      </w:hyperlink>
      <w:r>
        <w:t xml:space="preserve">.</w:t>
      </w:r>
      <w:r>
        <w:t xml:space="preserve"> </w:t>
      </w:r>
      <w:r>
        <w:t xml:space="preserve"> </w:t>
      </w:r>
      <w:r>
        <w:t xml:space="preserve">The IRT approach to developmental scaling identifies scaling parameters that minimize the differences between the probability of a person endorsing the age-common items across two measures, at a given construct level.</w:t>
      </w:r>
      <w:r>
        <w:t xml:space="preserve"> </w:t>
      </w:r>
      <w:r>
        <w:t xml:space="preserve">That is, IRT links measures’ scales based on the difficulty and discrimination of the age-common items.</w:t>
      </w:r>
      <w:r>
        <w:t xml:space="preserve"> </w:t>
      </w:r>
      <w:r>
        <w:t xml:space="preserve">In developmental scaling, scores on the construct-valid items at the reference age set the scale, the age-common items adjusts subsequent scores to that scale, and all construct-valid items (i.e., both age-common and age-unique items) at a given timepoint is used to estimate each person’s score on that scale.</w:t>
      </w:r>
      <w:r>
        <w:t xml:space="preserve"> </w:t>
      </w:r>
      <w:r>
        <w:t xml:space="preserve">Thus, the age-common items are used to determine the general form of change on an identical scale, but all developmentally relevant, construct-valid items are used to estimate each person’s construct level on this scale.</w:t>
      </w:r>
      <w:r>
        <w:t xml:space="preserve"> </w:t>
      </w:r>
      <w:r>
        <w:t xml:space="preserve">Traditionally IRT represents the measurement model in discrete time.</w:t>
      </w:r>
      <w:r>
        <w:t xml:space="preserve"> </w:t>
      </w:r>
      <w:r>
        <w:t xml:space="preserve">Like MNFLA, however, IRT (particularly in the mixed model formulation) can represent the measurement model in continuous time and allows testing DIF over time and as a function of multiple variables and continuous variables.</w:t>
      </w:r>
      <w:r>
        <w:t xml:space="preserve"> </w:t>
      </w:r>
      <w:r>
        <w:t xml:space="preserve">Moreover, like MNLFA, it allows simultaneous estimation of growth functions while estimating and accounting for DIF effects.</w:t>
      </w:r>
      <w:r>
        <w:t xml:space="preserve"> </w:t>
      </w:r>
      <w:r>
        <w:t xml:space="preserve">In addition, like MNFLA, IRT allows Bayesian estimation and regularizizing priors to identify anchor items without having to specify them in advance.</w:t>
      </w:r>
    </w:p>
    <w:bookmarkStart w:id="123" w:name="fig-linking"/>
    <w:p>
      <w:pPr>
        <w:pStyle w:val="FigureWithoutNote"/>
      </w:pPr>
      <w:r>
        <w:t xml:space="preserve">Figure 9</w:t>
      </w:r>
    </w:p>
    <w:p>
      <w:pPr>
        <w:pStyle w:val="FigureWithoutNote"/>
      </w:pPr>
      <w:r>
        <w:drawing>
          <wp:inline>
            <wp:extent cx="5503598" cy="3669065"/>
            <wp:effectExtent b="0" l="0" r="0" t="0"/>
            <wp:docPr descr="Example of Linking Scores From Measures Across Ages Using the Item Response Theory Approach to Developmental Scaling" title="" id="121" name="Picture"/>
            <a:graphic>
              <a:graphicData uri="http://schemas.openxmlformats.org/drawingml/2006/picture">
                <pic:pic>
                  <pic:nvPicPr>
                    <pic:cNvPr descr="Figures/Petersen2021_figure1.png" id="122" name="Picture"/>
                    <pic:cNvPicPr>
                      <a:picLocks noChangeArrowheads="1" noChangeAspect="1"/>
                    </pic:cNvPicPr>
                  </pic:nvPicPr>
                  <pic:blipFill>
                    <a:blip r:embed="rId120"/>
                    <a:stretch>
                      <a:fillRect/>
                    </a:stretch>
                  </pic:blipFill>
                  <pic:spPr bwMode="auto">
                    <a:xfrm>
                      <a:off x="0" y="0"/>
                      <a:ext cx="5503598" cy="3669065"/>
                    </a:xfrm>
                    <a:prstGeom prst="rect">
                      <a:avLst/>
                    </a:prstGeom>
                    <a:noFill/>
                    <a:ln w="9525">
                      <a:noFill/>
                      <a:headEnd/>
                      <a:tailEnd/>
                    </a:ln>
                  </pic:spPr>
                </pic:pic>
              </a:graphicData>
            </a:graphic>
          </wp:inline>
        </w:drawing>
      </w:r>
    </w:p>
    <w:bookmarkEnd w:id="123"/>
    <w:p>
      <w:pPr>
        <w:pStyle w:val="AfterWithoutNote"/>
      </w:pPr>
      <w:r>
        <w:t xml:space="preserve">Nevertheless, for many of these approaches, at least one anchor item is necessary to link the scale of the latent factor across timepoints</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Moreover, when treating time continuously, the functional form of any DIF as a function of time must be correctly specified</w:t>
      </w:r>
      <w:r>
        <w:t xml:space="preserve"> </w:t>
      </w:r>
      <w:r>
        <w:t xml:space="preserve">(</w:t>
      </w:r>
      <w:hyperlink w:anchor="ref-ChenPM">
        <w:r>
          <w:rPr>
            <w:rStyle w:val="Hyperlink"/>
          </w:rPr>
          <w:t xml:space="preserve">S. M. Chen &amp; Bauer, in pressb</w:t>
        </w:r>
      </w:hyperlink>
      <w:r>
        <w:t xml:space="preserve">)</w:t>
      </w:r>
      <w:r>
        <w:t xml:space="preserve">.</w:t>
      </w:r>
    </w:p>
    <w:bookmarkEnd w:id="124"/>
    <w:bookmarkEnd w:id="125"/>
    <w:bookmarkStart w:id="139" w:name="other-key-challenges-to-address"/>
    <w:p>
      <w:pPr>
        <w:pStyle w:val="Heading1"/>
      </w:pPr>
      <w:r>
        <w:t xml:space="preserve">Other Key Challenges to Address</w:t>
      </w:r>
    </w:p>
    <w:bookmarkStart w:id="134" w:name="sec-potential-confounds-of-change"/>
    <w:p>
      <w:pPr>
        <w:pStyle w:val="Heading2"/>
      </w:pPr>
      <w:r>
        <w:t xml:space="preserve">Potential Confounds of Change</w:t>
      </w:r>
    </w:p>
    <w:bookmarkStart w:id="126" w:name="practiceretest-effects"/>
    <w:p>
      <w:pPr>
        <w:pStyle w:val="Heading3"/>
      </w:pPr>
      <w:r>
        <w:t xml:space="preserve">Practice/Retest Effects</w:t>
      </w:r>
    </w:p>
    <w:bookmarkEnd w:id="126"/>
    <w:bookmarkStart w:id="131" w:name="period-and-cohort-effects"/>
    <w:p>
      <w:pPr>
        <w:pStyle w:val="Heading3"/>
      </w:pPr>
      <w:r>
        <w:t xml:space="preserve">Period and Cohort Effects</w:t>
      </w:r>
    </w:p>
    <w:p>
      <w:pPr>
        <w:pStyle w:val="FirstParagraph"/>
      </w:pPr>
      <w:r>
        <w:t xml:space="preserve">Various types of cross-sectional and longitudinal designs are depicted in</w:t>
      </w:r>
      <w:r>
        <w:t xml:space="preserve"> </w:t>
      </w:r>
      <w:hyperlink w:anchor="fig-longitudinalDesigns">
        <w:r>
          <w:rPr>
            <w:rStyle w:val="Hyperlink"/>
          </w:rPr>
          <w:t xml:space="preserve">Figure 10</w:t>
        </w:r>
      </w:hyperlink>
      <w:r>
        <w:t xml:space="preserve">.</w:t>
      </w:r>
    </w:p>
    <w:bookmarkStart w:id="130" w:name="fig-longitudinalDesigns"/>
    <w:p>
      <w:pPr>
        <w:pStyle w:val="FigureWithoutNote"/>
      </w:pPr>
      <w:r>
        <w:t xml:space="preserve">Figure 10</w:t>
      </w:r>
    </w:p>
    <w:p>
      <w:pPr>
        <w:pStyle w:val="FigureWithoutNote"/>
      </w:pPr>
      <w:r>
        <w:drawing>
          <wp:inline>
            <wp:extent cx="5943600" cy="6619717"/>
            <wp:effectExtent b="0" l="0" r="0" t="0"/>
            <wp:docPr descr="Research Designs by Time of Measurement and Cohort" title="" id="128" name="Picture"/>
            <a:graphic>
              <a:graphicData uri="http://schemas.openxmlformats.org/drawingml/2006/picture">
                <pic:pic>
                  <pic:nvPicPr>
                    <pic:cNvPr descr="Figures/longitudinalDesigns.png" id="129" name="Picture"/>
                    <pic:cNvPicPr>
                      <a:picLocks noChangeArrowheads="1" noChangeAspect="1"/>
                    </pic:cNvPicPr>
                  </pic:nvPicPr>
                  <pic:blipFill>
                    <a:blip r:embed="rId127"/>
                    <a:stretch>
                      <a:fillRect/>
                    </a:stretch>
                  </pic:blipFill>
                  <pic:spPr bwMode="auto">
                    <a:xfrm>
                      <a:off x="0" y="0"/>
                      <a:ext cx="5943600" cy="6619717"/>
                    </a:xfrm>
                    <a:prstGeom prst="rect">
                      <a:avLst/>
                    </a:prstGeom>
                    <a:noFill/>
                    <a:ln w="9525">
                      <a:noFill/>
                      <a:headEnd/>
                      <a:tailEnd/>
                    </a:ln>
                  </pic:spPr>
                </pic:pic>
              </a:graphicData>
            </a:graphic>
          </wp:inline>
        </w:drawing>
      </w:r>
    </w:p>
    <w:bookmarkEnd w:id="130"/>
    <w:bookmarkEnd w:id="131"/>
    <w:bookmarkStart w:id="132" w:name="measurement-error"/>
    <w:p>
      <w:pPr>
        <w:pStyle w:val="Heading3"/>
      </w:pPr>
      <w:r>
        <w:t xml:space="preserve">Measurement Error</w:t>
      </w:r>
    </w:p>
    <w:bookmarkEnd w:id="132"/>
    <w:bookmarkStart w:id="133" w:name="change-in-meaning-of-the-scores"/>
    <w:p>
      <w:pPr>
        <w:pStyle w:val="Heading3"/>
      </w:pPr>
      <w:r>
        <w:t xml:space="preserve">Change in Meaning of the Scores</w:t>
      </w:r>
    </w:p>
    <w:bookmarkEnd w:id="133"/>
    <w:bookmarkEnd w:id="134"/>
    <w:bookmarkStart w:id="136" w:name="factorial-invariance-across-time"/>
    <w:p>
      <w:pPr>
        <w:pStyle w:val="Heading2"/>
      </w:pPr>
      <w:r>
        <w:t xml:space="preserve">Factorial Invariance Across Time</w:t>
      </w:r>
    </w:p>
    <w:p>
      <w:pPr>
        <w:pStyle w:val="FirstParagraph"/>
      </w:pPr>
      <w:r>
        <w:t xml:space="preserve">Traditionally, it had been considered necessary to establish factorial invariance</w:t>
      </w:r>
      <w:r>
        <w:rPr>
          <w:rStyle w:val="FootnoteReference"/>
        </w:rPr>
        <w:footnoteReference w:id="135"/>
      </w:r>
      <w:r>
        <w:t xml:space="preserve"> </w:t>
      </w:r>
      <w:r>
        <w:t xml:space="preserve">of the measure(s) across time—that is, the measure(s) assess the construct in the same way across time—to study individuals’ change in those constructs</w:t>
      </w:r>
      <w:r>
        <w:t xml:space="preserve"> </w:t>
      </w:r>
      <w:r>
        <w:t xml:space="preserve">(</w:t>
      </w:r>
      <w:hyperlink w:anchor="ref-Widaman2010">
        <w:r>
          <w:rPr>
            <w:rStyle w:val="Hyperlink"/>
          </w:rPr>
          <w:t xml:space="preserve">Widaman et al., 2010</w:t>
        </w:r>
      </w:hyperlink>
      <w:r>
        <w:t xml:space="preserve">)</w:t>
      </w:r>
      <w:r>
        <w:t xml:space="preserve">.</w:t>
      </w:r>
      <w:r>
        <w:t xml:space="preserve"> </w:t>
      </w:r>
      <w:r>
        <w:t xml:space="preserve">As described earlier, a goal of longitudinal factorial invariance is to increase confidence that the latent factor at multiple timepoints is on the same scale so that meaningful changes in people’s level can be observed.</w:t>
      </w:r>
      <w:r>
        <w:t xml:space="preserve"> </w:t>
      </w:r>
      <w:r>
        <w:t xml:space="preserve">In particular, it had been considered necessary to establish at least strong factorial invariance—i.e., invariance of intercepts and factor loadings in factor analysis, or invariance of difficulty and discrimination in item response theory.</w:t>
      </w:r>
      <w:r>
        <w:t xml:space="preserve"> </w:t>
      </w:r>
      <w:r>
        <w:t xml:space="preserve">Otherwise, a researcher may wrongly conclude that levels in the construct change over time when the apparent changes in the observed scores (and the latent variables) are driven by noninvariant loadings and/or intercepts for one or more items</w:t>
      </w:r>
      <w:r>
        <w:t xml:space="preserve"> </w:t>
      </w:r>
      <w:r>
        <w:t xml:space="preserve">(</w:t>
      </w:r>
      <w:hyperlink w:anchor="ref-Lai2023">
        <w:r>
          <w:rPr>
            <w:rStyle w:val="Hyperlink"/>
          </w:rPr>
          <w:t xml:space="preserve">Lai, 2023</w:t>
        </w:r>
      </w:hyperlink>
      <w:r>
        <w:t xml:space="preserve">)</w:t>
      </w:r>
      <w:r>
        <w:t xml:space="preserve">.</w:t>
      </w:r>
      <w:r>
        <w:t xml:space="preserve"> </w:t>
      </w:r>
      <w:r>
        <w:t xml:space="preserve">However, it is now understood that violations of longitudinal factorial invariance do not mean that questions of change cannot be answered</w:t>
      </w:r>
      <w:r>
        <w:t xml:space="preserve"> </w:t>
      </w:r>
      <w:r>
        <w:t xml:space="preserve">(</w:t>
      </w:r>
      <w:hyperlink w:anchor="ref-Lai2023">
        <w:r>
          <w:rPr>
            <w:rStyle w:val="Hyperlink"/>
          </w:rPr>
          <w:t xml:space="preserve">Lai, 2023</w:t>
        </w:r>
      </w:hyperlink>
      <w:r>
        <w:t xml:space="preserve">)</w:t>
      </w:r>
      <w:r>
        <w:t xml:space="preserve">.</w:t>
      </w:r>
      <w:r>
        <w:t xml:space="preserve"> </w:t>
      </w:r>
      <w:r>
        <w:t xml:space="preserve">Strong factorial invariance frequently does not hold, so in such situations it is necessary to adjust for noninvariance</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In general, at least partial strong factorial invariance (i.e., invariance of intercepts and factor loadings for a subset of items—the anchor items) is often considered a requirement for modeling individuals’ change, such that the more items that show invariance, the greater the confidence that the latent factor is on a comparable scale at each age for examining individuals’ change.</w:t>
      </w:r>
      <w:r>
        <w:t xml:space="preserve"> </w:t>
      </w:r>
      <w:r>
        <w:t xml:space="preserve">However, even that requirement is inaccurate.</w:t>
      </w:r>
      <w:r>
        <w:t xml:space="preserve"> </w:t>
      </w:r>
      <w:r>
        <w:t xml:space="preserve">As noted by Hancock</w:t>
      </w:r>
      <w:r>
        <w:t xml:space="preserve"> </w:t>
      </w:r>
      <w:r>
        <w:t xml:space="preserve">(</w:t>
      </w:r>
      <w:hyperlink w:anchor="ref-QuantitudeS3E18">
        <w:r>
          <w:rPr>
            <w:rStyle w:val="Hyperlink"/>
          </w:rPr>
          <w:t xml:space="preserve">2022</w:t>
        </w:r>
      </w:hyperlink>
      <w:r>
        <w:t xml:space="preserve">)</w:t>
      </w:r>
      <w:r>
        <w:t xml:space="preserve">, to model differences in latent means (e.g., change over time), you do not need invariance;</w:t>
      </w:r>
      <w:r>
        <w:t xml:space="preserve"> </w:t>
      </w:r>
      <w:r>
        <w:t xml:space="preserve">“you need to have a model that is correct…That means that…you are modeling [items’] invariance properly.”</w:t>
      </w:r>
      <w:r>
        <w:t xml:space="preserve"> </w:t>
      </w:r>
      <w:r>
        <w:t xml:space="preserve">Theoretical considerations are crucial and establishing even partial longitudinal factorial invariance may not be required when the construct shows heterotypic continuity</w:t>
      </w:r>
      <w:r>
        <w:t xml:space="preserve"> </w:t>
      </w:r>
      <w:r>
        <w:t xml:space="preserve">(</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w:t>
      </w:r>
      <w:r>
        <w:t xml:space="preserve"> </w:t>
      </w:r>
      <w:r>
        <w:t xml:space="preserve">When the construct changes in manifestation, models with failed longitudinal factorial invariance can yield valid inferences.</w:t>
      </w:r>
      <w:r>
        <w:t xml:space="preserve"> </w:t>
      </w:r>
      <w:r>
        <w:t xml:space="preserve">For instance, simulation work demonstrated that IRT linking approaches accurately captured changes in level on the latent factor even in the present of DIF and changing dimensionality</w:t>
      </w:r>
      <w:r>
        <w:t xml:space="preserve"> </w:t>
      </w:r>
      <w:r>
        <w:t xml:space="preserve">(</w:t>
      </w:r>
      <w:hyperlink w:anchor="ref-Edwards2012">
        <w:r>
          <w:rPr>
            <w:rStyle w:val="Hyperlink"/>
          </w:rPr>
          <w:t xml:space="preserve">Edwards &amp; Wirth, 2012</w:t>
        </w:r>
      </w:hyperlink>
      <w:r>
        <w:t xml:space="preserve">)</w:t>
      </w:r>
      <w:r>
        <w:t xml:space="preserve">.</w:t>
      </w:r>
    </w:p>
    <w:p>
      <w:pPr>
        <w:pStyle w:val="BodyText"/>
      </w:pPr>
      <w:r>
        <w:t xml:space="preserve">There are multiple ways of handling noninvariance as described above, including alignment optimization, MNLFA, and IRT-based linking.</w:t>
      </w:r>
      <w:r>
        <w:t xml:space="preserve"> </w:t>
      </w:r>
      <w:r>
        <w:t xml:space="preserve">In addition, another approach is to allow approximate factorial invariance.</w:t>
      </w:r>
      <w:r>
        <w:t xml:space="preserve"> </w:t>
      </w:r>
      <w:r>
        <w:t xml:space="preserve">Approximate measurement invariance allows invariance parameters to have small amount of noninvariance rather than fixing invariance parameters to zero</w:t>
      </w:r>
      <w:r>
        <w:t xml:space="preserve"> </w:t>
      </w:r>
      <w:r>
        <w:t xml:space="preserve">(</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is more accurate than full or partial measurement invariance for estimating true latent mean differences when there are many small differences in the intercepts and factor loadings</w:t>
      </w:r>
      <w:r>
        <w:t xml:space="preserve"> </w:t>
      </w:r>
      <w:r>
        <w:t xml:space="preserve">(</w:t>
      </w:r>
      <w:hyperlink w:anchor="ref-Cieciuch2014">
        <w:r>
          <w:rPr>
            <w:rStyle w:val="Hyperlink"/>
          </w:rPr>
          <w:t xml:space="preserve">Cieciuch et al., 2014</w:t>
        </w:r>
      </w:hyperlink>
      <w:r>
        <w:t xml:space="preserve">;</w:t>
      </w:r>
      <w:r>
        <w:t xml:space="preserve"> </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has also been applied in the longitudinal context</w:t>
      </w:r>
      <w:r>
        <w:t xml:space="preserve"> </w:t>
      </w:r>
      <w:r>
        <w:t xml:space="preserve">(e.g.,</w:t>
      </w:r>
      <w:r>
        <w:t xml:space="preserve"> </w:t>
      </w:r>
      <w:hyperlink w:anchor="ref-Seddig2018">
        <w:r>
          <w:rPr>
            <w:rStyle w:val="Hyperlink"/>
          </w:rPr>
          <w:t xml:space="preserve">Seddig &amp; Leitgöb, 2018</w:t>
        </w:r>
      </w:hyperlink>
      <w:r>
        <w:t xml:space="preserve">;</w:t>
      </w:r>
      <w:r>
        <w:t xml:space="preserve"> </w:t>
      </w:r>
      <w:hyperlink w:anchor="ref-Winter2020">
        <w:r>
          <w:rPr>
            <w:rStyle w:val="Hyperlink"/>
          </w:rPr>
          <w:t xml:space="preserve">Winter &amp; Depaoli, 2020</w:t>
        </w:r>
      </w:hyperlink>
      <w:r>
        <w:t xml:space="preserve">)</w:t>
      </w:r>
      <w:r>
        <w:t xml:space="preserve">.</w:t>
      </w:r>
      <w:r>
        <w:t xml:space="preserve"> </w:t>
      </w:r>
      <w:r>
        <w:t xml:space="preserve">Robitzsch and Lüdtke</w:t>
      </w:r>
      <w:r>
        <w:t xml:space="preserve"> </w:t>
      </w:r>
      <w:r>
        <w:t xml:space="preserve">(</w:t>
      </w:r>
      <w:hyperlink w:anchor="ref-Robitzsch2023">
        <w:r>
          <w:rPr>
            <w:rStyle w:val="Hyperlink"/>
          </w:rPr>
          <w:t xml:space="preserve">2023, p. 859</w:t>
        </w:r>
      </w:hyperlink>
      <w:r>
        <w:t xml:space="preserve">)</w:t>
      </w:r>
      <w:r>
        <w:t xml:space="preserve"> </w:t>
      </w:r>
      <w:r>
        <w:t xml:space="preserve">argue that establishing factorial invariance is neither necessary nor sufficient for comparing latent means, and they note that</w:t>
      </w:r>
      <w:r>
        <w:t xml:space="preserve"> </w:t>
      </w:r>
      <w:r>
        <w:t xml:space="preserve">“there is no support for preferring the partial invariance approach over competing approaches, such as invariance alignment, robust linking, or Bayesian approximate invariance.”</w:t>
      </w:r>
    </w:p>
    <w:bookmarkEnd w:id="136"/>
    <w:bookmarkStart w:id="137" w:name="integration-across-multiple-sources"/>
    <w:p>
      <w:pPr>
        <w:pStyle w:val="Heading2"/>
      </w:pPr>
      <w:r>
        <w:t xml:space="preserve">Integration Across Multiple Sources</w:t>
      </w:r>
    </w:p>
    <w:bookmarkEnd w:id="137"/>
    <w:bookmarkStart w:id="138" w:name="obsolescence-of-items-and-measures"/>
    <w:p>
      <w:pPr>
        <w:pStyle w:val="Heading2"/>
      </w:pPr>
      <w:r>
        <w:t xml:space="preserve">Obsolescence of Items and Measures</w:t>
      </w:r>
    </w:p>
    <w:bookmarkEnd w:id="138"/>
    <w:bookmarkEnd w:id="139"/>
    <w:bookmarkStart w:id="140"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40"/>
    <w:bookmarkStart w:id="384" w:name="references"/>
    <w:p>
      <w:pPr>
        <w:pStyle w:val="Heading1"/>
      </w:pPr>
      <w:r>
        <w:t xml:space="preserve">References</w:t>
      </w:r>
    </w:p>
    <w:bookmarkStart w:id="383" w:name="refs"/>
    <w:bookmarkStart w:id="141"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p>
    <w:bookmarkEnd w:id="141"/>
    <w:bookmarkStart w:id="143"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r>
        <w:t xml:space="preserve"> </w:t>
      </w:r>
      <w:hyperlink r:id="rId142">
        <w:r>
          <w:rPr>
            <w:rStyle w:val="Hyperlink"/>
          </w:rPr>
          <w:t xml:space="preserve">https://doi.org/10.1037/14048-008</w:t>
        </w:r>
      </w:hyperlink>
    </w:p>
    <w:bookmarkEnd w:id="143"/>
    <w:bookmarkStart w:id="144"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44"/>
    <w:bookmarkStart w:id="146"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45">
        <w:r>
          <w:rPr>
            <w:rStyle w:val="Hyperlink"/>
          </w:rPr>
          <w:t xml:space="preserve">https://doi.org/10.1002/jcv2.70043</w:t>
        </w:r>
      </w:hyperlink>
    </w:p>
    <w:bookmarkEnd w:id="146"/>
    <w:bookmarkStart w:id="148"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47">
        <w:r>
          <w:rPr>
            <w:rStyle w:val="Hyperlink"/>
          </w:rPr>
          <w:t xml:space="preserve">https://doi.org/10.1016/j.jpsychires.2013.08.016</w:t>
        </w:r>
      </w:hyperlink>
    </w:p>
    <w:bookmarkEnd w:id="148"/>
    <w:bookmarkStart w:id="150" w:name="ref-Bauer2017"/>
    <w:p>
      <w:pPr>
        <w:pStyle w:val="Bibliography"/>
      </w:pPr>
      <w:r>
        <w:t xml:space="preserve">Bauer, D. J. (2017). A more general model for testing measurement invariance and differential item functioning.</w:t>
      </w:r>
      <w:r>
        <w:t xml:space="preserve"> </w:t>
      </w:r>
      <w:r>
        <w:rPr>
          <w:i/>
          <w:iCs/>
        </w:rPr>
        <w:t xml:space="preserve">Psychological Methods</w:t>
      </w:r>
      <w:r>
        <w:t xml:space="preserve">,</w:t>
      </w:r>
      <w:r>
        <w:t xml:space="preserve"> </w:t>
      </w:r>
      <w:r>
        <w:rPr>
          <w:i/>
          <w:iCs/>
        </w:rPr>
        <w:t xml:space="preserve">22</w:t>
      </w:r>
      <w:r>
        <w:t xml:space="preserve">(3), 507–526.</w:t>
      </w:r>
      <w:r>
        <w:t xml:space="preserve"> </w:t>
      </w:r>
      <w:hyperlink r:id="rId149">
        <w:r>
          <w:rPr>
            <w:rStyle w:val="Hyperlink"/>
          </w:rPr>
          <w:t xml:space="preserve">https://doi.org/10.1037/met0000077</w:t>
        </w:r>
      </w:hyperlink>
    </w:p>
    <w:bookmarkEnd w:id="150"/>
    <w:bookmarkStart w:id="152" w:name="ref-Berluti2026"/>
    <w:p>
      <w:pPr>
        <w:pStyle w:val="Bibliography"/>
      </w:pPr>
      <w:r>
        <w:t xml:space="preserve">Berluti, K., Amormino, P., Potter, A., Wshah, S., &amp; Marsh, A. (2026). Machine learning prediction of conduct problems in children using the longitudinal ABCD study.</w:t>
      </w:r>
      <w:r>
        <w:t xml:space="preserve"> </w:t>
      </w:r>
      <w:r>
        <w:rPr>
          <w:i/>
          <w:iCs/>
        </w:rPr>
        <w:t xml:space="preserve">Journal of Child Psychology and Psychiatry</w:t>
      </w:r>
      <w:r>
        <w:t xml:space="preserve">,</w:t>
      </w:r>
      <w:r>
        <w:t xml:space="preserve"> </w:t>
      </w:r>
      <w:r>
        <w:rPr>
          <w:i/>
          <w:iCs/>
        </w:rPr>
        <w:t xml:space="preserve">67</w:t>
      </w:r>
      <w:r>
        <w:t xml:space="preserve">(3), 390–399.</w:t>
      </w:r>
      <w:r>
        <w:t xml:space="preserve"> </w:t>
      </w:r>
      <w:hyperlink r:id="rId151">
        <w:r>
          <w:rPr>
            <w:rStyle w:val="Hyperlink"/>
          </w:rPr>
          <w:t xml:space="preserve">https://doi.org/10.1111/jcpp.70057</w:t>
        </w:r>
      </w:hyperlink>
    </w:p>
    <w:bookmarkEnd w:id="152"/>
    <w:bookmarkStart w:id="154"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 Findings 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53">
        <w:r>
          <w:rPr>
            <w:rStyle w:val="Hyperlink"/>
          </w:rPr>
          <w:t xml:space="preserve">https://doi.org/10.1017/S0954579423001505</w:t>
        </w:r>
      </w:hyperlink>
    </w:p>
    <w:bookmarkEnd w:id="154"/>
    <w:bookmarkStart w:id="156"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55">
        <w:r>
          <w:rPr>
            <w:rStyle w:val="Hyperlink"/>
          </w:rPr>
          <w:t xml:space="preserve">https://doi.org/10.1016/j.jaac.2017.05.019</w:t>
        </w:r>
      </w:hyperlink>
    </w:p>
    <w:bookmarkEnd w:id="156"/>
    <w:bookmarkStart w:id="158"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57">
        <w:r>
          <w:rPr>
            <w:rStyle w:val="Hyperlink"/>
          </w:rPr>
          <w:t xml:space="preserve">https://doi.org/10.1111/j.1467-8624.2004.00755.x</w:t>
        </w:r>
      </w:hyperlink>
    </w:p>
    <w:bookmarkEnd w:id="158"/>
    <w:bookmarkStart w:id="159"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p>
    <w:bookmarkEnd w:id="159"/>
    <w:bookmarkStart w:id="161"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r>
        <w:t xml:space="preserve"> </w:t>
      </w:r>
      <w:hyperlink r:id="rId160">
        <w:r>
          <w:rPr>
            <w:rStyle w:val="Hyperlink"/>
          </w:rPr>
          <w:t xml:space="preserve">https://doi.org/10.1002/9781119125556.devpsy101</w:t>
        </w:r>
      </w:hyperlink>
    </w:p>
    <w:bookmarkEnd w:id="161"/>
    <w:bookmarkStart w:id="163"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62">
        <w:r>
          <w:rPr>
            <w:rStyle w:val="Hyperlink"/>
          </w:rPr>
          <w:t xml:space="preserve">https://doi.org/10.1007/s10802-012-9669-9</w:t>
        </w:r>
      </w:hyperlink>
    </w:p>
    <w:bookmarkEnd w:id="163"/>
    <w:bookmarkStart w:id="165"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 A 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64">
        <w:r>
          <w:rPr>
            <w:rStyle w:val="Hyperlink"/>
          </w:rPr>
          <w:t xml:space="preserve">https://doi.org/10.1037/0012-1649.39.2.222</w:t>
        </w:r>
      </w:hyperlink>
    </w:p>
    <w:bookmarkEnd w:id="165"/>
    <w:bookmarkStart w:id="167" w:name="ref-Burns2001"/>
    <w:p>
      <w:pPr>
        <w:pStyle w:val="Bibliography"/>
      </w:pPr>
      <w:r>
        <w:t xml:space="preserve">Burns, G. L., Walsh, J. A., Patterson, D. R., Holte, C. S., Sommers-Flanagan, R., &amp; Parker, C. M. (2001). Attention deficit and disruptive behavior disorder symptoms: Usefulness of a frequency count rating procedure to measure these symptoms.</w:t>
      </w:r>
      <w:r>
        <w:t xml:space="preserve"> </w:t>
      </w:r>
      <w:r>
        <w:rPr>
          <w:i/>
          <w:iCs/>
        </w:rPr>
        <w:t xml:space="preserve">European Journal of Psychological Assessment</w:t>
      </w:r>
      <w:r>
        <w:t xml:space="preserve">,</w:t>
      </w:r>
      <w:r>
        <w:t xml:space="preserve"> </w:t>
      </w:r>
      <w:r>
        <w:rPr>
          <w:i/>
          <w:iCs/>
        </w:rPr>
        <w:t xml:space="preserve">17</w:t>
      </w:r>
      <w:r>
        <w:t xml:space="preserve">(1), 25–35.</w:t>
      </w:r>
      <w:r>
        <w:t xml:space="preserve"> </w:t>
      </w:r>
      <w:hyperlink r:id="rId166">
        <w:r>
          <w:rPr>
            <w:rStyle w:val="Hyperlink"/>
          </w:rPr>
          <w:t xml:space="preserve">https://doi.org/10.1027/1015-5759.17.1.25</w:t>
        </w:r>
      </w:hyperlink>
    </w:p>
    <w:bookmarkEnd w:id="167"/>
    <w:bookmarkStart w:id="169"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68">
        <w:r>
          <w:rPr>
            <w:rStyle w:val="Hyperlink"/>
          </w:rPr>
          <w:t xml:space="preserve">https://doi.org/10.1016/j.cpr.2012.02.006</w:t>
        </w:r>
      </w:hyperlink>
    </w:p>
    <w:bookmarkEnd w:id="169"/>
    <w:bookmarkStart w:id="171"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70">
        <w:r>
          <w:rPr>
            <w:rStyle w:val="Hyperlink"/>
          </w:rPr>
          <w:t xml:space="preserve">https://doi.org/10.1001/jamanetworkopen.2020.3221</w:t>
        </w:r>
      </w:hyperlink>
    </w:p>
    <w:bookmarkEnd w:id="171"/>
    <w:bookmarkStart w:id="173"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 One 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72">
        <w:r>
          <w:rPr>
            <w:rStyle w:val="Hyperlink"/>
          </w:rPr>
          <w:t xml:space="preserve">https://doi.org/10.1177/2167702613497473</w:t>
        </w:r>
      </w:hyperlink>
    </w:p>
    <w:bookmarkEnd w:id="173"/>
    <w:bookmarkStart w:id="175"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r>
        <w:t xml:space="preserve"> </w:t>
      </w:r>
      <w:hyperlink r:id="rId174">
        <w:r>
          <w:rPr>
            <w:rStyle w:val="Hyperlink"/>
          </w:rPr>
          <w:t xml:space="preserve">https://doi.org/10.1002/9780470147658.chpsy0306</w:t>
        </w:r>
      </w:hyperlink>
    </w:p>
    <w:bookmarkEnd w:id="175"/>
    <w:bookmarkStart w:id="177"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76">
        <w:r>
          <w:rPr>
            <w:rStyle w:val="Hyperlink"/>
          </w:rPr>
          <w:t xml:space="preserve">https://doi.org/10.1007/s40865-015-0012-3</w:t>
        </w:r>
      </w:hyperlink>
    </w:p>
    <w:bookmarkEnd w:id="177"/>
    <w:bookmarkStart w:id="179" w:name="ref-ChenMBR"/>
    <w:p>
      <w:pPr>
        <w:pStyle w:val="Bibliography"/>
      </w:pPr>
      <w:r>
        <w:t xml:space="preserve">Chen, S. M., &amp; Bauer, D. J. (in pressa). Improving the evaluation of construct change over time: Advantages 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78">
        <w:r>
          <w:rPr>
            <w:rStyle w:val="Hyperlink"/>
          </w:rPr>
          <w:t xml:space="preserve">https://doi.org/10.1080/00273171.2026.2640576</w:t>
        </w:r>
      </w:hyperlink>
    </w:p>
    <w:bookmarkEnd w:id="179"/>
    <w:bookmarkStart w:id="181" w:name="ref-ChenPM"/>
    <w:p>
      <w:pPr>
        <w:pStyle w:val="Bibliography"/>
      </w:pPr>
      <w:r>
        <w:t xml:space="preserve">Chen, S. M., &amp; Bauer, D. J. (in pressb). Modeling construct change over time amidst potential changes in construct measurement: A longitudinal moderated factor analysis approach.</w:t>
      </w:r>
      <w:r>
        <w:t xml:space="preserve"> </w:t>
      </w:r>
      <w:r>
        <w:rPr>
          <w:i/>
          <w:iCs/>
        </w:rPr>
        <w:t xml:space="preserve">Psychological Methods</w:t>
      </w:r>
      <w:r>
        <w:t xml:space="preserve">.</w:t>
      </w:r>
      <w:r>
        <w:t xml:space="preserve"> </w:t>
      </w:r>
      <w:hyperlink r:id="rId180">
        <w:r>
          <w:rPr>
            <w:rStyle w:val="Hyperlink"/>
          </w:rPr>
          <w:t xml:space="preserve">https://doi.org/10.1037/met0000685</w:t>
        </w:r>
      </w:hyperlink>
    </w:p>
    <w:bookmarkEnd w:id="181"/>
    <w:bookmarkStart w:id="183"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r>
        <w:t xml:space="preserve"> </w:t>
      </w:r>
      <w:hyperlink r:id="rId182">
        <w:r>
          <w:rPr>
            <w:rStyle w:val="Hyperlink"/>
          </w:rPr>
          <w:t xml:space="preserve">https://doi.org/10.14283/jfa.2012.9</w:t>
        </w:r>
      </w:hyperlink>
    </w:p>
    <w:bookmarkEnd w:id="183"/>
    <w:bookmarkStart w:id="185"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84">
        <w:r>
          <w:rPr>
            <w:rStyle w:val="Hyperlink"/>
          </w:rPr>
          <w:t xml:space="preserve">https://doi.org/10.1037/0022-006X.70.1.6</w:t>
        </w:r>
      </w:hyperlink>
    </w:p>
    <w:bookmarkEnd w:id="185"/>
    <w:bookmarkStart w:id="187" w:name="ref-Cieciuch2014"/>
    <w:p>
      <w:pPr>
        <w:pStyle w:val="Bibliography"/>
      </w:pPr>
      <w:r>
        <w:t xml:space="preserve">Cieciuch, J., Davidov, E., Schmidt, P., Algesheimer, R., &amp; Schwartz, S. H. (2014). Comparing results of an exact vs. An approximate (bayesian) measurement invariance test: A cross-country illustration with a scale to measure 19 human values.</w:t>
      </w:r>
      <w:r>
        <w:t xml:space="preserve"> </w:t>
      </w:r>
      <w:r>
        <w:rPr>
          <w:i/>
          <w:iCs/>
        </w:rPr>
        <w:t xml:space="preserve">Frontiers in Psychology</w:t>
      </w:r>
      <w:r>
        <w:t xml:space="preserve">,</w:t>
      </w:r>
      <w:r>
        <w:t xml:space="preserve"> </w:t>
      </w:r>
      <w:r>
        <w:rPr>
          <w:i/>
          <w:iCs/>
        </w:rPr>
        <w:t xml:space="preserve">5</w:t>
      </w:r>
      <w:r>
        <w:t xml:space="preserve">(982).</w:t>
      </w:r>
      <w:r>
        <w:t xml:space="preserve"> </w:t>
      </w:r>
      <w:hyperlink r:id="rId186">
        <w:r>
          <w:rPr>
            <w:rStyle w:val="Hyperlink"/>
          </w:rPr>
          <w:t xml:space="preserve">https://doi.org/10.3389/fpsyg.2014.00982</w:t>
        </w:r>
      </w:hyperlink>
    </w:p>
    <w:bookmarkEnd w:id="187"/>
    <w:bookmarkStart w:id="189"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88">
        <w:r>
          <w:rPr>
            <w:rStyle w:val="Hyperlink"/>
          </w:rPr>
          <w:t xml:space="preserve">https://doi.org/10.1111/j.1469-7610.2011.02511.x</w:t>
        </w:r>
      </w:hyperlink>
    </w:p>
    <w:bookmarkEnd w:id="189"/>
    <w:bookmarkStart w:id="191" w:name="ref-Culpepper2013"/>
    <w:p>
      <w:pPr>
        <w:pStyle w:val="Bibliography"/>
      </w:pPr>
      <w:r>
        <w:t xml:space="preserve">Culpepper, S. A. (2013). The reliability and precision of total scores and</w:t>
      </w:r>
      <w:r>
        <w:t xml:space="preserve"> </w:t>
      </w:r>
      <w:r>
        <w:t xml:space="preserve">IRT</w:t>
      </w:r>
      <w:r>
        <w:t xml:space="preserve"> </w:t>
      </w:r>
      <w:r>
        <w:t xml:space="preserve">estimates as a function of polytomous</w:t>
      </w:r>
      <w:r>
        <w:t xml:space="preserve"> </w:t>
      </w:r>
      <w:r>
        <w:t xml:space="preserve">IRT</w:t>
      </w:r>
      <w:r>
        <w:t xml:space="preserve"> </w:t>
      </w:r>
      <w:r>
        <w:t xml:space="preserve">parameters and latent trait distribution.</w:t>
      </w:r>
      <w:r>
        <w:t xml:space="preserve"> </w:t>
      </w:r>
      <w:r>
        <w:rPr>
          <w:i/>
          <w:iCs/>
        </w:rPr>
        <w:t xml:space="preserve">Applied Psychological Measurement</w:t>
      </w:r>
      <w:r>
        <w:t xml:space="preserve">,</w:t>
      </w:r>
      <w:r>
        <w:t xml:space="preserve"> </w:t>
      </w:r>
      <w:r>
        <w:rPr>
          <w:i/>
          <w:iCs/>
        </w:rPr>
        <w:t xml:space="preserve">37</w:t>
      </w:r>
      <w:r>
        <w:t xml:space="preserve">(3), 201–225.</w:t>
      </w:r>
      <w:r>
        <w:t xml:space="preserve"> </w:t>
      </w:r>
      <w:hyperlink r:id="rId190">
        <w:r>
          <w:rPr>
            <w:rStyle w:val="Hyperlink"/>
          </w:rPr>
          <w:t xml:space="preserve">https://doi.org/10.1177/0146621612470210</w:t>
        </w:r>
      </w:hyperlink>
    </w:p>
    <w:bookmarkEnd w:id="191"/>
    <w:bookmarkStart w:id="193" w:name="ref-Curran2014"/>
    <w:p>
      <w:pPr>
        <w:pStyle w:val="Bibliography"/>
      </w:pPr>
      <w:r>
        <w:t xml:space="preserve">Curran, P. J., McGinley, J. S., Bauer, D. J., Hussong, A. M., Burns, A., Chassin, L., Sher, K., &amp; Zucker, R. (2014). A moderated nonlinear factor model for the development of commensurate measures in integrative data analysis.</w:t>
      </w:r>
      <w:r>
        <w:t xml:space="preserve"> </w:t>
      </w:r>
      <w:r>
        <w:rPr>
          <w:i/>
          <w:iCs/>
        </w:rPr>
        <w:t xml:space="preserve">Multivariate Behavioral Research</w:t>
      </w:r>
      <w:r>
        <w:t xml:space="preserve">,</w:t>
      </w:r>
      <w:r>
        <w:t xml:space="preserve"> </w:t>
      </w:r>
      <w:r>
        <w:rPr>
          <w:i/>
          <w:iCs/>
        </w:rPr>
        <w:t xml:space="preserve">49</w:t>
      </w:r>
      <w:r>
        <w:t xml:space="preserve">(3), 214–231.</w:t>
      </w:r>
      <w:r>
        <w:t xml:space="preserve"> </w:t>
      </w:r>
      <w:hyperlink r:id="rId192">
        <w:r>
          <w:rPr>
            <w:rStyle w:val="Hyperlink"/>
          </w:rPr>
          <w:t xml:space="preserve">https://doi.org/10.1080/00273171.2014.889594</w:t>
        </w:r>
      </w:hyperlink>
    </w:p>
    <w:bookmarkEnd w:id="193"/>
    <w:bookmarkStart w:id="195"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94">
        <w:r>
          <w:rPr>
            <w:rStyle w:val="Hyperlink"/>
          </w:rPr>
          <w:t xml:space="preserve">https://doi.org/10.1037/abn0001084</w:t>
        </w:r>
      </w:hyperlink>
    </w:p>
    <w:bookmarkEnd w:id="195"/>
    <w:bookmarkStart w:id="197"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96">
        <w:r>
          <w:rPr>
            <w:rStyle w:val="Hyperlink"/>
          </w:rPr>
          <w:t xml:space="preserve">https://doi.org/10.1126/science.2270481</w:t>
        </w:r>
      </w:hyperlink>
    </w:p>
    <w:bookmarkEnd w:id="197"/>
    <w:bookmarkStart w:id="199" w:name="ref-Edwards2012"/>
    <w:p>
      <w:pPr>
        <w:pStyle w:val="Bibliography"/>
      </w:pPr>
      <w:r>
        <w:t xml:space="preserve">Edwards, M. C., &amp; Wirth, R. J. (2012). Valid measurement without factorial invariance: A longitudinal example. In G. R. Hancock &amp; J. R. Harring (Eds.),</w:t>
      </w:r>
      <w:r>
        <w:t xml:space="preserve"> </w:t>
      </w:r>
      <w:r>
        <w:rPr>
          <w:i/>
          <w:iCs/>
        </w:rPr>
        <w:t xml:space="preserve">Advances in longitudinal methods in the social and behavioral sciences</w:t>
      </w:r>
      <w:r>
        <w:t xml:space="preserve"> </w:t>
      </w:r>
      <w:r>
        <w:t xml:space="preserve">(pp. 289–311). Information Age Publishing.</w:t>
      </w:r>
      <w:r>
        <w:t xml:space="preserve"> </w:t>
      </w:r>
      <w:hyperlink r:id="rId198">
        <w:r>
          <w:rPr>
            <w:rStyle w:val="Hyperlink"/>
          </w:rPr>
          <w:t xml:space="preserve">https://doi.org/10.1108/978-1-61735-891-320251015</w:t>
        </w:r>
      </w:hyperlink>
    </w:p>
    <w:bookmarkEnd w:id="199"/>
    <w:bookmarkStart w:id="201" w:name="ref-Elliott1980"/>
    <w:p>
      <w:pPr>
        <w:pStyle w:val="Bibliography"/>
      </w:pPr>
      <w:r>
        <w:t xml:space="preserve">Elliott, D. S., &amp; Ageton, S. S. (1980). Reconciling race and class differences in self-reported and official estimates of delinquency.</w:t>
      </w:r>
      <w:r>
        <w:t xml:space="preserve"> </w:t>
      </w:r>
      <w:r>
        <w:rPr>
          <w:i/>
          <w:iCs/>
        </w:rPr>
        <w:t xml:space="preserve">American Sociological Review</w:t>
      </w:r>
      <w:r>
        <w:t xml:space="preserve">,</w:t>
      </w:r>
      <w:r>
        <w:t xml:space="preserve"> </w:t>
      </w:r>
      <w:r>
        <w:rPr>
          <w:i/>
          <w:iCs/>
        </w:rPr>
        <w:t xml:space="preserve">45</w:t>
      </w:r>
      <w:r>
        <w:t xml:space="preserve">(1), 95–110.</w:t>
      </w:r>
      <w:r>
        <w:t xml:space="preserve"> </w:t>
      </w:r>
      <w:hyperlink r:id="rId200">
        <w:r>
          <w:rPr>
            <w:rStyle w:val="Hyperlink"/>
          </w:rPr>
          <w:t xml:space="preserve">https://doi.org/10.2307/2095245</w:t>
        </w:r>
      </w:hyperlink>
    </w:p>
    <w:bookmarkEnd w:id="201"/>
    <w:bookmarkStart w:id="203"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202">
        <w:r>
          <w:rPr>
            <w:rStyle w:val="Hyperlink"/>
          </w:rPr>
          <w:t xml:space="preserve">https://doi.org/10.1111/jcpp.12102</w:t>
        </w:r>
      </w:hyperlink>
    </w:p>
    <w:bookmarkEnd w:id="203"/>
    <w:bookmarkStart w:id="205" w:name="ref-Farrington2023"/>
    <w:p>
      <w:pPr>
        <w:pStyle w:val="Bibliography"/>
      </w:pPr>
      <w:r>
        <w:t xml:space="preserve">Farrington, D. P., Piquero, A. R., Jennings, W. G., &amp; Jolliffe, D. (2023).</w:t>
      </w:r>
      <w:r>
        <w:t xml:space="preserve"> </w:t>
      </w:r>
      <w:r>
        <w:rPr>
          <w:i/>
          <w:iCs/>
        </w:rPr>
        <w:t xml:space="preserve">Offending from childhood to late middle age: Recent results from the</w:t>
      </w:r>
      <w:r>
        <w:rPr>
          <w:i/>
          <w:iCs/>
        </w:rPr>
        <w:t xml:space="preserve"> </w:t>
      </w:r>
      <w:r>
        <w:rPr>
          <w:i/>
          <w:iCs/>
        </w:rPr>
        <w:t xml:space="preserve">Cambridge Study in Delinquent Development</w:t>
      </w:r>
      <w:r>
        <w:t xml:space="preserve"> </w:t>
      </w:r>
      <w:r>
        <w:t xml:space="preserve">(pp. 47–71). Springer New York.</w:t>
      </w:r>
      <w:r>
        <w:t xml:space="preserve"> </w:t>
      </w:r>
      <w:hyperlink r:id="rId204">
        <w:r>
          <w:rPr>
            <w:rStyle w:val="Hyperlink"/>
          </w:rPr>
          <w:t xml:space="preserve">https://doi.org/10.1007/978-1-0716-3335-9_5</w:t>
        </w:r>
      </w:hyperlink>
    </w:p>
    <w:bookmarkEnd w:id="205"/>
    <w:bookmarkStart w:id="207"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206">
        <w:r>
          <w:rPr>
            <w:rStyle w:val="Hyperlink"/>
          </w:rPr>
          <w:t xml:space="preserve">https://doi.org/10.1017/S0954579416000651</w:t>
        </w:r>
      </w:hyperlink>
    </w:p>
    <w:bookmarkEnd w:id="207"/>
    <w:bookmarkStart w:id="208"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208"/>
    <w:bookmarkStart w:id="210"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209">
        <w:r>
          <w:rPr>
            <w:rStyle w:val="Hyperlink"/>
          </w:rPr>
          <w:t xml:space="preserve">https://doi.org/10.1007/s00234-020-02562-1</w:t>
        </w:r>
      </w:hyperlink>
    </w:p>
    <w:bookmarkEnd w:id="210"/>
    <w:bookmarkStart w:id="212"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211">
        <w:r>
          <w:rPr>
            <w:rStyle w:val="Hyperlink"/>
          </w:rPr>
          <w:t xml:space="preserve">https://doi.org/10.1017/S0954579421001772</w:t>
        </w:r>
      </w:hyperlink>
    </w:p>
    <w:bookmarkEnd w:id="212"/>
    <w:bookmarkStart w:id="214" w:name="ref-Grant1999"/>
    <w:p>
      <w:pPr>
        <w:pStyle w:val="Bibliography"/>
      </w:pPr>
      <w:r>
        <w:t xml:space="preserve">Grant, S. J., Aitchison, T., Henderson, E., Christie, J., Zare, S., McMurray, J., &amp; Dargie, H. (1999). A comparison of the reproducibility and the sensitivity to change of visual analogue scales,</w:t>
      </w:r>
      <w:r>
        <w:t xml:space="preserve"> </w:t>
      </w:r>
      <w:r>
        <w:t xml:space="preserve">Borg</w:t>
      </w:r>
      <w:r>
        <w:t xml:space="preserve"> </w:t>
      </w:r>
      <w:r>
        <w:t xml:space="preserve">scales, and</w:t>
      </w:r>
      <w:r>
        <w:t xml:space="preserve"> </w:t>
      </w:r>
      <w:r>
        <w:t xml:space="preserve">Likert</w:t>
      </w:r>
      <w:r>
        <w:t xml:space="preserve"> </w:t>
      </w:r>
      <w:r>
        <w:t xml:space="preserve">scales in normal subjects during submaximal exercise.</w:t>
      </w:r>
      <w:r>
        <w:t xml:space="preserve"> </w:t>
      </w:r>
      <w:r>
        <w:rPr>
          <w:i/>
          <w:iCs/>
        </w:rPr>
        <w:t xml:space="preserve">Chest</w:t>
      </w:r>
      <w:r>
        <w:t xml:space="preserve">,</w:t>
      </w:r>
      <w:r>
        <w:t xml:space="preserve"> </w:t>
      </w:r>
      <w:r>
        <w:rPr>
          <w:i/>
          <w:iCs/>
        </w:rPr>
        <w:t xml:space="preserve">116</w:t>
      </w:r>
      <w:r>
        <w:t xml:space="preserve">(5), 1208–1217.</w:t>
      </w:r>
      <w:r>
        <w:t xml:space="preserve"> </w:t>
      </w:r>
      <w:hyperlink r:id="rId213">
        <w:r>
          <w:rPr>
            <w:rStyle w:val="Hyperlink"/>
          </w:rPr>
          <w:t xml:space="preserve">https://doi.org/10.1378/chest.116.5.1208</w:t>
        </w:r>
      </w:hyperlink>
    </w:p>
    <w:bookmarkEnd w:id="214"/>
    <w:bookmarkStart w:id="216" w:name="ref-Hancock2008"/>
    <w:p>
      <w:pPr>
        <w:pStyle w:val="Bibliography"/>
      </w:pPr>
      <w:r>
        <w:t xml:space="preserve">Hancock, G. R., &amp; Buehl, M. M. (2008). Second-order latent growth models with shifting indicators.</w:t>
      </w:r>
      <w:r>
        <w:t xml:space="preserve"> </w:t>
      </w:r>
      <w:r>
        <w:rPr>
          <w:i/>
          <w:iCs/>
        </w:rPr>
        <w:t xml:space="preserve">Journal of Modern Applied Statistical Methods</w:t>
      </w:r>
      <w:r>
        <w:t xml:space="preserve">,</w:t>
      </w:r>
      <w:r>
        <w:t xml:space="preserve"> </w:t>
      </w:r>
      <w:r>
        <w:rPr>
          <w:i/>
          <w:iCs/>
        </w:rPr>
        <w:t xml:space="preserve">7</w:t>
      </w:r>
      <w:r>
        <w:t xml:space="preserve">(1), 39–55.</w:t>
      </w:r>
      <w:r>
        <w:t xml:space="preserve"> </w:t>
      </w:r>
      <w:hyperlink r:id="rId215">
        <w:r>
          <w:rPr>
            <w:rStyle w:val="Hyperlink"/>
          </w:rPr>
          <w:t xml:space="preserve">https://doi.org/10.22237/jmasm/1209614640</w:t>
        </w:r>
      </w:hyperlink>
    </w:p>
    <w:bookmarkEnd w:id="216"/>
    <w:bookmarkStart w:id="218" w:name="ref-QuantitudeS3E18"/>
    <w:p>
      <w:pPr>
        <w:pStyle w:val="Bibliography"/>
      </w:pPr>
      <w:r>
        <w:t xml:space="preserve">Hancock, G. R., &amp; Curran, P. J. (2022, February 11).</w:t>
      </w:r>
      <w:r>
        <w:t xml:space="preserve"> </w:t>
      </w:r>
      <w:r>
        <w:rPr>
          <w:i/>
          <w:iCs/>
        </w:rPr>
        <w:t xml:space="preserve">Quantitude: S3E18:</w:t>
      </w:r>
      <w:r>
        <w:rPr>
          <w:i/>
          <w:iCs/>
        </w:rPr>
        <w:t xml:space="preserve"> </w:t>
      </w:r>
      <w:r>
        <w:rPr>
          <w:i/>
          <w:iCs/>
        </w:rPr>
        <w:t xml:space="preserve">Aunt Roz’s</w:t>
      </w:r>
      <w:r>
        <w:rPr>
          <w:i/>
          <w:iCs/>
        </w:rPr>
        <w:t xml:space="preserve"> </w:t>
      </w:r>
      <w:r>
        <w:rPr>
          <w:i/>
          <w:iCs/>
        </w:rPr>
        <w:t xml:space="preserve">guide to latent means models</w:t>
      </w:r>
      <w:r>
        <w:t xml:space="preserve"> </w:t>
      </w:r>
      <w:r>
        <w:t xml:space="preserve">[Audio recording]. Quantitude; Quantitude.</w:t>
      </w:r>
      <w:r>
        <w:t xml:space="preserve"> </w:t>
      </w:r>
      <w:hyperlink r:id="rId217">
        <w:r>
          <w:rPr>
            <w:rStyle w:val="Hyperlink"/>
          </w:rPr>
          <w:t xml:space="preserve">https://quantitudepod.org/latent-means/</w:t>
        </w:r>
      </w:hyperlink>
    </w:p>
    <w:bookmarkEnd w:id="218"/>
    <w:bookmarkStart w:id="220"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219">
        <w:r>
          <w:rPr>
            <w:rStyle w:val="Hyperlink"/>
          </w:rPr>
          <w:t xml:space="preserve">https://doi.org/10.1017/S0954579424000713</w:t>
        </w:r>
      </w:hyperlink>
    </w:p>
    <w:bookmarkEnd w:id="220"/>
    <w:bookmarkStart w:id="222"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221">
        <w:r>
          <w:rPr>
            <w:rStyle w:val="Hyperlink"/>
          </w:rPr>
          <w:t xml:space="preserve">https://doi.org/10.1017/S0033291711001966</w:t>
        </w:r>
      </w:hyperlink>
    </w:p>
    <w:bookmarkEnd w:id="222"/>
    <w:bookmarkStart w:id="224"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223">
        <w:r>
          <w:rPr>
            <w:rStyle w:val="Hyperlink"/>
          </w:rPr>
          <w:t xml:space="preserve">https://doi.org/10.1017/S003329172000183X</w:t>
        </w:r>
      </w:hyperlink>
    </w:p>
    <w:bookmarkEnd w:id="224"/>
    <w:bookmarkStart w:id="226"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225">
        <w:r>
          <w:rPr>
            <w:rStyle w:val="Hyperlink"/>
          </w:rPr>
          <w:t xml:space="preserve">https://doi.org/10.1176/appi.ajp.2008.08030366</w:t>
        </w:r>
      </w:hyperlink>
    </w:p>
    <w:bookmarkEnd w:id="226"/>
    <w:bookmarkStart w:id="228"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227">
        <w:r>
          <w:rPr>
            <w:rStyle w:val="Hyperlink"/>
          </w:rPr>
          <w:t xml:space="preserve">https://doi.org/10.1007/s10826-018-1272-4</w:t>
        </w:r>
      </w:hyperlink>
    </w:p>
    <w:bookmarkEnd w:id="228"/>
    <w:bookmarkStart w:id="229"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229"/>
    <w:bookmarkStart w:id="230" w:name="ref-Kagan1971"/>
    <w:p>
      <w:pPr>
        <w:pStyle w:val="Bibliography"/>
      </w:pPr>
      <w:r>
        <w:t xml:space="preserve">Kagan, J. (1971).</w:t>
      </w:r>
      <w:r>
        <w:t xml:space="preserve"> </w:t>
      </w:r>
      <w:r>
        <w:rPr>
          <w:i/>
          <w:iCs/>
        </w:rPr>
        <w:t xml:space="preserve">Change and continuity in infancy</w:t>
      </w:r>
      <w:r>
        <w:t xml:space="preserve">. Wiley.</w:t>
      </w:r>
    </w:p>
    <w:bookmarkEnd w:id="230"/>
    <w:bookmarkStart w:id="231"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231"/>
    <w:bookmarkStart w:id="233" w:name="ref-Kagan1962"/>
    <w:p>
      <w:pPr>
        <w:pStyle w:val="Bibliography"/>
      </w:pPr>
      <w:r>
        <w:t xml:space="preserve">Kagan, J., &amp; Moss, H. A. (1962).</w:t>
      </w:r>
      <w:r>
        <w:t xml:space="preserve"> </w:t>
      </w:r>
      <w:r>
        <w:rPr>
          <w:i/>
          <w:iCs/>
        </w:rPr>
        <w:t xml:space="preserve">Birth to maturity: A study in psychological development</w:t>
      </w:r>
      <w:r>
        <w:t xml:space="preserve">. Wiley.</w:t>
      </w:r>
      <w:r>
        <w:t xml:space="preserve"> </w:t>
      </w:r>
      <w:hyperlink r:id="rId232">
        <w:r>
          <w:rPr>
            <w:rStyle w:val="Hyperlink"/>
          </w:rPr>
          <w:t xml:space="preserve">https://doi.org/10.1037/13129-000</w:t>
        </w:r>
      </w:hyperlink>
    </w:p>
    <w:bookmarkEnd w:id="233"/>
    <w:bookmarkStart w:id="235" w:name="ref-Keijsers2012"/>
    <w:p>
      <w:pPr>
        <w:pStyle w:val="Bibliography"/>
      </w:pPr>
      <w:r>
        <w:t xml:space="preserve">Keijsers, L., Loeber, R., Branje, S., &amp; Meeus, W. (2012). Parent-child relationships of boys in different offending trajectories. A 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234">
        <w:r>
          <w:rPr>
            <w:rStyle w:val="Hyperlink"/>
          </w:rPr>
          <w:t xml:space="preserve">https://doi.org/10.1111/j.1469-7610.2012.02585.x</w:t>
        </w:r>
      </w:hyperlink>
    </w:p>
    <w:bookmarkEnd w:id="235"/>
    <w:bookmarkStart w:id="237" w:name="ref-Kim2009"/>
    <w:p>
      <w:pPr>
        <w:pStyle w:val="Bibliography"/>
      </w:pPr>
      <w:r>
        <w:t xml:space="preserve">Kim, H. K., Capaldi, D. M., Pears, K. C., Kerr, D. C. R., &amp; Owen, L. D. (2009). Intergenerational transmission of internalising and externalising behaviours across three generations: Gender-specific pathways.</w:t>
      </w:r>
      <w:r>
        <w:t xml:space="preserve"> </w:t>
      </w:r>
      <w:r>
        <w:rPr>
          <w:i/>
          <w:iCs/>
        </w:rPr>
        <w:t xml:space="preserve">Criminal Behaviour and Mental Health</w:t>
      </w:r>
      <w:r>
        <w:t xml:space="preserve">,</w:t>
      </w:r>
      <w:r>
        <w:t xml:space="preserve"> </w:t>
      </w:r>
      <w:r>
        <w:rPr>
          <w:i/>
          <w:iCs/>
        </w:rPr>
        <w:t xml:space="preserve">19</w:t>
      </w:r>
      <w:r>
        <w:t xml:space="preserve">(2), 125–141.</w:t>
      </w:r>
      <w:r>
        <w:t xml:space="preserve"> </w:t>
      </w:r>
      <w:hyperlink r:id="rId236">
        <w:r>
          <w:rPr>
            <w:rStyle w:val="Hyperlink"/>
          </w:rPr>
          <w:t xml:space="preserve">https://doi.org/10.1002/cbm.708</w:t>
        </w:r>
      </w:hyperlink>
    </w:p>
    <w:bookmarkEnd w:id="237"/>
    <w:bookmarkStart w:id="239"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238">
        <w:r>
          <w:rPr>
            <w:rStyle w:val="Hyperlink"/>
          </w:rPr>
          <w:t xml:space="preserve">https://doi.org/10.1111/jora.12252</w:t>
        </w:r>
      </w:hyperlink>
    </w:p>
    <w:bookmarkEnd w:id="239"/>
    <w:bookmarkStart w:id="241"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240">
        <w:r>
          <w:rPr>
            <w:rStyle w:val="Hyperlink"/>
          </w:rPr>
          <w:t xml:space="preserve">https://doi.org/10.1007/s10802-017-0383-5</w:t>
        </w:r>
      </w:hyperlink>
    </w:p>
    <w:bookmarkEnd w:id="241"/>
    <w:bookmarkStart w:id="243"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242">
        <w:r>
          <w:rPr>
            <w:rStyle w:val="Hyperlink"/>
          </w:rPr>
          <w:t xml:space="preserve">https://doi.org/10.1007/s10802-021-00885-y</w:t>
        </w:r>
      </w:hyperlink>
    </w:p>
    <w:bookmarkEnd w:id="243"/>
    <w:bookmarkStart w:id="245" w:name="ref-Knight2010"/>
    <w:p>
      <w:pPr>
        <w:pStyle w:val="Bibliography"/>
      </w:pPr>
      <w:r>
        <w:t xml:space="preserve">Knight, G. P., &amp; Zerr, A. A. (2010). Informed theory and measurement equivalence in child development research.</w:t>
      </w:r>
      <w:r>
        <w:t xml:space="preserve"> </w:t>
      </w:r>
      <w:r>
        <w:rPr>
          <w:i/>
          <w:iCs/>
        </w:rPr>
        <w:t xml:space="preserve">Child Development Perspectives</w:t>
      </w:r>
      <w:r>
        <w:t xml:space="preserve">,</w:t>
      </w:r>
      <w:r>
        <w:t xml:space="preserve"> </w:t>
      </w:r>
      <w:r>
        <w:rPr>
          <w:i/>
          <w:iCs/>
        </w:rPr>
        <w:t xml:space="preserve">4</w:t>
      </w:r>
      <w:r>
        <w:t xml:space="preserve">(1), 25–30.</w:t>
      </w:r>
      <w:r>
        <w:t xml:space="preserve"> </w:t>
      </w:r>
      <w:hyperlink r:id="rId244">
        <w:r>
          <w:rPr>
            <w:rStyle w:val="Hyperlink"/>
          </w:rPr>
          <w:t xml:space="preserve">https://doi.org/10.1111/j.1750-8606.2009.00112.x</w:t>
        </w:r>
      </w:hyperlink>
    </w:p>
    <w:bookmarkEnd w:id="245"/>
    <w:bookmarkStart w:id="247" w:name="ref-Kolen2014"/>
    <w:p>
      <w:pPr>
        <w:pStyle w:val="Bibliography"/>
      </w:pPr>
      <w:r>
        <w:t xml:space="preserve">Kolen, M. J., &amp; Brennan, R. L. (2014).</w:t>
      </w:r>
      <w:r>
        <w:t xml:space="preserve"> </w:t>
      </w:r>
      <w:r>
        <w:rPr>
          <w:i/>
          <w:iCs/>
        </w:rPr>
        <w:t xml:space="preserve">Test equating, scaling, and linking: Methods and practices</w:t>
      </w:r>
      <w:r>
        <w:t xml:space="preserve"> </w:t>
      </w:r>
      <w:r>
        <w:t xml:space="preserve">(3rd ed., p. 566). Springer.</w:t>
      </w:r>
      <w:r>
        <w:t xml:space="preserve"> </w:t>
      </w:r>
      <w:hyperlink r:id="rId246">
        <w:r>
          <w:rPr>
            <w:rStyle w:val="Hyperlink"/>
          </w:rPr>
          <w:t xml:space="preserve">https://doi.org/10.1007/978-1-4939-0317-7</w:t>
        </w:r>
      </w:hyperlink>
    </w:p>
    <w:bookmarkEnd w:id="247"/>
    <w:bookmarkStart w:id="248"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248"/>
    <w:bookmarkStart w:id="250"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249">
        <w:r>
          <w:rPr>
            <w:rStyle w:val="Hyperlink"/>
          </w:rPr>
          <w:t xml:space="preserve">https://doi.org/10.1037/abn0000258</w:t>
        </w:r>
      </w:hyperlink>
    </w:p>
    <w:bookmarkEnd w:id="250"/>
    <w:bookmarkStart w:id="252"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251">
        <w:r>
          <w:rPr>
            <w:rStyle w:val="Hyperlink"/>
          </w:rPr>
          <w:t xml:space="preserve">https://doi.org/10.1111/psyp.12551</w:t>
        </w:r>
      </w:hyperlink>
    </w:p>
    <w:bookmarkEnd w:id="252"/>
    <w:bookmarkStart w:id="254"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53">
        <w:r>
          <w:rPr>
            <w:rStyle w:val="Hyperlink"/>
          </w:rPr>
          <w:t xml:space="preserve">https://doi.org/10.1002/wps.20844</w:t>
        </w:r>
      </w:hyperlink>
    </w:p>
    <w:bookmarkEnd w:id="254"/>
    <w:bookmarkStart w:id="256"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55">
        <w:r>
          <w:rPr>
            <w:rStyle w:val="Hyperlink"/>
          </w:rPr>
          <w:t xml:space="preserve">https://doi.org/10.1001/archgenpsychiatry.2010.188</w:t>
        </w:r>
      </w:hyperlink>
    </w:p>
    <w:bookmarkEnd w:id="256"/>
    <w:bookmarkStart w:id="258"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57">
        <w:r>
          <w:rPr>
            <w:rStyle w:val="Hyperlink"/>
          </w:rPr>
          <w:t xml:space="preserve">https://doi.org/10.1037/0021-843X.116.4.645</w:t>
        </w:r>
      </w:hyperlink>
    </w:p>
    <w:bookmarkEnd w:id="258"/>
    <w:bookmarkStart w:id="260"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59">
        <w:r>
          <w:rPr>
            <w:rStyle w:val="Hyperlink"/>
          </w:rPr>
          <w:t xml:space="preserve">https://doi.org/10.1037/0021-843x.114.4.537</w:t>
        </w:r>
      </w:hyperlink>
    </w:p>
    <w:bookmarkEnd w:id="260"/>
    <w:bookmarkStart w:id="262"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61">
        <w:r>
          <w:rPr>
            <w:rStyle w:val="Hyperlink"/>
          </w:rPr>
          <w:t xml:space="preserve">https://doi.org/10.1037/1040-3590.16.2.107</w:t>
        </w:r>
      </w:hyperlink>
    </w:p>
    <w:bookmarkEnd w:id="262"/>
    <w:bookmarkStart w:id="264"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63">
        <w:r>
          <w:rPr>
            <w:rStyle w:val="Hyperlink"/>
          </w:rPr>
          <w:t xml:space="preserve">https://doi.org/10.1016/S0005-7967(02)00016-5</w:t>
        </w:r>
      </w:hyperlink>
    </w:p>
    <w:bookmarkEnd w:id="264"/>
    <w:bookmarkStart w:id="266" w:name="ref-Lai2023"/>
    <w:p>
      <w:pPr>
        <w:pStyle w:val="Bibliography"/>
      </w:pPr>
      <w:r>
        <w:t xml:space="preserve">Lai, M. H. C. (2023). Adjusting for measurement noninvariance with alignment in growth modeling.</w:t>
      </w:r>
      <w:r>
        <w:t xml:space="preserve"> </w:t>
      </w:r>
      <w:r>
        <w:rPr>
          <w:i/>
          <w:iCs/>
        </w:rPr>
        <w:t xml:space="preserve">Multivariate Behavioral Research</w:t>
      </w:r>
      <w:r>
        <w:t xml:space="preserve">,</w:t>
      </w:r>
      <w:r>
        <w:t xml:space="preserve"> </w:t>
      </w:r>
      <w:r>
        <w:rPr>
          <w:i/>
          <w:iCs/>
        </w:rPr>
        <w:t xml:space="preserve">58</w:t>
      </w:r>
      <w:r>
        <w:t xml:space="preserve">(1), 30–47.</w:t>
      </w:r>
      <w:r>
        <w:t xml:space="preserve"> </w:t>
      </w:r>
      <w:hyperlink r:id="rId265">
        <w:r>
          <w:rPr>
            <w:rStyle w:val="Hyperlink"/>
          </w:rPr>
          <w:t xml:space="preserve">https://doi.org/10.1080/00273171.2021.1941730</w:t>
        </w:r>
      </w:hyperlink>
    </w:p>
    <w:bookmarkEnd w:id="266"/>
    <w:bookmarkStart w:id="268"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67">
        <w:r>
          <w:rPr>
            <w:rStyle w:val="Hyperlink"/>
          </w:rPr>
          <w:t xml:space="preserve">https://doi.org/10.1017/S0954579410000301</w:t>
        </w:r>
      </w:hyperlink>
    </w:p>
    <w:bookmarkEnd w:id="268"/>
    <w:bookmarkStart w:id="270" w:name="ref-LeBlanc2021"/>
    <w:p>
      <w:pPr>
        <w:pStyle w:val="Bibliography"/>
      </w:pPr>
      <w:r>
        <w:t xml:space="preserve">Le Blanc, M. (2021).</w:t>
      </w:r>
      <w:r>
        <w:t xml:space="preserve"> </w:t>
      </w:r>
      <w:r>
        <w:rPr>
          <w:i/>
          <w:iCs/>
        </w:rPr>
        <w:t xml:space="preserve">The development of antisocial behavior and crime</w:t>
      </w:r>
      <w:r>
        <w:t xml:space="preserve">. Springer.</w:t>
      </w:r>
      <w:r>
        <w:t xml:space="preserve"> </w:t>
      </w:r>
      <w:hyperlink r:id="rId269">
        <w:r>
          <w:rPr>
            <w:rStyle w:val="Hyperlink"/>
          </w:rPr>
          <w:t xml:space="preserve">https://doi.org/10.1007/978-3-030-68429-7</w:t>
        </w:r>
      </w:hyperlink>
    </w:p>
    <w:bookmarkEnd w:id="270"/>
    <w:bookmarkStart w:id="272"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71">
        <w:r>
          <w:rPr>
            <w:rStyle w:val="Hyperlink"/>
          </w:rPr>
          <w:t xml:space="preserve">https://doi.org/10.1037/a0023678</w:t>
        </w:r>
      </w:hyperlink>
    </w:p>
    <w:bookmarkEnd w:id="272"/>
    <w:bookmarkStart w:id="274"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73">
        <w:r>
          <w:rPr>
            <w:rStyle w:val="Hyperlink"/>
          </w:rPr>
          <w:t xml:space="preserve">https://doi.org/10.1001/archpsyc.62.12.1352</w:t>
        </w:r>
      </w:hyperlink>
    </w:p>
    <w:bookmarkEnd w:id="274"/>
    <w:bookmarkStart w:id="276"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275">
        <w:r>
          <w:rPr>
            <w:rStyle w:val="Hyperlink"/>
          </w:rPr>
          <w:t xml:space="preserve">https://doi.org/10.1111/j.1467-9507.2008.00480.x</w:t>
        </w:r>
      </w:hyperlink>
    </w:p>
    <w:bookmarkEnd w:id="276"/>
    <w:bookmarkStart w:id="278"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277">
        <w:r>
          <w:rPr>
            <w:rStyle w:val="Hyperlink"/>
          </w:rPr>
          <w:t xml:space="preserve">https://news.harvard.edu/gazette/story/2017/04/over-nearly-80-years-harvard-study-has-been-showing-how-to-live-a-healthy-and-happy-life/</w:t>
        </w:r>
      </w:hyperlink>
    </w:p>
    <w:bookmarkEnd w:id="278"/>
    <w:bookmarkStart w:id="280"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279">
        <w:r>
          <w:rPr>
            <w:rStyle w:val="Hyperlink"/>
          </w:rPr>
          <w:t xml:space="preserve">https://doi.org/10.1037/0033-295X.100.4.674</w:t>
        </w:r>
      </w:hyperlink>
    </w:p>
    <w:bookmarkEnd w:id="280"/>
    <w:bookmarkStart w:id="282"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281">
        <w:r>
          <w:rPr>
            <w:rStyle w:val="Hyperlink"/>
          </w:rPr>
          <w:t xml:space="preserve">https://doi.org/10.1073/pnas.1010076108</w:t>
        </w:r>
      </w:hyperlink>
    </w:p>
    <w:bookmarkEnd w:id="282"/>
    <w:bookmarkStart w:id="284"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283">
        <w:r>
          <w:rPr>
            <w:rStyle w:val="Hyperlink"/>
          </w:rPr>
          <w:t xml:space="preserve">https://doi.org/10.1159/000270073</w:t>
        </w:r>
      </w:hyperlink>
    </w:p>
    <w:bookmarkEnd w:id="284"/>
    <w:bookmarkStart w:id="286" w:name="ref-Muthen2014"/>
    <w:p>
      <w:pPr>
        <w:pStyle w:val="Bibliography"/>
      </w:pPr>
      <w:r>
        <w:t xml:space="preserve">Muthén, B. O., &amp; Asparouhov, T. (2014).</w:t>
      </w:r>
      <w:r>
        <w:t xml:space="preserve"> </w:t>
      </w:r>
      <w:r>
        <w:t xml:space="preserve">IRT</w:t>
      </w:r>
      <w:r>
        <w:t xml:space="preserve"> </w:t>
      </w:r>
      <w:r>
        <w:t xml:space="preserve">studies of many groups: The alignment method.</w:t>
      </w:r>
      <w:r>
        <w:t xml:space="preserve"> </w:t>
      </w:r>
      <w:r>
        <w:rPr>
          <w:i/>
          <w:iCs/>
        </w:rPr>
        <w:t xml:space="preserve">Frontiers in Psychology</w:t>
      </w:r>
      <w:r>
        <w:t xml:space="preserve">,</w:t>
      </w:r>
      <w:r>
        <w:t xml:space="preserve"> </w:t>
      </w:r>
      <w:r>
        <w:rPr>
          <w:i/>
          <w:iCs/>
        </w:rPr>
        <w:t xml:space="preserve">5</w:t>
      </w:r>
      <w:r>
        <w:t xml:space="preserve">(978).</w:t>
      </w:r>
      <w:r>
        <w:t xml:space="preserve"> </w:t>
      </w:r>
      <w:hyperlink r:id="rId285">
        <w:r>
          <w:rPr>
            <w:rStyle w:val="Hyperlink"/>
          </w:rPr>
          <w:t xml:space="preserve">https://doi.org/10.3389/fpsyg.2014.00978</w:t>
        </w:r>
      </w:hyperlink>
    </w:p>
    <w:bookmarkEnd w:id="286"/>
    <w:bookmarkStart w:id="288" w:name="ref-Nickerson2026"/>
    <w:p>
      <w:pPr>
        <w:pStyle w:val="Bibliography"/>
      </w:pPr>
      <w:r>
        <w:t xml:space="preserve">Nickerson, A. B., &amp; Fredrick, S. S. (2026). Cyberbullying and mental health in children and adolescents.</w:t>
      </w:r>
      <w:r>
        <w:t xml:space="preserve"> </w:t>
      </w:r>
      <w:r>
        <w:rPr>
          <w:i/>
          <w:iCs/>
        </w:rPr>
        <w:t xml:space="preserve">Annual Review of Clinical Psychology</w:t>
      </w:r>
      <w:r>
        <w:t xml:space="preserve">,</w:t>
      </w:r>
      <w:r>
        <w:t xml:space="preserve"> </w:t>
      </w:r>
      <w:r>
        <w:rPr>
          <w:i/>
          <w:iCs/>
        </w:rPr>
        <w:t xml:space="preserve">22</w:t>
      </w:r>
      <w:r>
        <w:t xml:space="preserve">(Volume 22, 2026), 559–586.</w:t>
      </w:r>
      <w:r>
        <w:t xml:space="preserve"> </w:t>
      </w:r>
      <w:hyperlink r:id="rId287">
        <w:r>
          <w:rPr>
            <w:rStyle w:val="Hyperlink"/>
          </w:rPr>
          <w:t xml:space="preserve">https://doi.org/10.1146/annurev-clinpsy-061324-073435</w:t>
        </w:r>
      </w:hyperlink>
    </w:p>
    <w:bookmarkEnd w:id="288"/>
    <w:bookmarkStart w:id="290"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289">
        <w:r>
          <w:rPr>
            <w:rStyle w:val="Hyperlink"/>
          </w:rPr>
          <w:t xml:space="preserve">https://doi.org/10.1017/S0954579408000333</w:t>
        </w:r>
      </w:hyperlink>
    </w:p>
    <w:bookmarkEnd w:id="290"/>
    <w:bookmarkStart w:id="292" w:name="ref-Owens2003"/>
    <w:p>
      <w:pPr>
        <w:pStyle w:val="Bibliography"/>
      </w:pPr>
      <w:r>
        <w:t xml:space="preserve">Owens, E. B., &amp; Shaw, D. S. (2003). Predicting growth curves of externalizing behavior across the preschool years.</w:t>
      </w:r>
      <w:r>
        <w:t xml:space="preserve"> </w:t>
      </w:r>
      <w:r>
        <w:rPr>
          <w:i/>
          <w:iCs/>
        </w:rPr>
        <w:t xml:space="preserve">Journal of Abnormal Child Psychology</w:t>
      </w:r>
      <w:r>
        <w:t xml:space="preserve">,</w:t>
      </w:r>
      <w:r>
        <w:t xml:space="preserve"> </w:t>
      </w:r>
      <w:r>
        <w:rPr>
          <w:i/>
          <w:iCs/>
        </w:rPr>
        <w:t xml:space="preserve">31</w:t>
      </w:r>
      <w:r>
        <w:t xml:space="preserve">(6), 575–590.</w:t>
      </w:r>
      <w:r>
        <w:t xml:space="preserve"> </w:t>
      </w:r>
      <w:hyperlink r:id="rId291">
        <w:r>
          <w:rPr>
            <w:rStyle w:val="Hyperlink"/>
          </w:rPr>
          <w:t xml:space="preserve">https://doi.org/10.1023/a:1026254005632</w:t>
        </w:r>
      </w:hyperlink>
    </w:p>
    <w:bookmarkEnd w:id="292"/>
    <w:bookmarkStart w:id="294"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293">
        <w:r>
          <w:rPr>
            <w:rStyle w:val="Hyperlink"/>
          </w:rPr>
          <w:t xml:space="preserve">https://doi.org/10.1371/journal.pone.0063109</w:t>
        </w:r>
      </w:hyperlink>
    </w:p>
    <w:bookmarkEnd w:id="294"/>
    <w:bookmarkStart w:id="296"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295">
        <w:r>
          <w:rPr>
            <w:rStyle w:val="Hyperlink"/>
          </w:rPr>
          <w:t xml:space="preserve">https://doi.org/10.1037/0022-006X.61.6.911</w:t>
        </w:r>
      </w:hyperlink>
    </w:p>
    <w:bookmarkEnd w:id="296"/>
    <w:bookmarkStart w:id="298"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297">
        <w:r>
          <w:rPr>
            <w:rStyle w:val="Hyperlink"/>
          </w:rPr>
          <w:t xml:space="preserve">https://doi.org/10.1111/desc.70216</w:t>
        </w:r>
      </w:hyperlink>
    </w:p>
    <w:bookmarkEnd w:id="298"/>
    <w:bookmarkStart w:id="300"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299">
        <w:r>
          <w:rPr>
            <w:rStyle w:val="Hyperlink"/>
          </w:rPr>
          <w:t xml:space="preserve">https://doi.org/10.1037/dev0001657</w:t>
        </w:r>
      </w:hyperlink>
    </w:p>
    <w:bookmarkEnd w:id="300"/>
    <w:bookmarkStart w:id="301"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p>
    <w:bookmarkEnd w:id="301"/>
    <w:bookmarkStart w:id="303"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302">
        <w:r>
          <w:rPr>
            <w:rStyle w:val="Hyperlink"/>
          </w:rPr>
          <w:t xml:space="preserve">https://doi.org/10.1016/j.dr.2020.100935</w:t>
        </w:r>
      </w:hyperlink>
    </w:p>
    <w:bookmarkEnd w:id="303"/>
    <w:bookmarkStart w:id="304" w:name="ref-Petersen2026b"/>
    <w:p>
      <w:pPr>
        <w:pStyle w:val="Bibliography"/>
      </w:pPr>
      <w:r>
        <w:t xml:space="preserve">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90">
        <w:r>
          <w:rPr>
            <w:rStyle w:val="Hyperlink"/>
          </w:rPr>
          <w:t xml:space="preserve">https://doi.org/10.1037/pas0001441</w:t>
        </w:r>
      </w:hyperlink>
    </w:p>
    <w:bookmarkEnd w:id="304"/>
    <w:bookmarkStart w:id="305" w:name="ref-Petersen2026a"/>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100">
        <w:r>
          <w:rPr>
            <w:rStyle w:val="Hyperlink"/>
          </w:rPr>
          <w:t xml:space="preserve">https://doi.org/10.1016/j.jaacop.2025.10.008</w:t>
        </w:r>
      </w:hyperlink>
    </w:p>
    <w:bookmarkEnd w:id="305"/>
    <w:bookmarkStart w:id="307" w:name="ref-Petersen2021a"/>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306">
        <w:r>
          <w:rPr>
            <w:rStyle w:val="Hyperlink"/>
          </w:rPr>
          <w:t xml:space="preserve">https://doi.org/10.1111/cdev.13433</w:t>
        </w:r>
      </w:hyperlink>
    </w:p>
    <w:bookmarkEnd w:id="307"/>
    <w:bookmarkStart w:id="309"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308">
        <w:r>
          <w:rPr>
            <w:rStyle w:val="Hyperlink"/>
          </w:rPr>
          <w:t xml:space="preserve">https://doi.org/10.1037/dev0000449</w:t>
        </w:r>
      </w:hyperlink>
    </w:p>
    <w:bookmarkEnd w:id="309"/>
    <w:bookmarkStart w:id="311" w:name="ref-Poulton2015"/>
    <w:p>
      <w:pPr>
        <w:pStyle w:val="Bibliography"/>
      </w:pPr>
      <w:r>
        <w:t xml:space="preserve">Poulton, R., Moffitt, T. E., &amp; Silva, P. A. (2015). The</w:t>
      </w:r>
      <w:r>
        <w:t xml:space="preserve"> </w:t>
      </w:r>
      <w:r>
        <w:t xml:space="preserve">Dunedin Multidisciplinary Health and Development Study</w:t>
      </w:r>
      <w:r>
        <w:t xml:space="preserve">: Overview 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310">
        <w:r>
          <w:rPr>
            <w:rStyle w:val="Hyperlink"/>
          </w:rPr>
          <w:t xml:space="preserve">https://doi.org/10.1007/s00127-015-1048-8</w:t>
        </w:r>
      </w:hyperlink>
    </w:p>
    <w:bookmarkEnd w:id="311"/>
    <w:bookmarkStart w:id="313" w:name="ref-Robitzsch2023"/>
    <w:p>
      <w:pPr>
        <w:pStyle w:val="Bibliography"/>
      </w:pPr>
      <w:r>
        <w:t xml:space="preserve">Robitzsch, A., &amp; Lüdtke, O. (2023). Why full, partial, or approximate measurement invariance are not a prerequisite for meaningful and valid group comparisons.</w:t>
      </w:r>
      <w:r>
        <w:t xml:space="preserve"> </w:t>
      </w:r>
      <w:r>
        <w:rPr>
          <w:i/>
          <w:iCs/>
        </w:rPr>
        <w:t xml:space="preserve">Structural Equation Modeling: A Multidisciplinary Journal</w:t>
      </w:r>
      <w:r>
        <w:t xml:space="preserve">,</w:t>
      </w:r>
      <w:r>
        <w:t xml:space="preserve"> </w:t>
      </w:r>
      <w:r>
        <w:rPr>
          <w:i/>
          <w:iCs/>
        </w:rPr>
        <w:t xml:space="preserve">30</w:t>
      </w:r>
      <w:r>
        <w:t xml:space="preserve">(6), 859–870.</w:t>
      </w:r>
      <w:r>
        <w:t xml:space="preserve"> </w:t>
      </w:r>
      <w:hyperlink r:id="rId312">
        <w:r>
          <w:rPr>
            <w:rStyle w:val="Hyperlink"/>
          </w:rPr>
          <w:t xml:space="preserve">https://doi.org/10.1080/10705511.2023.2191292</w:t>
        </w:r>
      </w:hyperlink>
    </w:p>
    <w:bookmarkEnd w:id="313"/>
    <w:bookmarkStart w:id="314"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314"/>
    <w:bookmarkStart w:id="316"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315">
        <w:r>
          <w:rPr>
            <w:rStyle w:val="Hyperlink"/>
          </w:rPr>
          <w:t xml:space="preserve">https://doi.org/10.1111/j.1469-7610.2006.01614.x</w:t>
        </w:r>
      </w:hyperlink>
    </w:p>
    <w:bookmarkEnd w:id="316"/>
    <w:bookmarkStart w:id="318" w:name="ref-SacuInPress"/>
    <w:p>
      <w:pPr>
        <w:pStyle w:val="Bibliography"/>
      </w:pPr>
      <w:r>
        <w:t xml:space="preserve">Sacu, S., Streit, F., Witt, S. H., Banaschewski, T., Holz, N. E., &amp; Schultebraucks, K. (in press). Predicting psychopathology symptom trajectories using machine learning: A 33-year prospective study.</w:t>
      </w:r>
      <w:r>
        <w:t xml:space="preserve"> </w:t>
      </w:r>
      <w:r>
        <w:rPr>
          <w:i/>
          <w:iCs/>
        </w:rPr>
        <w:t xml:space="preserve">Journal of Child Psychology and Psychiatry</w:t>
      </w:r>
      <w:r>
        <w:t xml:space="preserve">,</w:t>
      </w:r>
      <w:r>
        <w:t xml:space="preserve"> </w:t>
      </w:r>
      <w:r>
        <w:rPr>
          <w:i/>
          <w:iCs/>
        </w:rPr>
        <w:t xml:space="preserve">n/a</w:t>
      </w:r>
      <w:r>
        <w:t xml:space="preserve">(n/a).</w:t>
      </w:r>
      <w:r>
        <w:t xml:space="preserve"> </w:t>
      </w:r>
      <w:hyperlink r:id="rId317">
        <w:r>
          <w:rPr>
            <w:rStyle w:val="Hyperlink"/>
          </w:rPr>
          <w:t xml:space="preserve">https://doi.org/10.1111/jcpp.70180</w:t>
        </w:r>
      </w:hyperlink>
    </w:p>
    <w:bookmarkEnd w:id="318"/>
    <w:bookmarkStart w:id="320" w:name="ref-Schaefer2017"/>
    <w:p>
      <w:pPr>
        <w:pStyle w:val="Bibliography"/>
      </w:pPr>
      <w:r>
        <w:t xml:space="preserve">Schaefer, J. D., Caspi, A., Belsky, D. W., Harrington, H., Houts, R., Horwood, L. J., Hussong, A., Ramrakha, S., Poulton, R., &amp; Moffitt, T. E. (2017). Enduring mental health: Prevalence 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319">
        <w:r>
          <w:rPr>
            <w:rStyle w:val="Hyperlink"/>
          </w:rPr>
          <w:t xml:space="preserve">https://doi.org/10.1037/abn0000232</w:t>
        </w:r>
      </w:hyperlink>
    </w:p>
    <w:bookmarkEnd w:id="320"/>
    <w:bookmarkStart w:id="322"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321">
        <w:r>
          <w:rPr>
            <w:rStyle w:val="Hyperlink"/>
          </w:rPr>
          <w:t xml:space="preserve">https://doi.org/10.1086/269270</w:t>
        </w:r>
      </w:hyperlink>
    </w:p>
    <w:bookmarkEnd w:id="322"/>
    <w:bookmarkStart w:id="324"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323">
        <w:r>
          <w:rPr>
            <w:rStyle w:val="Hyperlink"/>
          </w:rPr>
          <w:t xml:space="preserve">https://doi.org/10.1037/0003-066X.54.2.93</w:t>
        </w:r>
      </w:hyperlink>
    </w:p>
    <w:bookmarkEnd w:id="324"/>
    <w:bookmarkStart w:id="326" w:name="ref-Seddig2018"/>
    <w:p>
      <w:pPr>
        <w:pStyle w:val="Bibliography"/>
      </w:pPr>
      <w:r>
        <w:t xml:space="preserve">Seddig, D., &amp; Leitgöb, H. (2018). Approximate measurement invariance and longitudinal confirmatory factor analysis: Concept and application with panel data.</w:t>
      </w:r>
      <w:r>
        <w:t xml:space="preserve"> </w:t>
      </w:r>
      <w:r>
        <w:rPr>
          <w:i/>
          <w:iCs/>
        </w:rPr>
        <w:t xml:space="preserve">Survey Research Methods</w:t>
      </w:r>
      <w:r>
        <w:t xml:space="preserve">,</w:t>
      </w:r>
      <w:r>
        <w:t xml:space="preserve"> </w:t>
      </w:r>
      <w:r>
        <w:rPr>
          <w:i/>
          <w:iCs/>
        </w:rPr>
        <w:t xml:space="preserve">12</w:t>
      </w:r>
      <w:r>
        <w:t xml:space="preserve">(1).</w:t>
      </w:r>
      <w:r>
        <w:t xml:space="preserve"> </w:t>
      </w:r>
      <w:hyperlink r:id="rId325">
        <w:r>
          <w:rPr>
            <w:rStyle w:val="Hyperlink"/>
          </w:rPr>
          <w:t xml:space="preserve">https://doi.org/10.18148/srm/2018.v12i1.7210</w:t>
        </w:r>
      </w:hyperlink>
    </w:p>
    <w:bookmarkEnd w:id="326"/>
    <w:bookmarkStart w:id="328"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327">
        <w:r>
          <w:rPr>
            <w:rStyle w:val="Hyperlink"/>
          </w:rPr>
          <w:t xml:space="preserve">https://doi.org/10.1037/abn0000171</w:t>
        </w:r>
      </w:hyperlink>
    </w:p>
    <w:bookmarkEnd w:id="328"/>
    <w:bookmarkStart w:id="330" w:name="ref-Shi2020"/>
    <w:p>
      <w:pPr>
        <w:pStyle w:val="Bibliography"/>
      </w:pPr>
      <w:r>
        <w:t xml:space="preserve">Shi, Q., Ettekal, I., Deutz, M. H. F., &amp; Woltering, S. (2020). Trajectories of pure and co-occurring internalizing and externalizing problems from early childhood to adolescence: Associations 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329">
        <w:r>
          <w:rPr>
            <w:rStyle w:val="Hyperlink"/>
          </w:rPr>
          <w:t xml:space="preserve">https://doi.org/10.1037/dev0001095</w:t>
        </w:r>
      </w:hyperlink>
    </w:p>
    <w:bookmarkEnd w:id="330"/>
    <w:bookmarkStart w:id="332" w:name="ref-Simms2019"/>
    <w:p>
      <w:pPr>
        <w:pStyle w:val="Bibliography"/>
      </w:pPr>
      <w:r>
        <w:t xml:space="preserve">Simms, L. J., Zelazny, K., Williams, T. F., &amp; Bernstein, L. (2019). Does the number of response options matter?</w:t>
      </w:r>
      <w:r>
        <w:t xml:space="preserve"> </w:t>
      </w:r>
      <w:r>
        <w:t xml:space="preserve">Psychometric</w:t>
      </w:r>
      <w:r>
        <w:t xml:space="preserve"> </w:t>
      </w:r>
      <w:r>
        <w:t xml:space="preserve">perspectives using personality questionnaire data.</w:t>
      </w:r>
      <w:r>
        <w:t xml:space="preserve"> </w:t>
      </w:r>
      <w:r>
        <w:rPr>
          <w:i/>
          <w:iCs/>
        </w:rPr>
        <w:t xml:space="preserve">Psychological Assessment</w:t>
      </w:r>
      <w:r>
        <w:t xml:space="preserve">,</w:t>
      </w:r>
      <w:r>
        <w:t xml:space="preserve"> </w:t>
      </w:r>
      <w:r>
        <w:rPr>
          <w:i/>
          <w:iCs/>
        </w:rPr>
        <w:t xml:space="preserve">31</w:t>
      </w:r>
      <w:r>
        <w:t xml:space="preserve">(4), 557–566.</w:t>
      </w:r>
      <w:r>
        <w:t xml:space="preserve"> </w:t>
      </w:r>
      <w:hyperlink r:id="rId331">
        <w:r>
          <w:rPr>
            <w:rStyle w:val="Hyperlink"/>
          </w:rPr>
          <w:t xml:space="preserve">https://doi.org/10.1037/pas0000648</w:t>
        </w:r>
      </w:hyperlink>
    </w:p>
    <w:bookmarkEnd w:id="332"/>
    <w:bookmarkStart w:id="333"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p>
    <w:bookmarkEnd w:id="333"/>
    <w:bookmarkStart w:id="335" w:name="ref-Speyer2022"/>
    <w:p>
      <w:pPr>
        <w:pStyle w:val="Bibliography"/>
      </w:pPr>
      <w:r>
        <w:t xml:space="preserve">Speyer, L. G., Neaves, S., Hall, H. A., Hemani, G., Lombardo, M. V., Murray, A. L., Auyeung, B., &amp; Luciano, M. (2022). Polygenic risks for joint developmental trajectories of internalizing and externalizing problems: Findings from the ALSPAC 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334">
        <w:r>
          <w:rPr>
            <w:rStyle w:val="Hyperlink"/>
          </w:rPr>
          <w:t xml:space="preserve">https://doi.org/10.1111/jcpp.13549</w:t>
        </w:r>
      </w:hyperlink>
    </w:p>
    <w:bookmarkEnd w:id="335"/>
    <w:bookmarkStart w:id="336"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336"/>
    <w:bookmarkStart w:id="338"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337">
        <w:r>
          <w:rPr>
            <w:rStyle w:val="Hyperlink"/>
          </w:rPr>
          <w:t xml:space="preserve">https://doi.org/10.1146/annurev-criminol-111523-122451</w:t>
        </w:r>
      </w:hyperlink>
    </w:p>
    <w:bookmarkEnd w:id="338"/>
    <w:bookmarkStart w:id="340"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339">
        <w:r>
          <w:rPr>
            <w:rStyle w:val="Hyperlink"/>
          </w:rPr>
          <w:t xml:space="preserve">https://doi.org/10.1017/S0954579407070174</w:t>
        </w:r>
      </w:hyperlink>
    </w:p>
    <w:bookmarkEnd w:id="340"/>
    <w:bookmarkStart w:id="342"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341">
        <w:r>
          <w:rPr>
            <w:rStyle w:val="Hyperlink"/>
          </w:rPr>
          <w:t xml:space="preserve">https://doi.org/10.1177/1362361320908972</w:t>
        </w:r>
      </w:hyperlink>
    </w:p>
    <w:bookmarkEnd w:id="342"/>
    <w:bookmarkStart w:id="344"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343">
        <w:r>
          <w:rPr>
            <w:rStyle w:val="Hyperlink"/>
          </w:rPr>
          <w:t xml:space="preserve">https://doi.org/10.1037/abn0000751</w:t>
        </w:r>
      </w:hyperlink>
    </w:p>
    <w:bookmarkEnd w:id="344"/>
    <w:bookmarkStart w:id="346"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345">
        <w:r>
          <w:rPr>
            <w:rStyle w:val="Hyperlink"/>
          </w:rPr>
          <w:t xml:space="preserve">https://doi.org/10.1038/s44220-023-00057-5</w:t>
        </w:r>
      </w:hyperlink>
    </w:p>
    <w:bookmarkEnd w:id="346"/>
    <w:bookmarkStart w:id="348" w:name="ref-Tyrell2019"/>
    <w:p>
      <w:pPr>
        <w:pStyle w:val="Bibliography"/>
      </w:pPr>
      <w:r>
        <w:t xml:space="preserve">Tyrell, F. A., Yates, T. M., Widaman, K. F., Reynolds, C. A., &amp; Fabricius, W. V. (2019). Data harmonization: Establishing measurement invariance across different assessments of the same construct across adolescence.</w:t>
      </w:r>
      <w:r>
        <w:t xml:space="preserve"> </w:t>
      </w:r>
      <w:r>
        <w:rPr>
          <w:i/>
          <w:iCs/>
        </w:rPr>
        <w:t xml:space="preserve">Journal of Clinical Child &amp; Adolescent Psychology</w:t>
      </w:r>
      <w:r>
        <w:t xml:space="preserve">,</w:t>
      </w:r>
      <w:r>
        <w:t xml:space="preserve"> </w:t>
      </w:r>
      <w:r>
        <w:rPr>
          <w:i/>
          <w:iCs/>
        </w:rPr>
        <w:t xml:space="preserve">48</w:t>
      </w:r>
      <w:r>
        <w:t xml:space="preserve">(4), 555–567.</w:t>
      </w:r>
      <w:r>
        <w:t xml:space="preserve"> </w:t>
      </w:r>
      <w:hyperlink r:id="rId347">
        <w:r>
          <w:rPr>
            <w:rStyle w:val="Hyperlink"/>
          </w:rPr>
          <w:t xml:space="preserve">https://doi.org/10.1080/15374416.2019.1622124</w:t>
        </w:r>
      </w:hyperlink>
    </w:p>
    <w:bookmarkEnd w:id="348"/>
    <w:bookmarkStart w:id="350" w:name="ref-Vaillant2012"/>
    <w:p>
      <w:pPr>
        <w:pStyle w:val="Bibliography"/>
      </w:pPr>
      <w:r>
        <w:t xml:space="preserve">Vaillant, G. E. (2012).</w:t>
      </w:r>
      <w:r>
        <w:t xml:space="preserve"> </w:t>
      </w:r>
      <w:r>
        <w:rPr>
          <w:i/>
          <w:iCs/>
        </w:rPr>
        <w:t xml:space="preserve">Triumphs of experience: The men of the</w:t>
      </w:r>
      <w:r>
        <w:rPr>
          <w:i/>
          <w:iCs/>
        </w:rPr>
        <w:t xml:space="preserve"> </w:t>
      </w:r>
      <w:r>
        <w:rPr>
          <w:i/>
          <w:iCs/>
        </w:rPr>
        <w:t xml:space="preserve">Harvard Grant Study</w:t>
      </w:r>
      <w:r>
        <w:t xml:space="preserve">. Harvard University Press.</w:t>
      </w:r>
      <w:r>
        <w:t xml:space="preserve"> </w:t>
      </w:r>
      <w:hyperlink r:id="rId349">
        <w:r>
          <w:rPr>
            <w:rStyle w:val="Hyperlink"/>
          </w:rPr>
          <w:t xml:space="preserve">https://doi.org/10.2307/j.ctt2jbxs1</w:t>
        </w:r>
      </w:hyperlink>
    </w:p>
    <w:bookmarkEnd w:id="350"/>
    <w:bookmarkStart w:id="352" w:name="ref-VanDeSchoot2013"/>
    <w:p>
      <w:pPr>
        <w:pStyle w:val="Bibliography"/>
      </w:pPr>
      <w:r>
        <w:t xml:space="preserve">Van De Schoot, R., Kluytmans, A., Tummers, L., Lugtig, P., Hox, J., &amp; Muthen, B. (2013). Facing off with</w:t>
      </w:r>
      <w:r>
        <w:t xml:space="preserve"> </w:t>
      </w:r>
      <w:r>
        <w:t xml:space="preserve">Scylla</w:t>
      </w:r>
      <w:r>
        <w:t xml:space="preserve"> </w:t>
      </w:r>
      <w:r>
        <w:t xml:space="preserve">and</w:t>
      </w:r>
      <w:r>
        <w:t xml:space="preserve"> </w:t>
      </w:r>
      <w:r>
        <w:t xml:space="preserve">Charybdis</w:t>
      </w:r>
      <w:r>
        <w:t xml:space="preserve">: A comparison of scalar, partial, and the novel possibility of approximate measurement invariance.</w:t>
      </w:r>
      <w:r>
        <w:t xml:space="preserve"> </w:t>
      </w:r>
      <w:r>
        <w:rPr>
          <w:i/>
          <w:iCs/>
        </w:rPr>
        <w:t xml:space="preserve">Frontiers in Psychology</w:t>
      </w:r>
      <w:r>
        <w:t xml:space="preserve">,</w:t>
      </w:r>
      <w:r>
        <w:t xml:space="preserve"> </w:t>
      </w:r>
      <w:r>
        <w:rPr>
          <w:i/>
          <w:iCs/>
        </w:rPr>
        <w:t xml:space="preserve">4</w:t>
      </w:r>
      <w:r>
        <w:t xml:space="preserve">(770).</w:t>
      </w:r>
      <w:r>
        <w:t xml:space="preserve"> </w:t>
      </w:r>
      <w:hyperlink r:id="rId351">
        <w:r>
          <w:rPr>
            <w:rStyle w:val="Hyperlink"/>
          </w:rPr>
          <w:t xml:space="preserve">https://doi.org/10.3389/fpsyg.2013.00770</w:t>
        </w:r>
      </w:hyperlink>
    </w:p>
    <w:bookmarkEnd w:id="352"/>
    <w:bookmarkStart w:id="354"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353">
        <w:r>
          <w:rPr>
            <w:rStyle w:val="Hyperlink"/>
          </w:rPr>
          <w:t xml:space="preserve">https://doi.org/10.1016/j.jaac.2013.10.011</w:t>
        </w:r>
      </w:hyperlink>
    </w:p>
    <w:bookmarkEnd w:id="354"/>
    <w:bookmarkStart w:id="356"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355">
        <w:r>
          <w:rPr>
            <w:rStyle w:val="Hyperlink"/>
          </w:rPr>
          <w:t xml:space="preserve">https://doi.org/10.1080/15374416.2018.1561296</w:t>
        </w:r>
      </w:hyperlink>
    </w:p>
    <w:bookmarkEnd w:id="356"/>
    <w:bookmarkStart w:id="358" w:name="ref-Walters2011"/>
    <w:p>
      <w:pPr>
        <w:pStyle w:val="Bibliography"/>
      </w:pPr>
      <w:r>
        <w:t xml:space="preserve">Walters, G. D. (2011). The latent structure of life-course-persistent antisocial behavior: Is</w:t>
      </w:r>
      <w:r>
        <w:t xml:space="preserve"> </w:t>
      </w:r>
      <w:r>
        <w:t xml:space="preserve">Moffitt’s</w:t>
      </w:r>
      <w:r>
        <w:t xml:space="preserve"> </w:t>
      </w:r>
      <w:r>
        <w:t xml:space="preserve">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357">
        <w:r>
          <w:rPr>
            <w:rStyle w:val="Hyperlink"/>
          </w:rPr>
          <w:t xml:space="preserve">https://doi.org/10.1037/a0021519</w:t>
        </w:r>
      </w:hyperlink>
    </w:p>
    <w:bookmarkEnd w:id="358"/>
    <w:bookmarkStart w:id="360"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359">
        <w:r>
          <w:rPr>
            <w:rStyle w:val="Hyperlink"/>
          </w:rPr>
          <w:t xml:space="preserve">https://doi.org/10.1177/0093854812443645</w:t>
        </w:r>
      </w:hyperlink>
    </w:p>
    <w:bookmarkEnd w:id="360"/>
    <w:bookmarkStart w:id="362"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361">
        <w:r>
          <w:rPr>
            <w:rStyle w:val="Hyperlink"/>
          </w:rPr>
          <w:t xml:space="preserve">https://doi.org/10.1007/s12103-013-9235-1</w:t>
        </w:r>
      </w:hyperlink>
    </w:p>
    <w:bookmarkEnd w:id="362"/>
    <w:bookmarkStart w:id="364"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363">
        <w:r>
          <w:rPr>
            <w:rStyle w:val="Hyperlink"/>
          </w:rPr>
          <w:t xml:space="preserve">https://doi.org/10.1007/s12103-014-9272-4</w:t>
        </w:r>
      </w:hyperlink>
    </w:p>
    <w:bookmarkEnd w:id="364"/>
    <w:bookmarkStart w:id="366"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365">
        <w:r>
          <w:rPr>
            <w:rStyle w:val="Hyperlink"/>
          </w:rPr>
          <w:t xml:space="preserve">https://doi.org/10.1007/s10802-012-9700-1</w:t>
        </w:r>
      </w:hyperlink>
    </w:p>
    <w:bookmarkEnd w:id="366"/>
    <w:bookmarkStart w:id="368"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367">
        <w:r>
          <w:rPr>
            <w:rStyle w:val="Hyperlink"/>
          </w:rPr>
          <w:t xml:space="preserve">https://doi.org/10.1007/s10802-010-9478-y</w:t>
        </w:r>
      </w:hyperlink>
    </w:p>
    <w:bookmarkEnd w:id="368"/>
    <w:bookmarkStart w:id="370"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369">
        <w:r>
          <w:rPr>
            <w:rStyle w:val="Hyperlink"/>
          </w:rPr>
          <w:t xml:space="preserve">https://doi.org/10.1016/j.dr.2008.01.001</w:t>
        </w:r>
      </w:hyperlink>
    </w:p>
    <w:bookmarkEnd w:id="370"/>
    <w:bookmarkStart w:id="372"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371">
        <w:r>
          <w:rPr>
            <w:rStyle w:val="Hyperlink"/>
          </w:rPr>
          <w:t xml:space="preserve">https://doi.org/10.1017/S0954579403000221</w:t>
        </w:r>
      </w:hyperlink>
    </w:p>
    <w:bookmarkEnd w:id="372"/>
    <w:bookmarkStart w:id="374" w:name="ref-Widaman2010"/>
    <w:p>
      <w:pPr>
        <w:pStyle w:val="Bibliography"/>
      </w:pPr>
      <w:r>
        <w:t xml:space="preserve">Widaman, K. F., Ferrer, E., &amp; Conger, R. D. (2010). Factorial invariance within longitudinal structural equation models: Measuring the same construct across time.</w:t>
      </w:r>
      <w:r>
        <w:t xml:space="preserve"> </w:t>
      </w:r>
      <w:r>
        <w:rPr>
          <w:i/>
          <w:iCs/>
        </w:rPr>
        <w:t xml:space="preserve">Child Development Perspectives</w:t>
      </w:r>
      <w:r>
        <w:t xml:space="preserve">,</w:t>
      </w:r>
      <w:r>
        <w:t xml:space="preserve"> </w:t>
      </w:r>
      <w:r>
        <w:rPr>
          <w:i/>
          <w:iCs/>
        </w:rPr>
        <w:t xml:space="preserve">4</w:t>
      </w:r>
      <w:r>
        <w:t xml:space="preserve">(1), 10–18.</w:t>
      </w:r>
      <w:r>
        <w:t xml:space="preserve"> </w:t>
      </w:r>
      <w:hyperlink r:id="rId373">
        <w:r>
          <w:rPr>
            <w:rStyle w:val="Hyperlink"/>
          </w:rPr>
          <w:t xml:space="preserve">https://doi.org/10.1111/j.1750-8606.2009.00110.x</w:t>
        </w:r>
      </w:hyperlink>
    </w:p>
    <w:bookmarkEnd w:id="374"/>
    <w:bookmarkStart w:id="376" w:name="ref-Winter2020"/>
    <w:p>
      <w:pPr>
        <w:pStyle w:val="Bibliography"/>
      </w:pPr>
      <w:r>
        <w:t xml:space="preserve">Winter, S. D., &amp; Depaoli, S. (2020). An illustration of</w:t>
      </w:r>
      <w:r>
        <w:t xml:space="preserve"> </w:t>
      </w:r>
      <w:r>
        <w:t xml:space="preserve">Bayesian</w:t>
      </w:r>
      <w:r>
        <w:t xml:space="preserve"> </w:t>
      </w:r>
      <w:r>
        <w:t xml:space="preserve">approximate measurement invariance with longitudinal data and a small sample size.</w:t>
      </w:r>
      <w:r>
        <w:t xml:space="preserve"> </w:t>
      </w:r>
      <w:r>
        <w:rPr>
          <w:i/>
          <w:iCs/>
        </w:rPr>
        <w:t xml:space="preserve">International Journal of Behavioral Development</w:t>
      </w:r>
      <w:r>
        <w:t xml:space="preserve">,</w:t>
      </w:r>
      <w:r>
        <w:t xml:space="preserve"> </w:t>
      </w:r>
      <w:r>
        <w:rPr>
          <w:i/>
          <w:iCs/>
        </w:rPr>
        <w:t xml:space="preserve">44</w:t>
      </w:r>
      <w:r>
        <w:t xml:space="preserve">(4), 371–382.</w:t>
      </w:r>
      <w:r>
        <w:t xml:space="preserve"> </w:t>
      </w:r>
      <w:hyperlink r:id="rId375">
        <w:r>
          <w:rPr>
            <w:rStyle w:val="Hyperlink"/>
          </w:rPr>
          <w:t xml:space="preserve">https://doi.org/10.1177/0165025419880610</w:t>
        </w:r>
      </w:hyperlink>
    </w:p>
    <w:bookmarkEnd w:id="376"/>
    <w:bookmarkStart w:id="378"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377">
        <w:r>
          <w:rPr>
            <w:rStyle w:val="Hyperlink"/>
          </w:rPr>
          <w:t xml:space="preserve">https://icd.who.int</w:t>
        </w:r>
      </w:hyperlink>
    </w:p>
    <w:bookmarkEnd w:id="378"/>
    <w:bookmarkStart w:id="380"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379">
        <w:r>
          <w:rPr>
            <w:rStyle w:val="Hyperlink"/>
          </w:rPr>
          <w:t xml:space="preserve">https://doi.org/10.1037/a0030133</w:t>
        </w:r>
      </w:hyperlink>
    </w:p>
    <w:bookmarkEnd w:id="380"/>
    <w:bookmarkStart w:id="382" w:name="ref-Zhai2026"/>
    <w:p>
      <w:pPr>
        <w:pStyle w:val="Bibliography"/>
      </w:pPr>
      <w:r>
        <w:t xml:space="preserve">Zhai, R., Zhang, L., &amp; Cheng, G. (2026). Developmental trajectories of emotional and behavioral dysregulation from ages 3 to 17: Early 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w:t>
      </w:r>
      <w:r>
        <w:t xml:space="preserve"> </w:t>
      </w:r>
      <w:hyperlink r:id="rId381">
        <w:r>
          <w:rPr>
            <w:rStyle w:val="Hyperlink"/>
          </w:rPr>
          <w:t xml:space="preserve">https://doi.org/10.1016/j.jad.2026.121556</w:t>
        </w:r>
      </w:hyperlink>
    </w:p>
    <w:bookmarkEnd w:id="382"/>
    <w:bookmarkEnd w:id="383"/>
    <w:p>
      <w:r>
        <w:br w:type="page"/>
      </w:r>
    </w:p>
    <w:bookmarkEnd w:id="384"/>
    <w:p>
      <w:pPr>
        <w:pStyle w:val="Heading1"/>
      </w:pPr>
      <w:r>
        <w:t xml:space="preserve">Appendix A</w:t>
      </w:r>
    </w:p>
    <w:bookmarkStart w:id="385" w:name="apx-a"/>
    <w:p>
      <w:pPr>
        <w:pStyle w:val="Heading1"/>
      </w:pPr>
      <w:r>
        <w:t xml:space="preserve">This Section Is an Appendix</w:t>
      </w:r>
    </w:p>
    <w:p>
      <w:r>
        <w:br w:type="page"/>
      </w:r>
    </w:p>
    <w:bookmarkEnd w:id="385"/>
    <w:p>
      <w:pPr>
        <w:pStyle w:val="Heading1"/>
      </w:pPr>
      <w:r>
        <w:t xml:space="preserve">Appendix B</w:t>
      </w:r>
    </w:p>
    <w:bookmarkStart w:id="386" w:name="apx-b"/>
    <w:p>
      <w:pPr>
        <w:pStyle w:val="Heading1"/>
      </w:pPr>
      <w:r>
        <w:t xml:space="preserve">Another Appendix</w:t>
      </w:r>
    </w:p>
    <w:bookmarkEnd w:id="386"/>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9">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92">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93">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 w:id="96">
    <w:p>
      <w:pPr>
        <w:pStyle w:val="FootnoteText"/>
      </w:pPr>
      <w:r>
        <w:rPr>
          <w:rStyle w:val="FootnoteReference"/>
        </w:rPr>
        <w:footnoteRef/>
      </w:r>
      <w:r>
        <w:t xml:space="preserve"> </w:t>
      </w:r>
      <w:r>
        <w:t xml:space="preserve">For simplicity and brevity, we refer to birth age as a proxy for developmental time.</w:t>
      </w:r>
    </w:p>
  </w:footnote>
  <w:footnote w:id="119">
    <w:p>
      <w:pPr>
        <w:pStyle w:val="FootnoteText"/>
      </w:pPr>
      <w:r>
        <w:rPr>
          <w:rStyle w:val="FootnoteReference"/>
        </w:rPr>
        <w:footnoteRef/>
      </w:r>
      <w:r>
        <w:t xml:space="preserve"> </w:t>
      </w:r>
      <w:r>
        <w:t xml:space="preserve">Strong invariance is also called</w:t>
      </w:r>
      <w:r>
        <w:t xml:space="preserve"> </w:t>
      </w:r>
      <w:r>
        <w:t xml:space="preserve">“scalar invariance”</w:t>
      </w:r>
      <w:r>
        <w:t xml:space="preserve">.</w:t>
      </w:r>
    </w:p>
  </w:footnote>
  <w:footnote w:id="135">
    <w:p>
      <w:pPr>
        <w:pStyle w:val="FootnoteText"/>
      </w:pPr>
      <w:r>
        <w:rPr>
          <w:rStyle w:val="FootnoteReference"/>
        </w:rPr>
        <w:footnoteRef/>
      </w:r>
      <w:r>
        <w:t xml:space="preserve"> </w:t>
      </w:r>
      <w:r>
        <w:t xml:space="preserve">Factorial invariance is also called</w:t>
      </w:r>
      <w:r>
        <w:t xml:space="preserve"> </w:t>
      </w:r>
      <w:r>
        <w:t xml:space="preserve">“measurement invariance”</w:t>
      </w:r>
      <w:r>
        <w:t xml:space="preserve">.</w:t>
      </w:r>
      <w:r>
        <w:t xml:space="preserve"> </w:t>
      </w:r>
      <w:r>
        <w:t xml:space="preserve">In this context, we prefer the term</w:t>
      </w:r>
      <w:r>
        <w:t xml:space="preserve"> </w:t>
      </w:r>
      <w:r>
        <w:t xml:space="preserve">“factorial invariance”</w:t>
      </w:r>
      <w:r>
        <w:t xml:space="preserve"> </w:t>
      </w:r>
      <w:r>
        <w:t xml:space="preserve">because, as described, the actual measures used may differ across time.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42" Target="media/rId42.jpg" /><Relationship Type="http://schemas.openxmlformats.org/officeDocument/2006/relationships/image" Id="rId61" Target="media/rId61.png" /><Relationship Type="http://schemas.openxmlformats.org/officeDocument/2006/relationships/image" Id="rId120" Target="media/rId120.png" /><Relationship Type="http://schemas.openxmlformats.org/officeDocument/2006/relationships/image" Id="rId87" Target="media/rId87.png" /><Relationship Type="http://schemas.openxmlformats.org/officeDocument/2006/relationships/image" Id="rId104" Target="media/rId104.png" /><Relationship Type="http://schemas.openxmlformats.org/officeDocument/2006/relationships/image" Id="rId53" Target="media/rId53.png" /><Relationship Type="http://schemas.openxmlformats.org/officeDocument/2006/relationships/image" Id="rId97" Target="media/rId97.jpg" /><Relationship Type="http://schemas.openxmlformats.org/officeDocument/2006/relationships/image" Id="rId114" Target="media/rId114.png" /><Relationship Type="http://schemas.openxmlformats.org/officeDocument/2006/relationships/image" Id="rId57" Target="media/rId57.png" /><Relationship Type="http://schemas.openxmlformats.org/officeDocument/2006/relationships/image" Id="rId127" Target="media/rId127.png" /><Relationship Type="http://schemas.openxmlformats.org/officeDocument/2006/relationships/image" Id="rId23" Target="media/rId23.svg" /><Relationship Type="http://schemas.openxmlformats.org/officeDocument/2006/relationships/image" Id="rId80" Target="media/rId80.png" /><Relationship Type="http://schemas.openxmlformats.org/officeDocument/2006/relationships/image" Id="rId69" Target="media/rId69.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84" Target="https://DevPsyLab.github.io/studying-psychopathology-development-lifespan/notebooks/analyses-preview.html#cell-fig-longitudinalexternalizingstudies" TargetMode="External"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109" Target="https://DevPsyLab.github.io/studying-psychopathology-development-lifespan/notebooks/analyses-preview.html#cell-tbl-externalizingfacets" TargetMode="External" /><Relationship Type="http://schemas.openxmlformats.org/officeDocument/2006/relationships/hyperlink" Id="rId255" Target="https://doi.org/10.1001/archgenpsychiatry.2010.188" TargetMode="External" /><Relationship Type="http://schemas.openxmlformats.org/officeDocument/2006/relationships/hyperlink" Id="rId273" Target="https://doi.org/10.1001/archpsyc.62.12.1352" TargetMode="External" /><Relationship Type="http://schemas.openxmlformats.org/officeDocument/2006/relationships/hyperlink" Id="rId170" Target="https://doi.org/10.1001/jamanetworkopen.2020.3221" TargetMode="External" /><Relationship Type="http://schemas.openxmlformats.org/officeDocument/2006/relationships/hyperlink" Id="rId174" Target="https://doi.org/10.1002/9780470147658.chpsy0306" TargetMode="External" /><Relationship Type="http://schemas.openxmlformats.org/officeDocument/2006/relationships/hyperlink" Id="rId160" Target="https://doi.org/10.1002/9781119125556.devpsy101" TargetMode="External" /><Relationship Type="http://schemas.openxmlformats.org/officeDocument/2006/relationships/hyperlink" Id="rId236" Target="https://doi.org/10.1002/cbm.708" TargetMode="External" /><Relationship Type="http://schemas.openxmlformats.org/officeDocument/2006/relationships/hyperlink" Id="rId145" Target="https://doi.org/10.1002/jcv2.70043" TargetMode="External" /><Relationship Type="http://schemas.openxmlformats.org/officeDocument/2006/relationships/hyperlink" Id="rId253" Target="https://doi.org/10.1002/wps.20844" TargetMode="External" /><Relationship Type="http://schemas.openxmlformats.org/officeDocument/2006/relationships/hyperlink" Id="rId204" Target="https://doi.org/10.1007/978-1-0716-3335-9_5" TargetMode="External" /><Relationship Type="http://schemas.openxmlformats.org/officeDocument/2006/relationships/hyperlink" Id="rId246" Target="https://doi.org/10.1007/978-1-4939-0317-7" TargetMode="External" /><Relationship Type="http://schemas.openxmlformats.org/officeDocument/2006/relationships/hyperlink" Id="rId269" Target="https://doi.org/10.1007/978-3-030-68429-7" TargetMode="External" /><Relationship Type="http://schemas.openxmlformats.org/officeDocument/2006/relationships/hyperlink" Id="rId310" Target="https://doi.org/10.1007/s00127-015-1048-8" TargetMode="External" /><Relationship Type="http://schemas.openxmlformats.org/officeDocument/2006/relationships/hyperlink" Id="rId209" Target="https://doi.org/10.1007/s00234-020-02562-1" TargetMode="External" /><Relationship Type="http://schemas.openxmlformats.org/officeDocument/2006/relationships/hyperlink" Id="rId367" Target="https://doi.org/10.1007/s10802-010-9478-y" TargetMode="External" /><Relationship Type="http://schemas.openxmlformats.org/officeDocument/2006/relationships/hyperlink" Id="rId162" Target="https://doi.org/10.1007/s10802-012-9669-9" TargetMode="External" /><Relationship Type="http://schemas.openxmlformats.org/officeDocument/2006/relationships/hyperlink" Id="rId365" Target="https://doi.org/10.1007/s10802-012-9700-1" TargetMode="External" /><Relationship Type="http://schemas.openxmlformats.org/officeDocument/2006/relationships/hyperlink" Id="rId240" Target="https://doi.org/10.1007/s10802-017-0383-5" TargetMode="External" /><Relationship Type="http://schemas.openxmlformats.org/officeDocument/2006/relationships/hyperlink" Id="rId242" Target="https://doi.org/10.1007/s10802-021-00885-y" TargetMode="External" /><Relationship Type="http://schemas.openxmlformats.org/officeDocument/2006/relationships/hyperlink" Id="rId227" Target="https://doi.org/10.1007/s10826-018-1272-4" TargetMode="External" /><Relationship Type="http://schemas.openxmlformats.org/officeDocument/2006/relationships/hyperlink" Id="rId361" Target="https://doi.org/10.1007/s12103-013-9235-1" TargetMode="External" /><Relationship Type="http://schemas.openxmlformats.org/officeDocument/2006/relationships/hyperlink" Id="rId363" Target="https://doi.org/10.1007/s12103-014-9272-4" TargetMode="External" /><Relationship Type="http://schemas.openxmlformats.org/officeDocument/2006/relationships/hyperlink" Id="rId176" Target="https://doi.org/10.1007/s40865-015-0012-3" TargetMode="External" /><Relationship Type="http://schemas.openxmlformats.org/officeDocument/2006/relationships/hyperlink" Id="rId263"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68" Target="https://doi.org/10.1016/j.cpr.2012.02.006" TargetMode="External" /><Relationship Type="http://schemas.openxmlformats.org/officeDocument/2006/relationships/hyperlink" Id="rId369" Target="https://doi.org/10.1016/j.dr.2008.01.001" TargetMode="External" /><Relationship Type="http://schemas.openxmlformats.org/officeDocument/2006/relationships/hyperlink" Id="rId302" Target="https://doi.org/10.1016/j.dr.2020.100935" TargetMode="External" /><Relationship Type="http://schemas.openxmlformats.org/officeDocument/2006/relationships/hyperlink" Id="rId353" Target="https://doi.org/10.1016/j.jaac.2013.10.011" TargetMode="External" /><Relationship Type="http://schemas.openxmlformats.org/officeDocument/2006/relationships/hyperlink" Id="rId155" Target="https://doi.org/10.1016/j.jaac.2017.05.019" TargetMode="External" /><Relationship Type="http://schemas.openxmlformats.org/officeDocument/2006/relationships/hyperlink" Id="rId100" Target="https://doi.org/10.1016/j.jaacop.2025.10.008" TargetMode="External" /><Relationship Type="http://schemas.openxmlformats.org/officeDocument/2006/relationships/hyperlink" Id="rId381" Target="https://doi.org/10.1016/j.jad.2026.121556" TargetMode="External" /><Relationship Type="http://schemas.openxmlformats.org/officeDocument/2006/relationships/hyperlink" Id="rId65" Target="https://doi.org/10.1016/j.jcrimjus.2024.102155" TargetMode="External" /><Relationship Type="http://schemas.openxmlformats.org/officeDocument/2006/relationships/hyperlink" Id="rId147" Target="https://doi.org/10.1016/j.jpsychires.2013.08.016" TargetMode="External" /><Relationship Type="http://schemas.openxmlformats.org/officeDocument/2006/relationships/hyperlink" Id="rId221" Target="https://doi.org/10.1017/S0033291711001966" TargetMode="External" /><Relationship Type="http://schemas.openxmlformats.org/officeDocument/2006/relationships/hyperlink" Id="rId223" Target="https://doi.org/10.1017/S003329172000183X" TargetMode="External" /><Relationship Type="http://schemas.openxmlformats.org/officeDocument/2006/relationships/hyperlink" Id="rId371" Target="https://doi.org/10.1017/S0954579403000221" TargetMode="External" /><Relationship Type="http://schemas.openxmlformats.org/officeDocument/2006/relationships/hyperlink" Id="rId339" Target="https://doi.org/10.1017/S0954579407070174" TargetMode="External" /><Relationship Type="http://schemas.openxmlformats.org/officeDocument/2006/relationships/hyperlink" Id="rId289" Target="https://doi.org/10.1017/S0954579408000333" TargetMode="External" /><Relationship Type="http://schemas.openxmlformats.org/officeDocument/2006/relationships/hyperlink" Id="rId267"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206" Target="https://doi.org/10.1017/S0954579416000651" TargetMode="External" /><Relationship Type="http://schemas.openxmlformats.org/officeDocument/2006/relationships/hyperlink" Id="rId211" Target="https://doi.org/10.1017/S0954579421001772" TargetMode="External" /><Relationship Type="http://schemas.openxmlformats.org/officeDocument/2006/relationships/hyperlink" Id="rId153" Target="https://doi.org/10.1017/S0954579423001505" TargetMode="External" /><Relationship Type="http://schemas.openxmlformats.org/officeDocument/2006/relationships/hyperlink" Id="rId219" Target="https://doi.org/10.1017/S0954579424000713" TargetMode="External" /><Relationship Type="http://schemas.openxmlformats.org/officeDocument/2006/relationships/hyperlink" Id="rId291" Target="https://doi.org/10.1023/a:1026254005632" TargetMode="External" /><Relationship Type="http://schemas.openxmlformats.org/officeDocument/2006/relationships/hyperlink" Id="rId166" Target="https://doi.org/10.1027/1015-5759.17.1.25" TargetMode="External" /><Relationship Type="http://schemas.openxmlformats.org/officeDocument/2006/relationships/hyperlink" Id="rId323" Target="https://doi.org/10.1037/0003-066X.54.2.93" TargetMode="External" /><Relationship Type="http://schemas.openxmlformats.org/officeDocument/2006/relationships/hyperlink" Id="rId164" Target="https://doi.org/10.1037/0012-1649.39.2.222" TargetMode="External" /><Relationship Type="http://schemas.openxmlformats.org/officeDocument/2006/relationships/hyperlink" Id="rId257" Target="https://doi.org/10.1037/0021-843X.116.4.645" TargetMode="External" /><Relationship Type="http://schemas.openxmlformats.org/officeDocument/2006/relationships/hyperlink" Id="rId259" Target="https://doi.org/10.1037/0021-843x.114.4.537" TargetMode="External" /><Relationship Type="http://schemas.openxmlformats.org/officeDocument/2006/relationships/hyperlink" Id="rId295" Target="https://doi.org/10.1037/0022-006X.61.6.911" TargetMode="External" /><Relationship Type="http://schemas.openxmlformats.org/officeDocument/2006/relationships/hyperlink" Id="rId184" Target="https://doi.org/10.1037/0022-006X.70.1.6" TargetMode="External" /><Relationship Type="http://schemas.openxmlformats.org/officeDocument/2006/relationships/hyperlink" Id="rId279" Target="https://doi.org/10.1037/0033-295X.100.4.674" TargetMode="External" /><Relationship Type="http://schemas.openxmlformats.org/officeDocument/2006/relationships/hyperlink" Id="rId261" Target="https://doi.org/10.1037/1040-3590.16.2.107" TargetMode="External" /><Relationship Type="http://schemas.openxmlformats.org/officeDocument/2006/relationships/hyperlink" Id="rId232" Target="https://doi.org/10.1037/13129-000" TargetMode="External" /><Relationship Type="http://schemas.openxmlformats.org/officeDocument/2006/relationships/hyperlink" Id="rId142" Target="https://doi.org/10.1037/14048-008" TargetMode="External" /><Relationship Type="http://schemas.openxmlformats.org/officeDocument/2006/relationships/hyperlink" Id="rId357" Target="https://doi.org/10.1037/a0021519" TargetMode="External" /><Relationship Type="http://schemas.openxmlformats.org/officeDocument/2006/relationships/hyperlink" Id="rId271" Target="https://doi.org/10.1037/a0023678" TargetMode="External" /><Relationship Type="http://schemas.openxmlformats.org/officeDocument/2006/relationships/hyperlink" Id="rId379" Target="https://doi.org/10.1037/a0030133" TargetMode="External" /><Relationship Type="http://schemas.openxmlformats.org/officeDocument/2006/relationships/hyperlink" Id="rId327" Target="https://doi.org/10.1037/abn0000171" TargetMode="External" /><Relationship Type="http://schemas.openxmlformats.org/officeDocument/2006/relationships/hyperlink" Id="rId319" Target="https://doi.org/10.1037/abn0000232" TargetMode="External" /><Relationship Type="http://schemas.openxmlformats.org/officeDocument/2006/relationships/hyperlink" Id="rId249" Target="https://doi.org/10.1037/abn0000258" TargetMode="External" /><Relationship Type="http://schemas.openxmlformats.org/officeDocument/2006/relationships/hyperlink" Id="rId343" Target="https://doi.org/10.1037/abn0000751" TargetMode="External" /><Relationship Type="http://schemas.openxmlformats.org/officeDocument/2006/relationships/hyperlink" Id="rId194" Target="https://doi.org/10.1037/abn0001084" TargetMode="External" /><Relationship Type="http://schemas.openxmlformats.org/officeDocument/2006/relationships/hyperlink" Id="rId308" Target="https://doi.org/10.1037/dev0000449" TargetMode="External" /><Relationship Type="http://schemas.openxmlformats.org/officeDocument/2006/relationships/hyperlink" Id="rId329" Target="https://doi.org/10.1037/dev0001095" TargetMode="External" /><Relationship Type="http://schemas.openxmlformats.org/officeDocument/2006/relationships/hyperlink" Id="rId299" Target="https://doi.org/10.1037/dev0001657" TargetMode="External" /><Relationship Type="http://schemas.openxmlformats.org/officeDocument/2006/relationships/hyperlink" Id="rId149" Target="https://doi.org/10.1037/met0000077" TargetMode="External" /><Relationship Type="http://schemas.openxmlformats.org/officeDocument/2006/relationships/hyperlink" Id="rId180" Target="https://doi.org/10.1037/met0000685" TargetMode="External" /><Relationship Type="http://schemas.openxmlformats.org/officeDocument/2006/relationships/hyperlink" Id="rId331" Target="https://doi.org/10.1037/pas0000648" TargetMode="External" /><Relationship Type="http://schemas.openxmlformats.org/officeDocument/2006/relationships/hyperlink" Id="rId90" Target="https://doi.org/10.1037/pas0001441" TargetMode="External" /><Relationship Type="http://schemas.openxmlformats.org/officeDocument/2006/relationships/hyperlink" Id="rId345" Target="https://doi.org/10.1038/s44220-023-00057-5" TargetMode="External" /><Relationship Type="http://schemas.openxmlformats.org/officeDocument/2006/relationships/hyperlink" Id="rId281" Target="https://doi.org/10.1073/pnas.1010076108" TargetMode="External" /><Relationship Type="http://schemas.openxmlformats.org/officeDocument/2006/relationships/hyperlink" Id="rId192" Target="https://doi.org/10.1080/00273171.2014.889594" TargetMode="External" /><Relationship Type="http://schemas.openxmlformats.org/officeDocument/2006/relationships/hyperlink" Id="rId265" Target="https://doi.org/10.1080/00273171.2021.1941730" TargetMode="External" /><Relationship Type="http://schemas.openxmlformats.org/officeDocument/2006/relationships/hyperlink" Id="rId178" Target="https://doi.org/10.1080/00273171.2026.2640576" TargetMode="External" /><Relationship Type="http://schemas.openxmlformats.org/officeDocument/2006/relationships/hyperlink" Id="rId312" Target="https://doi.org/10.1080/10705511.2023.2191292" TargetMode="External" /><Relationship Type="http://schemas.openxmlformats.org/officeDocument/2006/relationships/hyperlink" Id="rId355" Target="https://doi.org/10.1080/15374416.2018.1561296" TargetMode="External" /><Relationship Type="http://schemas.openxmlformats.org/officeDocument/2006/relationships/hyperlink" Id="rId347" Target="https://doi.org/10.1080/15374416.2019.1622124" TargetMode="External" /><Relationship Type="http://schemas.openxmlformats.org/officeDocument/2006/relationships/hyperlink" Id="rId321" Target="https://doi.org/10.1086/269270" TargetMode="External" /><Relationship Type="http://schemas.openxmlformats.org/officeDocument/2006/relationships/hyperlink" Id="rId198" Target="https://doi.org/10.1108/978-1-61735-891-320251015" TargetMode="External" /><Relationship Type="http://schemas.openxmlformats.org/officeDocument/2006/relationships/hyperlink" Id="rId306" Target="https://doi.org/10.1111/cdev.13433" TargetMode="External" /><Relationship Type="http://schemas.openxmlformats.org/officeDocument/2006/relationships/hyperlink" Id="rId297" Target="https://doi.org/10.1111/desc.70216" TargetMode="External" /><Relationship Type="http://schemas.openxmlformats.org/officeDocument/2006/relationships/hyperlink" Id="rId157" Target="https://doi.org/10.1111/j.1467-8624.2004.00755.x" TargetMode="External" /><Relationship Type="http://schemas.openxmlformats.org/officeDocument/2006/relationships/hyperlink" Id="rId275" Target="https://doi.org/10.1111/j.1467-9507.2008.00480.x" TargetMode="External" /><Relationship Type="http://schemas.openxmlformats.org/officeDocument/2006/relationships/hyperlink" Id="rId315" Target="https://doi.org/10.1111/j.1469-7610.2006.01614.x" TargetMode="External" /><Relationship Type="http://schemas.openxmlformats.org/officeDocument/2006/relationships/hyperlink" Id="rId188" Target="https://doi.org/10.1111/j.1469-7610.2011.02511.x" TargetMode="External" /><Relationship Type="http://schemas.openxmlformats.org/officeDocument/2006/relationships/hyperlink" Id="rId234" Target="https://doi.org/10.1111/j.1469-7610.2012.02585.x" TargetMode="External" /><Relationship Type="http://schemas.openxmlformats.org/officeDocument/2006/relationships/hyperlink" Id="rId373" Target="https://doi.org/10.1111/j.1750-8606.2009.00110.x" TargetMode="External" /><Relationship Type="http://schemas.openxmlformats.org/officeDocument/2006/relationships/hyperlink" Id="rId244" Target="https://doi.org/10.1111/j.1750-8606.2009.00112.x" TargetMode="External" /><Relationship Type="http://schemas.openxmlformats.org/officeDocument/2006/relationships/hyperlink" Id="rId202" Target="https://doi.org/10.1111/jcpp.12102" TargetMode="External" /><Relationship Type="http://schemas.openxmlformats.org/officeDocument/2006/relationships/hyperlink" Id="rId334" Target="https://doi.org/10.1111/jcpp.13549" TargetMode="External" /><Relationship Type="http://schemas.openxmlformats.org/officeDocument/2006/relationships/hyperlink" Id="rId151" Target="https://doi.org/10.1111/jcpp.70057" TargetMode="External" /><Relationship Type="http://schemas.openxmlformats.org/officeDocument/2006/relationships/hyperlink" Id="rId317" Target="https://doi.org/10.1111/jcpp.70180" TargetMode="External" /><Relationship Type="http://schemas.openxmlformats.org/officeDocument/2006/relationships/hyperlink" Id="rId238" Target="https://doi.org/10.1111/jora.12252" TargetMode="External" /><Relationship Type="http://schemas.openxmlformats.org/officeDocument/2006/relationships/hyperlink" Id="rId251" Target="https://doi.org/10.1111/psyp.12551" TargetMode="External" /><Relationship Type="http://schemas.openxmlformats.org/officeDocument/2006/relationships/hyperlink" Id="rId196" Target="https://doi.org/10.1126/science.2270481" TargetMode="External" /><Relationship Type="http://schemas.openxmlformats.org/officeDocument/2006/relationships/hyperlink" Id="rId287" Target="https://doi.org/10.1146/annurev-clinpsy-061324-073435" TargetMode="External" /><Relationship Type="http://schemas.openxmlformats.org/officeDocument/2006/relationships/hyperlink" Id="rId337" Target="https://doi.org/10.1146/annurev-criminol-111523-122451" TargetMode="External" /><Relationship Type="http://schemas.openxmlformats.org/officeDocument/2006/relationships/hyperlink" Id="rId283" Target="https://doi.org/10.1159/000270073" TargetMode="External" /><Relationship Type="http://schemas.openxmlformats.org/officeDocument/2006/relationships/hyperlink" Id="rId225" Target="https://doi.org/10.1176/appi.ajp.2008.08030366" TargetMode="External" /><Relationship Type="http://schemas.openxmlformats.org/officeDocument/2006/relationships/hyperlink" Id="rId359" Target="https://doi.org/10.1177/0093854812443645" TargetMode="External" /><Relationship Type="http://schemas.openxmlformats.org/officeDocument/2006/relationships/hyperlink" Id="rId190" Target="https://doi.org/10.1177/0146621612470210" TargetMode="External" /><Relationship Type="http://schemas.openxmlformats.org/officeDocument/2006/relationships/hyperlink" Id="rId375" Target="https://doi.org/10.1177/0165025419880610" TargetMode="External" /><Relationship Type="http://schemas.openxmlformats.org/officeDocument/2006/relationships/hyperlink" Id="rId341" Target="https://doi.org/10.1177/1362361320908972" TargetMode="External" /><Relationship Type="http://schemas.openxmlformats.org/officeDocument/2006/relationships/hyperlink" Id="rId172" Target="https://doi.org/10.1177/2167702613497473" TargetMode="External" /><Relationship Type="http://schemas.openxmlformats.org/officeDocument/2006/relationships/hyperlink" Id="rId293" Target="https://doi.org/10.1371/journal.pone.0063109" TargetMode="External" /><Relationship Type="http://schemas.openxmlformats.org/officeDocument/2006/relationships/hyperlink" Id="rId213" Target="https://doi.org/10.1378/chest.116.5.1208" TargetMode="External" /><Relationship Type="http://schemas.openxmlformats.org/officeDocument/2006/relationships/hyperlink" Id="rId182" Target="https://doi.org/10.14283/jfa.2012.9" TargetMode="External" /><Relationship Type="http://schemas.openxmlformats.org/officeDocument/2006/relationships/hyperlink" Id="rId50" Target="https://doi.org/10.1590/1980-57642018dn12-030001" TargetMode="External" /><Relationship Type="http://schemas.openxmlformats.org/officeDocument/2006/relationships/hyperlink" Id="rId325" Target="https://doi.org/10.18148/srm/2018.v12i1.7210" TargetMode="External" /><Relationship Type="http://schemas.openxmlformats.org/officeDocument/2006/relationships/hyperlink" Id="rId215" Target="https://doi.org/10.22237/jmasm/1209614640" TargetMode="External" /><Relationship Type="http://schemas.openxmlformats.org/officeDocument/2006/relationships/hyperlink" Id="rId200" Target="https://doi.org/10.2307/2095245" TargetMode="External" /><Relationship Type="http://schemas.openxmlformats.org/officeDocument/2006/relationships/hyperlink" Id="rId349" Target="https://doi.org/10.2307/j.ctt2jbxs1" TargetMode="External" /><Relationship Type="http://schemas.openxmlformats.org/officeDocument/2006/relationships/hyperlink" Id="rId351" Target="https://doi.org/10.3389/fpsyg.2013.00770" TargetMode="External" /><Relationship Type="http://schemas.openxmlformats.org/officeDocument/2006/relationships/hyperlink" Id="rId285" Target="https://doi.org/10.3389/fpsyg.2014.00978" TargetMode="External" /><Relationship Type="http://schemas.openxmlformats.org/officeDocument/2006/relationships/hyperlink" Id="rId186" Target="https://doi.org/10.3389/fpsyg.2014.00982" TargetMode="External" /><Relationship Type="http://schemas.openxmlformats.org/officeDocument/2006/relationships/hyperlink" Id="rId377" Target="https://icd.who.int" TargetMode="External" /><Relationship Type="http://schemas.openxmlformats.org/officeDocument/2006/relationships/hyperlink" Id="rId277"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17" Target="https://quantitudepod.org/latent-means/" TargetMode="External" /></Relationships>
</file>

<file path=word/_rels/footnotes.xml.rels><?xml version="1.0" encoding="UTF-8"?><Relationships xmlns="http://schemas.openxmlformats.org/package/2006/relationships"><Relationship Type="http://schemas.openxmlformats.org/officeDocument/2006/relationships/hyperlink" Id="rId84" Target="https://DevPsyLab.github.io/studying-psychopathology-development-lifespan/notebooks/analyses-preview.html#cell-fig-longitudinalexternalizingstudies" TargetMode="External"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109" Target="https://DevPsyLab.github.io/studying-psychopathology-development-lifespan/notebooks/analyses-preview.html#cell-tbl-externalizingfacets" TargetMode="External" /><Relationship Type="http://schemas.openxmlformats.org/officeDocument/2006/relationships/hyperlink" Id="rId255" Target="https://doi.org/10.1001/archgenpsychiatry.2010.188" TargetMode="External" /><Relationship Type="http://schemas.openxmlformats.org/officeDocument/2006/relationships/hyperlink" Id="rId273" Target="https://doi.org/10.1001/archpsyc.62.12.1352" TargetMode="External" /><Relationship Type="http://schemas.openxmlformats.org/officeDocument/2006/relationships/hyperlink" Id="rId170" Target="https://doi.org/10.1001/jamanetworkopen.2020.3221" TargetMode="External" /><Relationship Type="http://schemas.openxmlformats.org/officeDocument/2006/relationships/hyperlink" Id="rId174" Target="https://doi.org/10.1002/9780470147658.chpsy0306" TargetMode="External" /><Relationship Type="http://schemas.openxmlformats.org/officeDocument/2006/relationships/hyperlink" Id="rId160" Target="https://doi.org/10.1002/9781119125556.devpsy101" TargetMode="External" /><Relationship Type="http://schemas.openxmlformats.org/officeDocument/2006/relationships/hyperlink" Id="rId236" Target="https://doi.org/10.1002/cbm.708" TargetMode="External" /><Relationship Type="http://schemas.openxmlformats.org/officeDocument/2006/relationships/hyperlink" Id="rId145" Target="https://doi.org/10.1002/jcv2.70043" TargetMode="External" /><Relationship Type="http://schemas.openxmlformats.org/officeDocument/2006/relationships/hyperlink" Id="rId253" Target="https://doi.org/10.1002/wps.20844" TargetMode="External" /><Relationship Type="http://schemas.openxmlformats.org/officeDocument/2006/relationships/hyperlink" Id="rId204" Target="https://doi.org/10.1007/978-1-0716-3335-9_5" TargetMode="External" /><Relationship Type="http://schemas.openxmlformats.org/officeDocument/2006/relationships/hyperlink" Id="rId246" Target="https://doi.org/10.1007/978-1-4939-0317-7" TargetMode="External" /><Relationship Type="http://schemas.openxmlformats.org/officeDocument/2006/relationships/hyperlink" Id="rId269" Target="https://doi.org/10.1007/978-3-030-68429-7" TargetMode="External" /><Relationship Type="http://schemas.openxmlformats.org/officeDocument/2006/relationships/hyperlink" Id="rId310" Target="https://doi.org/10.1007/s00127-015-1048-8" TargetMode="External" /><Relationship Type="http://schemas.openxmlformats.org/officeDocument/2006/relationships/hyperlink" Id="rId209" Target="https://doi.org/10.1007/s00234-020-02562-1" TargetMode="External" /><Relationship Type="http://schemas.openxmlformats.org/officeDocument/2006/relationships/hyperlink" Id="rId367" Target="https://doi.org/10.1007/s10802-010-9478-y" TargetMode="External" /><Relationship Type="http://schemas.openxmlformats.org/officeDocument/2006/relationships/hyperlink" Id="rId162" Target="https://doi.org/10.1007/s10802-012-9669-9" TargetMode="External" /><Relationship Type="http://schemas.openxmlformats.org/officeDocument/2006/relationships/hyperlink" Id="rId365" Target="https://doi.org/10.1007/s10802-012-9700-1" TargetMode="External" /><Relationship Type="http://schemas.openxmlformats.org/officeDocument/2006/relationships/hyperlink" Id="rId240" Target="https://doi.org/10.1007/s10802-017-0383-5" TargetMode="External" /><Relationship Type="http://schemas.openxmlformats.org/officeDocument/2006/relationships/hyperlink" Id="rId242" Target="https://doi.org/10.1007/s10802-021-00885-y" TargetMode="External" /><Relationship Type="http://schemas.openxmlformats.org/officeDocument/2006/relationships/hyperlink" Id="rId227" Target="https://doi.org/10.1007/s10826-018-1272-4" TargetMode="External" /><Relationship Type="http://schemas.openxmlformats.org/officeDocument/2006/relationships/hyperlink" Id="rId361" Target="https://doi.org/10.1007/s12103-013-9235-1" TargetMode="External" /><Relationship Type="http://schemas.openxmlformats.org/officeDocument/2006/relationships/hyperlink" Id="rId363" Target="https://doi.org/10.1007/s12103-014-9272-4" TargetMode="External" /><Relationship Type="http://schemas.openxmlformats.org/officeDocument/2006/relationships/hyperlink" Id="rId176" Target="https://doi.org/10.1007/s40865-015-0012-3" TargetMode="External" /><Relationship Type="http://schemas.openxmlformats.org/officeDocument/2006/relationships/hyperlink" Id="rId263"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68" Target="https://doi.org/10.1016/j.cpr.2012.02.006" TargetMode="External" /><Relationship Type="http://schemas.openxmlformats.org/officeDocument/2006/relationships/hyperlink" Id="rId369" Target="https://doi.org/10.1016/j.dr.2008.01.001" TargetMode="External" /><Relationship Type="http://schemas.openxmlformats.org/officeDocument/2006/relationships/hyperlink" Id="rId302" Target="https://doi.org/10.1016/j.dr.2020.100935" TargetMode="External" /><Relationship Type="http://schemas.openxmlformats.org/officeDocument/2006/relationships/hyperlink" Id="rId353" Target="https://doi.org/10.1016/j.jaac.2013.10.011" TargetMode="External" /><Relationship Type="http://schemas.openxmlformats.org/officeDocument/2006/relationships/hyperlink" Id="rId155" Target="https://doi.org/10.1016/j.jaac.2017.05.019" TargetMode="External" /><Relationship Type="http://schemas.openxmlformats.org/officeDocument/2006/relationships/hyperlink" Id="rId100" Target="https://doi.org/10.1016/j.jaacop.2025.10.008" TargetMode="External" /><Relationship Type="http://schemas.openxmlformats.org/officeDocument/2006/relationships/hyperlink" Id="rId381" Target="https://doi.org/10.1016/j.jad.2026.121556" TargetMode="External" /><Relationship Type="http://schemas.openxmlformats.org/officeDocument/2006/relationships/hyperlink" Id="rId65" Target="https://doi.org/10.1016/j.jcrimjus.2024.102155" TargetMode="External" /><Relationship Type="http://schemas.openxmlformats.org/officeDocument/2006/relationships/hyperlink" Id="rId147" Target="https://doi.org/10.1016/j.jpsychires.2013.08.016" TargetMode="External" /><Relationship Type="http://schemas.openxmlformats.org/officeDocument/2006/relationships/hyperlink" Id="rId221" Target="https://doi.org/10.1017/S0033291711001966" TargetMode="External" /><Relationship Type="http://schemas.openxmlformats.org/officeDocument/2006/relationships/hyperlink" Id="rId223" Target="https://doi.org/10.1017/S003329172000183X" TargetMode="External" /><Relationship Type="http://schemas.openxmlformats.org/officeDocument/2006/relationships/hyperlink" Id="rId371" Target="https://doi.org/10.1017/S0954579403000221" TargetMode="External" /><Relationship Type="http://schemas.openxmlformats.org/officeDocument/2006/relationships/hyperlink" Id="rId339" Target="https://doi.org/10.1017/S0954579407070174" TargetMode="External" /><Relationship Type="http://schemas.openxmlformats.org/officeDocument/2006/relationships/hyperlink" Id="rId289" Target="https://doi.org/10.1017/S0954579408000333" TargetMode="External" /><Relationship Type="http://schemas.openxmlformats.org/officeDocument/2006/relationships/hyperlink" Id="rId267"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206" Target="https://doi.org/10.1017/S0954579416000651" TargetMode="External" /><Relationship Type="http://schemas.openxmlformats.org/officeDocument/2006/relationships/hyperlink" Id="rId211" Target="https://doi.org/10.1017/S0954579421001772" TargetMode="External" /><Relationship Type="http://schemas.openxmlformats.org/officeDocument/2006/relationships/hyperlink" Id="rId153" Target="https://doi.org/10.1017/S0954579423001505" TargetMode="External" /><Relationship Type="http://schemas.openxmlformats.org/officeDocument/2006/relationships/hyperlink" Id="rId219" Target="https://doi.org/10.1017/S0954579424000713" TargetMode="External" /><Relationship Type="http://schemas.openxmlformats.org/officeDocument/2006/relationships/hyperlink" Id="rId291" Target="https://doi.org/10.1023/a:1026254005632" TargetMode="External" /><Relationship Type="http://schemas.openxmlformats.org/officeDocument/2006/relationships/hyperlink" Id="rId166" Target="https://doi.org/10.1027/1015-5759.17.1.25" TargetMode="External" /><Relationship Type="http://schemas.openxmlformats.org/officeDocument/2006/relationships/hyperlink" Id="rId323" Target="https://doi.org/10.1037/0003-066X.54.2.93" TargetMode="External" /><Relationship Type="http://schemas.openxmlformats.org/officeDocument/2006/relationships/hyperlink" Id="rId164" Target="https://doi.org/10.1037/0012-1649.39.2.222" TargetMode="External" /><Relationship Type="http://schemas.openxmlformats.org/officeDocument/2006/relationships/hyperlink" Id="rId257" Target="https://doi.org/10.1037/0021-843X.116.4.645" TargetMode="External" /><Relationship Type="http://schemas.openxmlformats.org/officeDocument/2006/relationships/hyperlink" Id="rId259" Target="https://doi.org/10.1037/0021-843x.114.4.537" TargetMode="External" /><Relationship Type="http://schemas.openxmlformats.org/officeDocument/2006/relationships/hyperlink" Id="rId295" Target="https://doi.org/10.1037/0022-006X.61.6.911" TargetMode="External" /><Relationship Type="http://schemas.openxmlformats.org/officeDocument/2006/relationships/hyperlink" Id="rId184" Target="https://doi.org/10.1037/0022-006X.70.1.6" TargetMode="External" /><Relationship Type="http://schemas.openxmlformats.org/officeDocument/2006/relationships/hyperlink" Id="rId279" Target="https://doi.org/10.1037/0033-295X.100.4.674" TargetMode="External" /><Relationship Type="http://schemas.openxmlformats.org/officeDocument/2006/relationships/hyperlink" Id="rId261" Target="https://doi.org/10.1037/1040-3590.16.2.107" TargetMode="External" /><Relationship Type="http://schemas.openxmlformats.org/officeDocument/2006/relationships/hyperlink" Id="rId232" Target="https://doi.org/10.1037/13129-000" TargetMode="External" /><Relationship Type="http://schemas.openxmlformats.org/officeDocument/2006/relationships/hyperlink" Id="rId142" Target="https://doi.org/10.1037/14048-008" TargetMode="External" /><Relationship Type="http://schemas.openxmlformats.org/officeDocument/2006/relationships/hyperlink" Id="rId357" Target="https://doi.org/10.1037/a0021519" TargetMode="External" /><Relationship Type="http://schemas.openxmlformats.org/officeDocument/2006/relationships/hyperlink" Id="rId271" Target="https://doi.org/10.1037/a0023678" TargetMode="External" /><Relationship Type="http://schemas.openxmlformats.org/officeDocument/2006/relationships/hyperlink" Id="rId379" Target="https://doi.org/10.1037/a0030133" TargetMode="External" /><Relationship Type="http://schemas.openxmlformats.org/officeDocument/2006/relationships/hyperlink" Id="rId327" Target="https://doi.org/10.1037/abn0000171" TargetMode="External" /><Relationship Type="http://schemas.openxmlformats.org/officeDocument/2006/relationships/hyperlink" Id="rId319" Target="https://doi.org/10.1037/abn0000232" TargetMode="External" /><Relationship Type="http://schemas.openxmlformats.org/officeDocument/2006/relationships/hyperlink" Id="rId249" Target="https://doi.org/10.1037/abn0000258" TargetMode="External" /><Relationship Type="http://schemas.openxmlformats.org/officeDocument/2006/relationships/hyperlink" Id="rId343" Target="https://doi.org/10.1037/abn0000751" TargetMode="External" /><Relationship Type="http://schemas.openxmlformats.org/officeDocument/2006/relationships/hyperlink" Id="rId194" Target="https://doi.org/10.1037/abn0001084" TargetMode="External" /><Relationship Type="http://schemas.openxmlformats.org/officeDocument/2006/relationships/hyperlink" Id="rId308" Target="https://doi.org/10.1037/dev0000449" TargetMode="External" /><Relationship Type="http://schemas.openxmlformats.org/officeDocument/2006/relationships/hyperlink" Id="rId329" Target="https://doi.org/10.1037/dev0001095" TargetMode="External" /><Relationship Type="http://schemas.openxmlformats.org/officeDocument/2006/relationships/hyperlink" Id="rId299" Target="https://doi.org/10.1037/dev0001657" TargetMode="External" /><Relationship Type="http://schemas.openxmlformats.org/officeDocument/2006/relationships/hyperlink" Id="rId149" Target="https://doi.org/10.1037/met0000077" TargetMode="External" /><Relationship Type="http://schemas.openxmlformats.org/officeDocument/2006/relationships/hyperlink" Id="rId180" Target="https://doi.org/10.1037/met0000685" TargetMode="External" /><Relationship Type="http://schemas.openxmlformats.org/officeDocument/2006/relationships/hyperlink" Id="rId331" Target="https://doi.org/10.1037/pas0000648" TargetMode="External" /><Relationship Type="http://schemas.openxmlformats.org/officeDocument/2006/relationships/hyperlink" Id="rId90" Target="https://doi.org/10.1037/pas0001441" TargetMode="External" /><Relationship Type="http://schemas.openxmlformats.org/officeDocument/2006/relationships/hyperlink" Id="rId345" Target="https://doi.org/10.1038/s44220-023-00057-5" TargetMode="External" /><Relationship Type="http://schemas.openxmlformats.org/officeDocument/2006/relationships/hyperlink" Id="rId281" Target="https://doi.org/10.1073/pnas.1010076108" TargetMode="External" /><Relationship Type="http://schemas.openxmlformats.org/officeDocument/2006/relationships/hyperlink" Id="rId192" Target="https://doi.org/10.1080/00273171.2014.889594" TargetMode="External" /><Relationship Type="http://schemas.openxmlformats.org/officeDocument/2006/relationships/hyperlink" Id="rId265" Target="https://doi.org/10.1080/00273171.2021.1941730" TargetMode="External" /><Relationship Type="http://schemas.openxmlformats.org/officeDocument/2006/relationships/hyperlink" Id="rId178" Target="https://doi.org/10.1080/00273171.2026.2640576" TargetMode="External" /><Relationship Type="http://schemas.openxmlformats.org/officeDocument/2006/relationships/hyperlink" Id="rId312" Target="https://doi.org/10.1080/10705511.2023.2191292" TargetMode="External" /><Relationship Type="http://schemas.openxmlformats.org/officeDocument/2006/relationships/hyperlink" Id="rId355" Target="https://doi.org/10.1080/15374416.2018.1561296" TargetMode="External" /><Relationship Type="http://schemas.openxmlformats.org/officeDocument/2006/relationships/hyperlink" Id="rId347" Target="https://doi.org/10.1080/15374416.2019.1622124" TargetMode="External" /><Relationship Type="http://schemas.openxmlformats.org/officeDocument/2006/relationships/hyperlink" Id="rId321" Target="https://doi.org/10.1086/269270" TargetMode="External" /><Relationship Type="http://schemas.openxmlformats.org/officeDocument/2006/relationships/hyperlink" Id="rId198" Target="https://doi.org/10.1108/978-1-61735-891-320251015" TargetMode="External" /><Relationship Type="http://schemas.openxmlformats.org/officeDocument/2006/relationships/hyperlink" Id="rId306" Target="https://doi.org/10.1111/cdev.13433" TargetMode="External" /><Relationship Type="http://schemas.openxmlformats.org/officeDocument/2006/relationships/hyperlink" Id="rId297" Target="https://doi.org/10.1111/desc.70216" TargetMode="External" /><Relationship Type="http://schemas.openxmlformats.org/officeDocument/2006/relationships/hyperlink" Id="rId157" Target="https://doi.org/10.1111/j.1467-8624.2004.00755.x" TargetMode="External" /><Relationship Type="http://schemas.openxmlformats.org/officeDocument/2006/relationships/hyperlink" Id="rId275" Target="https://doi.org/10.1111/j.1467-9507.2008.00480.x" TargetMode="External" /><Relationship Type="http://schemas.openxmlformats.org/officeDocument/2006/relationships/hyperlink" Id="rId315" Target="https://doi.org/10.1111/j.1469-7610.2006.01614.x" TargetMode="External" /><Relationship Type="http://schemas.openxmlformats.org/officeDocument/2006/relationships/hyperlink" Id="rId188" Target="https://doi.org/10.1111/j.1469-7610.2011.02511.x" TargetMode="External" /><Relationship Type="http://schemas.openxmlformats.org/officeDocument/2006/relationships/hyperlink" Id="rId234" Target="https://doi.org/10.1111/j.1469-7610.2012.02585.x" TargetMode="External" /><Relationship Type="http://schemas.openxmlformats.org/officeDocument/2006/relationships/hyperlink" Id="rId373" Target="https://doi.org/10.1111/j.1750-8606.2009.00110.x" TargetMode="External" /><Relationship Type="http://schemas.openxmlformats.org/officeDocument/2006/relationships/hyperlink" Id="rId244" Target="https://doi.org/10.1111/j.1750-8606.2009.00112.x" TargetMode="External" /><Relationship Type="http://schemas.openxmlformats.org/officeDocument/2006/relationships/hyperlink" Id="rId202" Target="https://doi.org/10.1111/jcpp.12102" TargetMode="External" /><Relationship Type="http://schemas.openxmlformats.org/officeDocument/2006/relationships/hyperlink" Id="rId334" Target="https://doi.org/10.1111/jcpp.13549" TargetMode="External" /><Relationship Type="http://schemas.openxmlformats.org/officeDocument/2006/relationships/hyperlink" Id="rId151" Target="https://doi.org/10.1111/jcpp.70057" TargetMode="External" /><Relationship Type="http://schemas.openxmlformats.org/officeDocument/2006/relationships/hyperlink" Id="rId317" Target="https://doi.org/10.1111/jcpp.70180" TargetMode="External" /><Relationship Type="http://schemas.openxmlformats.org/officeDocument/2006/relationships/hyperlink" Id="rId238" Target="https://doi.org/10.1111/jora.12252" TargetMode="External" /><Relationship Type="http://schemas.openxmlformats.org/officeDocument/2006/relationships/hyperlink" Id="rId251" Target="https://doi.org/10.1111/psyp.12551" TargetMode="External" /><Relationship Type="http://schemas.openxmlformats.org/officeDocument/2006/relationships/hyperlink" Id="rId196" Target="https://doi.org/10.1126/science.2270481" TargetMode="External" /><Relationship Type="http://schemas.openxmlformats.org/officeDocument/2006/relationships/hyperlink" Id="rId287" Target="https://doi.org/10.1146/annurev-clinpsy-061324-073435" TargetMode="External" /><Relationship Type="http://schemas.openxmlformats.org/officeDocument/2006/relationships/hyperlink" Id="rId337" Target="https://doi.org/10.1146/annurev-criminol-111523-122451" TargetMode="External" /><Relationship Type="http://schemas.openxmlformats.org/officeDocument/2006/relationships/hyperlink" Id="rId283" Target="https://doi.org/10.1159/000270073" TargetMode="External" /><Relationship Type="http://schemas.openxmlformats.org/officeDocument/2006/relationships/hyperlink" Id="rId225" Target="https://doi.org/10.1176/appi.ajp.2008.08030366" TargetMode="External" /><Relationship Type="http://schemas.openxmlformats.org/officeDocument/2006/relationships/hyperlink" Id="rId359" Target="https://doi.org/10.1177/0093854812443645" TargetMode="External" /><Relationship Type="http://schemas.openxmlformats.org/officeDocument/2006/relationships/hyperlink" Id="rId190" Target="https://doi.org/10.1177/0146621612470210" TargetMode="External" /><Relationship Type="http://schemas.openxmlformats.org/officeDocument/2006/relationships/hyperlink" Id="rId375" Target="https://doi.org/10.1177/0165025419880610" TargetMode="External" /><Relationship Type="http://schemas.openxmlformats.org/officeDocument/2006/relationships/hyperlink" Id="rId341" Target="https://doi.org/10.1177/1362361320908972" TargetMode="External" /><Relationship Type="http://schemas.openxmlformats.org/officeDocument/2006/relationships/hyperlink" Id="rId172" Target="https://doi.org/10.1177/2167702613497473" TargetMode="External" /><Relationship Type="http://schemas.openxmlformats.org/officeDocument/2006/relationships/hyperlink" Id="rId293" Target="https://doi.org/10.1371/journal.pone.0063109" TargetMode="External" /><Relationship Type="http://schemas.openxmlformats.org/officeDocument/2006/relationships/hyperlink" Id="rId213" Target="https://doi.org/10.1378/chest.116.5.1208" TargetMode="External" /><Relationship Type="http://schemas.openxmlformats.org/officeDocument/2006/relationships/hyperlink" Id="rId182" Target="https://doi.org/10.14283/jfa.2012.9" TargetMode="External" /><Relationship Type="http://schemas.openxmlformats.org/officeDocument/2006/relationships/hyperlink" Id="rId50" Target="https://doi.org/10.1590/1980-57642018dn12-030001" TargetMode="External" /><Relationship Type="http://schemas.openxmlformats.org/officeDocument/2006/relationships/hyperlink" Id="rId325" Target="https://doi.org/10.18148/srm/2018.v12i1.7210" TargetMode="External" /><Relationship Type="http://schemas.openxmlformats.org/officeDocument/2006/relationships/hyperlink" Id="rId215" Target="https://doi.org/10.22237/jmasm/1209614640" TargetMode="External" /><Relationship Type="http://schemas.openxmlformats.org/officeDocument/2006/relationships/hyperlink" Id="rId200" Target="https://doi.org/10.2307/2095245" TargetMode="External" /><Relationship Type="http://schemas.openxmlformats.org/officeDocument/2006/relationships/hyperlink" Id="rId349" Target="https://doi.org/10.2307/j.ctt2jbxs1" TargetMode="External" /><Relationship Type="http://schemas.openxmlformats.org/officeDocument/2006/relationships/hyperlink" Id="rId351" Target="https://doi.org/10.3389/fpsyg.2013.00770" TargetMode="External" /><Relationship Type="http://schemas.openxmlformats.org/officeDocument/2006/relationships/hyperlink" Id="rId285" Target="https://doi.org/10.3389/fpsyg.2014.00978" TargetMode="External" /><Relationship Type="http://schemas.openxmlformats.org/officeDocument/2006/relationships/hyperlink" Id="rId186" Target="https://doi.org/10.3389/fpsyg.2014.00982" TargetMode="External" /><Relationship Type="http://schemas.openxmlformats.org/officeDocument/2006/relationships/hyperlink" Id="rId377" Target="https://icd.who.int" TargetMode="External" /><Relationship Type="http://schemas.openxmlformats.org/officeDocument/2006/relationships/hyperlink" Id="rId277"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17" Target="https://quantitudepod.org/latent-mea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2026-06-27T15:04:37Z</dcterms:created>
  <dcterms:modified xsi:type="dcterms:W3CDTF">2026-06-27T15:04:37Z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2026-06-27</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10164</vt:lpwstr>
  </property>
  <property fmtid="{D5CDD505-2E9C-101B-9397-08002B2CF9AE}" pid="83" name="zerocitations">
    <vt:lpwstr>False</vt:lpwstr>
  </property>
</Properties>
</file>