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in gray. Solid lines reflect fully longitudinal spans (i.e., following the same individuals over time). Dotted lines reflect cross-sectional spans—even if some participants may have been followed longitudinally.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2026-06-13T14:33:01Z</dcterms:created>
  <dcterms:modified xsi:type="dcterms:W3CDTF">2026-06-13T14:33:01Z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2026-06-13</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6438</vt:lpwstr>
  </property>
  <property fmtid="{D5CDD505-2E9C-101B-9397-08002B2CF9AE}" pid="83" name="zerocitations">
    <vt:lpwstr>False</vt:lpwstr>
  </property>
</Properties>
</file>