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104.png" ContentType="image/png"/>
  <Override PartName="/word/media/rId71.png" ContentType="image/png"/>
  <Override PartName="/word/media/rId88.png" ContentType="image/png"/>
  <Override PartName="/word/media/rId81.jpg" ContentType="image/jpeg"/>
  <Override PartName="/word/media/rId98.png" ContentType="image/png"/>
  <Override PartName="/word/media/rId112.png" ContentType="image/png"/>
  <Override PartName="/word/media/rId23.svg" ContentType="image/svg+xml"/>
  <Override PartName="/word/media/rId47.png" ContentType="image/png"/>
  <Override PartName="/word/media/rId42.png" ContentType="image/png"/>
  <Override PartName="/word/media/rId64.png" ContentType="image/png"/>
  <Override PartName="/word/media/rId53.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5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45" w:name="fig-lifespancognitivetrajectories"/>
    <w:p>
      <w:pPr>
        <w:pStyle w:val="FigureTitle"/>
      </w:pPr>
      <w:r>
        <w:t xml:space="preserve">Figure 1</w:t>
      </w:r>
    </w:p>
    <w:p>
      <w:pPr>
        <w:pStyle w:val="Caption"/>
      </w:pPr>
      <w:r>
        <w:t xml:space="preserve">Different Cognitive Trajectories of Aging</w:t>
      </w:r>
    </w:p>
    <w:p>
      <w:pPr>
        <w:pStyle w:val="FigureWithoutNote"/>
      </w:pPr>
      <w:r>
        <w:drawing>
          <wp:inline>
            <wp:extent cx="5943600" cy="2476500"/>
            <wp:effectExtent b="0" l="0" r="0" t="0"/>
            <wp:docPr descr="" title="" id="43" name="Picture"/>
            <a:graphic>
              <a:graphicData uri="http://schemas.openxmlformats.org/drawingml/2006/picture">
                <pic:pic>
                  <pic:nvPicPr>
                    <pic:cNvPr descr="index_files/figure-docx/notebooks-analyses-fig-lifespancognitivetrajectories-output-1.png" id="44" name="Picture"/>
                    <pic:cNvPicPr>
                      <a:picLocks noChangeArrowheads="1" noChangeAspect="1"/>
                    </pic:cNvPicPr>
                  </pic:nvPicPr>
                  <pic:blipFill>
                    <a:blip r:embed="rId42"/>
                    <a:stretch>
                      <a:fillRect/>
                    </a:stretch>
                  </pic:blipFill>
                  <pic:spPr bwMode="auto">
                    <a:xfrm>
                      <a:off x="0" y="0"/>
                      <a:ext cx="5943600" cy="2476500"/>
                    </a:xfrm>
                    <a:prstGeom prst="rect">
                      <a:avLst/>
                    </a:prstGeom>
                    <a:noFill/>
                    <a:ln w="9525">
                      <a:noFill/>
                      <a:headEnd/>
                      <a:tailEnd/>
                    </a:ln>
                  </pic:spPr>
                </pic:pic>
              </a:graphicData>
            </a:graphic>
          </wp:inline>
        </w:drawing>
      </w:r>
    </w:p>
    <w:bookmarkEnd w:id="45"/>
    <w:p>
      <w:pPr>
        <w:pStyle w:val="FigureWithoutNote"/>
      </w:pPr>
      <w:r>
        <w:rPr>
          <w:vertAlign w:val="subscript"/>
        </w:rPr>
        <w:t xml:space="preserve">Source:</w:t>
      </w:r>
      <w:r>
        <w:rPr>
          <w:vertAlign w:val="subscript"/>
        </w:rPr>
        <w:t xml:space="preserve"> </w:t>
      </w:r>
      <w:hyperlink r:id="rId46">
        <w:r>
          <w:rPr>
            <w:rStyle w:val="Hyperlink"/>
            <w:vertAlign w:val="subscript"/>
          </w:rPr>
          <w:t xml:space="preserve">Analyses</w:t>
        </w:r>
      </w:hyperlink>
    </w:p>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externalizingbyage">
        <w:r>
          <w:rPr>
            <w:rStyle w:val="Hyperlink"/>
          </w:rPr>
          <w:t xml:space="preserve">Figure 2</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externalizingbyage">
        <w:r>
          <w:rPr>
            <w:rStyle w:val="Hyperlink"/>
          </w:rPr>
          <w:t xml:space="preserve">Figure 2</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ernalizingbyage">
        <w:r>
          <w:rPr>
            <w:rStyle w:val="Hyperlink"/>
          </w:rPr>
          <w:t xml:space="preserve">Figure 2</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50" w:name="fig-externalizingbyage"/>
    <w:p>
      <w:pPr>
        <w:pStyle w:val="FigureTitle"/>
      </w:pPr>
      <w:r>
        <w:t xml:space="preserve">Figure 2</w:t>
      </w:r>
    </w:p>
    <w:p>
      <w:pPr>
        <w:pStyle w:val="Caption"/>
      </w:pPr>
      <w:r>
        <w:t xml:space="preserve">Externalizing Behavior Across Development</w:t>
      </w:r>
    </w:p>
    <w:p>
      <w:pPr>
        <w:pStyle w:val="FigureWithoutNote"/>
      </w:pPr>
      <w:r>
        <w:drawing>
          <wp:inline>
            <wp:extent cx="5943600" cy="3962400"/>
            <wp:effectExtent b="0" l="0" r="0" t="0"/>
            <wp:docPr descr="" title="" id="48" name="Picture"/>
            <a:graphic>
              <a:graphicData uri="http://schemas.openxmlformats.org/drawingml/2006/picture">
                <pic:pic>
                  <pic:nvPicPr>
                    <pic:cNvPr descr="index_files/figure-docx/notebooks-analyses-fig-externalizingbyage-output-1.png" id="49" name="Picture"/>
                    <pic:cNvPicPr>
                      <a:picLocks noChangeArrowheads="1" noChangeAspect="1"/>
                    </pic:cNvPicPr>
                  </pic:nvPicPr>
                  <pic:blipFill>
                    <a:blip r:embed="rId47"/>
                    <a:stretch>
                      <a:fillRect/>
                    </a:stretch>
                  </pic:blipFill>
                  <pic:spPr bwMode="auto">
                    <a:xfrm>
                      <a:off x="0" y="0"/>
                      <a:ext cx="5943600" cy="3962400"/>
                    </a:xfrm>
                    <a:prstGeom prst="rect">
                      <a:avLst/>
                    </a:prstGeom>
                    <a:noFill/>
                    <a:ln w="9525">
                      <a:noFill/>
                      <a:headEnd/>
                      <a:tailEnd/>
                    </a:ln>
                  </pic:spPr>
                </pic:pic>
              </a:graphicData>
            </a:graphic>
          </wp:inline>
        </w:drawing>
      </w:r>
    </w:p>
    <w:bookmarkEnd w:id="50"/>
    <w:p>
      <w:pPr>
        <w:pStyle w:val="FigureWithoutNote"/>
      </w:pPr>
      <w:r>
        <w:rPr>
          <w:vertAlign w:val="subscript"/>
        </w:rPr>
        <w:t xml:space="preserve">Source:</w:t>
      </w:r>
      <w:r>
        <w:rPr>
          <w:vertAlign w:val="subscript"/>
        </w:rPr>
        <w:t xml:space="preserve"> </w:t>
      </w:r>
      <w:hyperlink r:id="rId51">
        <w:r>
          <w:rPr>
            <w:rStyle w:val="Hyperlink"/>
            <w:vertAlign w:val="subscript"/>
          </w:rPr>
          <w:t xml:space="preserve">Analyses</w:t>
        </w:r>
      </w:hyperlink>
    </w:p>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52"/>
    <w:bookmarkStart w:id="70"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56" w:name="fig-longitudinalstudies"/>
    <w:p>
      <w:pPr>
        <w:pStyle w:val="FigureTitle"/>
      </w:pPr>
      <w:r>
        <w:t xml:space="preserve">Figure 3</w:t>
      </w:r>
    </w:p>
    <w:p>
      <w:pPr>
        <w:pStyle w:val="Caption"/>
      </w:pPr>
      <w:r>
        <w:t xml:space="preserve">(Approximate) Ages Spanned by Various Lengthy Longitudinal Studies</w:t>
      </w:r>
    </w:p>
    <w:p>
      <w:pPr>
        <w:pStyle w:val="FigureWithoutNote"/>
      </w:pPr>
      <w:r>
        <w:drawing>
          <wp:inline>
            <wp:extent cx="5943600" cy="6792685"/>
            <wp:effectExtent b="0" l="0" r="0" t="0"/>
            <wp:docPr descr="" title="" id="54" name="Picture"/>
            <a:graphic>
              <a:graphicData uri="http://schemas.openxmlformats.org/drawingml/2006/picture">
                <pic:pic>
                  <pic:nvPicPr>
                    <pic:cNvPr descr="index_files/figure-docx/notebooks-analyses-fig-longitudinalstudies-output-1.png" id="55" name="Picture"/>
                    <pic:cNvPicPr>
                      <a:picLocks noChangeArrowheads="1" noChangeAspect="1"/>
                    </pic:cNvPicPr>
                  </pic:nvPicPr>
                  <pic:blipFill>
                    <a:blip r:embed="rId53"/>
                    <a:stretch>
                      <a:fillRect/>
                    </a:stretch>
                  </pic:blipFill>
                  <pic:spPr bwMode="auto">
                    <a:xfrm>
                      <a:off x="0" y="0"/>
                      <a:ext cx="5943600" cy="6792685"/>
                    </a:xfrm>
                    <a:prstGeom prst="rect">
                      <a:avLst/>
                    </a:prstGeom>
                    <a:noFill/>
                    <a:ln w="9525">
                      <a:noFill/>
                      <a:headEnd/>
                      <a:tailEnd/>
                    </a:ln>
                  </pic:spPr>
                </pic:pic>
              </a:graphicData>
            </a:graphic>
          </wp:inline>
        </w:drawing>
      </w:r>
    </w:p>
    <w:bookmarkEnd w:id="56"/>
    <w:p>
      <w:pPr>
        <w:pStyle w:val="FigureWithoutNote"/>
      </w:pPr>
      <w:r>
        <w:rPr>
          <w:vertAlign w:val="subscript"/>
        </w:rPr>
        <w:t xml:space="preserve">Source:</w:t>
      </w:r>
      <w:r>
        <w:rPr>
          <w:vertAlign w:val="subscript"/>
        </w:rPr>
        <w:t xml:space="preserve"> </w:t>
      </w:r>
      <w:hyperlink r:id="rId57">
        <w:r>
          <w:rPr>
            <w:rStyle w:val="Hyperlink"/>
            <w:vertAlign w:val="subscript"/>
          </w:rPr>
          <w:t xml:space="preserve">Analyses</w:t>
        </w:r>
      </w:hyperlink>
    </w:p>
    <w:bookmarkStart w:id="62" w:name="seminal-longitudinal-studies"/>
    <w:p>
      <w:pPr>
        <w:pStyle w:val="Heading2"/>
      </w:pPr>
      <w:r>
        <w:t xml:space="preserve">Seminal Longitudinal Studies</w:t>
      </w:r>
    </w:p>
    <w:bookmarkStart w:id="58"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58"/>
    <w:bookmarkStart w:id="59"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59"/>
    <w:bookmarkStart w:id="60"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60"/>
    <w:bookmarkStart w:id="61"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61"/>
    <w:bookmarkEnd w:id="62"/>
    <w:bookmarkStart w:id="69"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63"/>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67"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w:t>
      </w:r>
    </w:p>
    <w:p>
      <w:pPr>
        <w:pStyle w:val="FigureWithoutNote"/>
      </w:pPr>
      <w:r>
        <w:drawing>
          <wp:inline>
            <wp:extent cx="5943600" cy="6792685"/>
            <wp:effectExtent b="0" l="0" r="0" t="0"/>
            <wp:docPr descr="" title="" id="65" name="Picture"/>
            <a:graphic>
              <a:graphicData uri="http://schemas.openxmlformats.org/drawingml/2006/picture">
                <pic:pic>
                  <pic:nvPicPr>
                    <pic:cNvPr descr="index_files/figure-docx/notebooks-analyses-fig-longitudinalexternalizingstudies-output-1.png" id="66" name="Picture"/>
                    <pic:cNvPicPr>
                      <a:picLocks noChangeArrowheads="1" noChangeAspect="1"/>
                    </pic:cNvPicPr>
                  </pic:nvPicPr>
                  <pic:blipFill>
                    <a:blip r:embed="rId64"/>
                    <a:stretch>
                      <a:fillRect/>
                    </a:stretch>
                  </pic:blipFill>
                  <pic:spPr bwMode="auto">
                    <a:xfrm>
                      <a:off x="0" y="0"/>
                      <a:ext cx="5943600" cy="6792685"/>
                    </a:xfrm>
                    <a:prstGeom prst="rect">
                      <a:avLst/>
                    </a:prstGeom>
                    <a:noFill/>
                    <a:ln w="9525">
                      <a:noFill/>
                      <a:headEnd/>
                      <a:tailEnd/>
                    </a:ln>
                  </pic:spPr>
                </pic:pic>
              </a:graphicData>
            </a:graphic>
          </wp:inline>
        </w:drawing>
      </w:r>
    </w:p>
    <w:bookmarkEnd w:id="67"/>
    <w:p>
      <w:pPr>
        <w:pStyle w:val="FigureWithoutNote"/>
      </w:pPr>
      <w:r>
        <w:rPr>
          <w:vertAlign w:val="subscript"/>
        </w:rPr>
        <w:t xml:space="preserve">Source:</w:t>
      </w:r>
      <w:r>
        <w:rPr>
          <w:vertAlign w:val="subscript"/>
        </w:rPr>
        <w:t xml:space="preserve"> </w:t>
      </w:r>
      <w:hyperlink r:id="rId68">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69"/>
    <w:bookmarkEnd w:id="70"/>
    <w:bookmarkStart w:id="9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9"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74"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p>
    <w:p>
      <w:pPr>
        <w:pStyle w:val="FigureWithNote"/>
      </w:pPr>
      <w:r>
        <w:drawing>
          <wp:inline>
            <wp:extent cx="5943600" cy="2377440"/>
            <wp:effectExtent b="0" l="0" r="0" t="0"/>
            <wp:docPr descr="" title="" id="72" name="Picture"/>
            <a:graphic>
              <a:graphicData uri="http://schemas.openxmlformats.org/drawingml/2006/picture">
                <pic:pic>
                  <pic:nvPicPr>
                    <pic:cNvPr descr="Figures/Petersen2026_figure1.png" id="73" name="Picture"/>
                    <pic:cNvPicPr>
                      <a:picLocks noChangeArrowheads="1" noChangeAspect="1"/>
                    </pic:cNvPicPr>
                  </pic:nvPicPr>
                  <pic:blipFill>
                    <a:blip r:embed="rId71"/>
                    <a:stretch>
                      <a:fillRect/>
                    </a:stretch>
                  </pic:blipFill>
                  <pic:spPr bwMode="auto">
                    <a:xfrm>
                      <a:off x="0" y="0"/>
                      <a:ext cx="5943600" cy="2377440"/>
                    </a:xfrm>
                    <a:prstGeom prst="rect">
                      <a:avLst/>
                    </a:prstGeom>
                    <a:noFill/>
                    <a:ln w="9525">
                      <a:noFill/>
                      <a:headEnd/>
                      <a:tailEnd/>
                    </a:ln>
                  </pic:spPr>
                </pic:pic>
              </a:graphicData>
            </a:graphic>
          </wp:inline>
        </w:drawing>
      </w:r>
    </w:p>
    <w:bookmarkEnd w:id="74"/>
    <w:p>
      <w:pPr>
        <w:pStyle w:val="FigureNote"/>
      </w:pPr>
      <w:r>
        <w:rPr>
          <w:i/>
          <w:iCs/>
        </w:rPr>
        <w:t xml:space="preserve">Note</w:t>
      </w:r>
      <w:r>
        <w:t xml:space="preserve">. Items are from the Externalizing Spectrum Inventory (ESI), but unlike the True/False ESI, participants rated items on an absolute frequency scale (times per day/week/month/year). The gray band is the 95% confidence interval. The figure demonstrates that different externalizing behaviors are most common at different developmental periods, consistent with heterotypic continuity. As examples, hurting others’ feelings on purpose (left panel) was most common in early adulthood; snapping or raising one’s voice (middle panel) was most common in middle adulthood; getting in power struggles with others (right panel) was most common in older adulthood.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8"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6"/>
      </w:r>
      <w:r>
        <w:t xml:space="preserve">—the diagnostic criteria do not differ across development, even though diagnostic manuals acknowledge that developmental factors impact symptom presentation</w:t>
      </w:r>
      <w:r>
        <w:rPr>
          <w:rStyle w:val="FootnoteReference"/>
        </w:rPr>
        <w:footnoteReference w:id="77"/>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8"/>
    <w:bookmarkEnd w:id="79"/>
    <w:bookmarkStart w:id="96"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86"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80"/>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84" w:name="fig-approachesToLongitudinalAssessment"/>
    <w:p>
      <w:pPr>
        <w:pStyle w:val="FigureTitle"/>
      </w:pPr>
      <w:r>
        <w:t xml:space="preserve">Figure 6</w:t>
      </w:r>
    </w:p>
    <w:p>
      <w:pPr>
        <w:pStyle w:val="Caption"/>
      </w:pPr>
      <w:r>
        <w:t xml:space="preserve">Approaches to Longitudinal Assessment</w:t>
      </w:r>
    </w:p>
    <w:p>
      <w:pPr>
        <w:pStyle w:val="FigureWithNote"/>
      </w:pPr>
      <w:r>
        <w:drawing>
          <wp:inline>
            <wp:extent cx="5943600" cy="2351289"/>
            <wp:effectExtent b="0" l="0" r="0" t="0"/>
            <wp:docPr descr="" title="" id="82" name="Picture"/>
            <a:graphic>
              <a:graphicData uri="http://schemas.openxmlformats.org/drawingml/2006/picture">
                <pic:pic>
                  <pic:nvPicPr>
                    <pic:cNvPr descr="Figures/approachesToLongitudinalAssessment.jpg" id="83" name="Picture"/>
                    <pic:cNvPicPr>
                      <a:picLocks noChangeArrowheads="1" noChangeAspect="1"/>
                    </pic:cNvPicPr>
                  </pic:nvPicPr>
                  <pic:blipFill>
                    <a:blip r:embed="rId81"/>
                    <a:stretch>
                      <a:fillRect/>
                    </a:stretch>
                  </pic:blipFill>
                  <pic:spPr bwMode="auto">
                    <a:xfrm>
                      <a:off x="0" y="0"/>
                      <a:ext cx="5943600" cy="2351289"/>
                    </a:xfrm>
                    <a:prstGeom prst="rect">
                      <a:avLst/>
                    </a:prstGeom>
                    <a:noFill/>
                    <a:ln w="9525">
                      <a:noFill/>
                      <a:headEnd/>
                      <a:tailEnd/>
                    </a:ln>
                  </pic:spPr>
                </pic:pic>
              </a:graphicData>
            </a:graphic>
          </wp:inline>
        </w:drawing>
      </w:r>
    </w:p>
    <w:bookmarkEnd w:id="84"/>
    <w:p>
      <w:pPr>
        <w:pStyle w:val="FigureNote"/>
      </w:pPr>
      <w:r>
        <w:rPr>
          <w:i/>
          <w:iCs/>
        </w:rPr>
        <w:t xml:space="preserve">Note</w:t>
      </w:r>
      <w:r>
        <w:t xml:space="preserve">. Item set A refers to items that are construct-valid at only timepoint 1 (T1); item set B is construct-valid at both T1 and T2; item set C is construct-valid at only T2. A dash indicates that the item set was not assessed at a given timepoint. A white box indicates invalid assessment in terms of either a content gap (i.e., important missing items) or intrusion (i.e., invalid items at a given timepoint). 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 The three approaches are: (1) common items: B at T1 and T2, (2) upward/downward extension: ABC at T1 and T2, or (3) construct-valid items: AB at T1; BC at T2.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 (Figure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r>
        <w:t xml:space="preserve">).</w:t>
      </w:r>
    </w:p>
    <w:p>
      <w:pPr>
        <w:pStyle w:val="BodyText"/>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86"/>
    <w:bookmarkStart w:id="87"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87"/>
    <w:bookmarkStart w:id="94"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91"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p>
    <w:p>
      <w:pPr>
        <w:pStyle w:val="FigureWithNote"/>
      </w:pPr>
      <w:r>
        <w:drawing>
          <wp:inline>
            <wp:extent cx="5943600" cy="3668050"/>
            <wp:effectExtent b="0" l="0" r="0" t="0"/>
            <wp:docPr descr="" title="" id="89" name="Picture"/>
            <a:graphic>
              <a:graphicData uri="http://schemas.openxmlformats.org/drawingml/2006/picture">
                <pic:pic>
                  <pic:nvPicPr>
                    <pic:cNvPr descr="Figures/Petersen2026_figure4.png" id="90" name="Picture"/>
                    <pic:cNvPicPr>
                      <a:picLocks noChangeArrowheads="1" noChangeAspect="1"/>
                    </pic:cNvPicPr>
                  </pic:nvPicPr>
                  <pic:blipFill>
                    <a:blip r:embed="rId88"/>
                    <a:stretch>
                      <a:fillRect/>
                    </a:stretch>
                  </pic:blipFill>
                  <pic:spPr bwMode="auto">
                    <a:xfrm>
                      <a:off x="0" y="0"/>
                      <a:ext cx="5943600" cy="3668050"/>
                    </a:xfrm>
                    <a:prstGeom prst="rect">
                      <a:avLst/>
                    </a:prstGeom>
                    <a:noFill/>
                    <a:ln w="9525">
                      <a:noFill/>
                      <a:headEnd/>
                      <a:tailEnd/>
                    </a:ln>
                  </pic:spPr>
                </pic:pic>
              </a:graphicData>
            </a:graphic>
          </wp:inline>
        </w:drawing>
      </w:r>
    </w:p>
    <w:bookmarkEnd w:id="91"/>
    <w:p>
      <w:pPr>
        <w:pStyle w:val="FigureNote"/>
      </w:pPr>
      <w:r>
        <w:rPr>
          <w:i/>
          <w:iCs/>
        </w:rPr>
        <w:t xml:space="preserve">Note</w:t>
      </w:r>
      <w:r>
        <w:t xml:space="preserve">.</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 The figure demonstrates that items assessing absolute frequency yield more information than dichotomized versions of the same items and the Likert-type response options of the Adult Self-Report. (Figure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r>
        <w:t xml:space="preserve">).</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Kliem et al., 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Krueger et al., 2005</w:t>
        </w:r>
      </w:hyperlink>
      <w:r>
        <w:t xml:space="preserve">;</w:t>
      </w:r>
      <w:r>
        <w:t xml:space="preserve"> </w:t>
      </w:r>
      <w:hyperlink w:anchor="ref-Krueger2007">
        <w:r>
          <w:rPr>
            <w:rStyle w:val="Hyperlink"/>
          </w:rPr>
          <w:t xml:space="preserve">Krueger et al., 2007</w:t>
        </w:r>
      </w:hyperlink>
      <w:r>
        <w:t xml:space="preserve">;</w:t>
      </w:r>
      <w:r>
        <w:t xml:space="preserve"> </w:t>
      </w:r>
      <w:hyperlink w:anchor="ref-Krueger2021">
        <w:r>
          <w:rPr>
            <w:rStyle w:val="Hyperlink"/>
          </w:rPr>
          <w:t xml:space="preserve">Krueger et al., 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Doing so would help move the field away from a focus of symptoms (and absence of symptoms) and toward consideration of the full range of functioning, including thriving.</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compete with and are (simultaneously) incompatible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92"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Potential 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92"/>
    <w:p>
      <w:pPr>
        <w:pStyle w:val="FigureWithoutNote"/>
      </w:pPr>
      <w:r>
        <w:rPr>
          <w:vertAlign w:val="subscript"/>
        </w:rPr>
        <w:t xml:space="preserve">Source:</w:t>
      </w:r>
      <w:r>
        <w:rPr>
          <w:vertAlign w:val="subscript"/>
        </w:rPr>
        <w:t xml:space="preserve"> </w:t>
      </w:r>
      <w:hyperlink r:id="rId93">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r>
        <w:t xml:space="preserve"> </w:t>
      </w:r>
      <w:r>
        <w:t xml:space="preserve">Moreover, it is important for measures not to show restriction of range owing to ceiling or floor effects.</w:t>
      </w:r>
    </w:p>
    <w:bookmarkEnd w:id="94"/>
    <w:bookmarkStart w:id="95"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95"/>
    <w:bookmarkEnd w:id="96"/>
    <w:bookmarkEnd w:id="97"/>
    <w:bookmarkStart w:id="110"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02"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01" w:name="fig-constructValidItemDesign"/>
    <w:p>
      <w:pPr>
        <w:pStyle w:val="FigureTitle"/>
      </w:pPr>
      <w:r>
        <w:t xml:space="preserve">Figure 8</w:t>
      </w:r>
    </w:p>
    <w:p>
      <w:pPr>
        <w:pStyle w:val="Caption"/>
      </w:pPr>
      <w:r>
        <w:t xml:space="preserve">Conceptual Depiction of a Construct-Valid Item Design from Infancy to Adulthood</w:t>
      </w:r>
    </w:p>
    <w:p>
      <w:pPr>
        <w:pStyle w:val="FigureWithNote"/>
      </w:pPr>
      <w:r>
        <w:drawing>
          <wp:inline>
            <wp:extent cx="5877848" cy="3260034"/>
            <wp:effectExtent b="0" l="0" r="0" t="0"/>
            <wp:docPr descr="" title="" id="99" name="Picture"/>
            <a:graphic>
              <a:graphicData uri="http://schemas.openxmlformats.org/drawingml/2006/picture">
                <pic:pic>
                  <pic:nvPicPr>
                    <pic:cNvPr descr="Figures/constructValidItemDesign.png" id="100" name="Picture"/>
                    <pic:cNvPicPr>
                      <a:picLocks noChangeArrowheads="1" noChangeAspect="1"/>
                    </pic:cNvPicPr>
                  </pic:nvPicPr>
                  <pic:blipFill>
                    <a:blip r:embed="rId98"/>
                    <a:stretch>
                      <a:fillRect/>
                    </a:stretch>
                  </pic:blipFill>
                  <pic:spPr bwMode="auto">
                    <a:xfrm>
                      <a:off x="0" y="0"/>
                      <a:ext cx="5877848" cy="3260034"/>
                    </a:xfrm>
                    <a:prstGeom prst="rect">
                      <a:avLst/>
                    </a:prstGeom>
                    <a:noFill/>
                    <a:ln w="9525">
                      <a:noFill/>
                      <a:headEnd/>
                      <a:tailEnd/>
                    </a:ln>
                  </pic:spPr>
                </pic:pic>
              </a:graphicData>
            </a:graphic>
          </wp:inline>
        </w:drawing>
      </w:r>
    </w:p>
    <w:bookmarkEnd w:id="101"/>
    <w:p>
      <w:pPr>
        <w:pStyle w:val="FigureNote"/>
      </w:pPr>
      <w:r>
        <w:rPr>
          <w:i/>
          <w:iCs/>
        </w:rPr>
        <w:t xml:space="preserve">Note</w:t>
      </w:r>
      <w:r>
        <w:t xml:space="preserve">. The age(s) at which an item set is assessed are represented by the letter</w:t>
      </w:r>
      <w:r>
        <w:t xml:space="preserve"> </w:t>
      </w:r>
      <w:r>
        <w:rPr>
          <w:rStyle w:val="VerbatimChar"/>
        </w:rPr>
        <w:t xml:space="preserve">x</w:t>
      </w:r>
      <w:r>
        <w:t xml:space="preserve"> </w:t>
      </w:r>
      <w:r>
        <w:t xml:space="preserve">and a colored box. Some items (</w:t>
      </w:r>
      <w:r>
        <w:t xml:space="preserve">“Core”</w:t>
      </w:r>
      <w:r>
        <w:t xml:space="preserve">, in green) represent the core of the phenotype and are assessed across all ages. Some items (in varying shades of brown) are age-specific and are assessed at only one or a few ages. However, some of the items assessed at a given age are shared with those assessed at adjacent ages, to facilitate linking the scores across ages. 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 Hypothetically, items could be assessed for as many or as few years as desired—as long as the items are construct valid for those ages and there enough age-common items between adjacent ages for linking scores across ages.</w:t>
      </w:r>
    </w:p>
    <w:bookmarkEnd w:id="102"/>
    <w:bookmarkStart w:id="109"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03"/>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07" w:name="fig-linking"/>
    <w:p>
      <w:pPr>
        <w:pStyle w:val="FigureTitle"/>
      </w:pPr>
      <w:r>
        <w:t xml:space="preserve">Figure 9</w:t>
      </w:r>
    </w:p>
    <w:p>
      <w:pPr>
        <w:pStyle w:val="Caption"/>
      </w:pPr>
      <w:r>
        <w:t xml:space="preserve">Example of Linking Scores From Measures Across Ages Using the Item Response Theory Approach to Developmental Scaling</w:t>
      </w:r>
    </w:p>
    <w:p>
      <w:pPr>
        <w:pStyle w:val="FigureWithNote"/>
      </w:pPr>
      <w:r>
        <w:drawing>
          <wp:inline>
            <wp:extent cx="5503598" cy="3669065"/>
            <wp:effectExtent b="0" l="0" r="0" t="0"/>
            <wp:docPr descr="" title="" id="105" name="Picture"/>
            <a:graphic>
              <a:graphicData uri="http://schemas.openxmlformats.org/drawingml/2006/picture">
                <pic:pic>
                  <pic:nvPicPr>
                    <pic:cNvPr descr="Figures/Petersen2021_figure1.png" id="106" name="Picture"/>
                    <pic:cNvPicPr>
                      <a:picLocks noChangeArrowheads="1" noChangeAspect="1"/>
                    </pic:cNvPicPr>
                  </pic:nvPicPr>
                  <pic:blipFill>
                    <a:blip r:embed="rId104"/>
                    <a:stretch>
                      <a:fillRect/>
                    </a:stretch>
                  </pic:blipFill>
                  <pic:spPr bwMode="auto">
                    <a:xfrm>
                      <a:off x="0" y="0"/>
                      <a:ext cx="5503598" cy="3669065"/>
                    </a:xfrm>
                    <a:prstGeom prst="rect">
                      <a:avLst/>
                    </a:prstGeom>
                    <a:noFill/>
                    <a:ln w="9525">
                      <a:noFill/>
                      <a:headEnd/>
                      <a:tailEnd/>
                    </a:ln>
                  </pic:spPr>
                </pic:pic>
              </a:graphicData>
            </a:graphic>
          </wp:inline>
        </w:drawing>
      </w:r>
    </w:p>
    <w:bookmarkEnd w:id="107"/>
    <w:p>
      <w:pPr>
        <w:pStyle w:val="FigureNote"/>
      </w:pPr>
      <w:r>
        <w:rPr>
          <w:i/>
          <w:iCs/>
        </w:rPr>
        <w:t xml:space="preserve">Note</w:t>
      </w:r>
      <w:r>
        <w:t xml:space="preserve">. The figure illustrates the effect of linking the latent externalizing problems scores, θ, across ages, using developmental scaling. The left panel illustrates the test characteristic curves representing the model-implied proportion out of total possible scores across the latent externalizing problems score at age 4 and 5, before the linking process. The right panel illustrates the test characteristic curves after the linking process. The shading between the age 4 and age 5 test characteristic curves represents differences between the two test characteristic curves in terms of discrimination and/or severity, where larger differences reflect scores that are less comparable. Linking minimizes differences between the discrimination and severity of the age-common items. Discrimination is depicted by the steepness of the slope at the inflection point of the test characteristic curve. Severity is represented by the value on the x-axis at the inflection point of the test characteristic curve. The left panel indicates that the externalizing problem items showed higher severity (i.e., its inflection point is further right) and somewhat stronger discrimination (i.e., its slope is steeper) at age 5 than at age 4. 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 (Figure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r>
        <w:t xml:space="preserve">).</w:t>
      </w:r>
    </w:p>
    <w:p>
      <w:pPr>
        <w:pStyle w:val="BodyText"/>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09"/>
    <w:bookmarkEnd w:id="110"/>
    <w:bookmarkStart w:id="126" w:name="other-key-challenges-to-address"/>
    <w:p>
      <w:pPr>
        <w:pStyle w:val="Heading1"/>
      </w:pPr>
      <w:r>
        <w:t xml:space="preserve">Other Key Challenges to Address</w:t>
      </w:r>
    </w:p>
    <w:bookmarkStart w:id="121" w:name="sec-potential-confounds-of-change"/>
    <w:p>
      <w:pPr>
        <w:pStyle w:val="Heading2"/>
      </w:pPr>
      <w:r>
        <w:t xml:space="preserve">Potential Confounds of Change</w:t>
      </w:r>
    </w:p>
    <w:p>
      <w:pPr>
        <w:pStyle w:val="FirstParagraph"/>
      </w:pPr>
      <w:r>
        <w:t xml:space="preserve">It is also important for longitudinal research to consider and, to the extent possible, account for potential confounds of change, such as practice effects, period and cohort effects, measurement error, selective attrition, and changes in the meaning of the scores</w:t>
      </w:r>
      <w:r>
        <w:t xml:space="preserve"> </w:t>
      </w:r>
      <w:r>
        <w:t xml:space="preserve">(</w:t>
      </w:r>
      <w:hyperlink w:anchor="ref-Hertzog2003">
        <w:r>
          <w:rPr>
            <w:rStyle w:val="Hyperlink"/>
          </w:rPr>
          <w:t xml:space="preserve">Hertzog &amp; Nesselroade, 2003</w:t>
        </w:r>
      </w:hyperlink>
      <w:r>
        <w:t xml:space="preserve">)</w:t>
      </w:r>
      <w:r>
        <w:t xml:space="preserve">.</w:t>
      </w:r>
      <w:r>
        <w:t xml:space="preserve"> </w:t>
      </w:r>
      <w:r>
        <w:t xml:space="preserve">By confound of change, we mean that such effects can make it appear that people have changed in their level on the construct when, it reality, they have not changed (or vice versa).</w:t>
      </w:r>
    </w:p>
    <w:bookmarkStart w:id="111" w:name="practiceretest-effects"/>
    <w:p>
      <w:pPr>
        <w:pStyle w:val="Heading3"/>
      </w:pPr>
      <w:r>
        <w:t xml:space="preserve">Practice/Retest Effects</w:t>
      </w:r>
    </w:p>
    <w:p>
      <w:pPr>
        <w:pStyle w:val="FirstParagraph"/>
      </w:pPr>
      <w:r>
        <w:t xml:space="preserve">Practice effects (also called retest effects) occur to the extent that a person’s score changes due to repeated assessment rather than due to changes in their construct level.</w:t>
      </w:r>
      <w:r>
        <w:t xml:space="preserve"> </w:t>
      </w:r>
      <w:r>
        <w:t xml:space="preserve">For instance, if researchers intend to study people’s intelligence across development and they use the same measure and stimuli at each measurement occasion, it is possible that people may perform better over time because they are learning the task and thus improving their score—even if their intelligence has not changed.</w:t>
      </w:r>
      <w:r>
        <w:t xml:space="preserve"> </w:t>
      </w:r>
      <w:r>
        <w:t xml:space="preserve">In a longitudinal study of externalizing problems using repeated surveys, retest effects might be most likely be detected in the form of decreases for a person across ages, which may reflect fatigue in reporting</w:t>
      </w:r>
      <w:r>
        <w:t xml:space="preserve"> </w:t>
      </w:r>
      <w:r>
        <w:t xml:space="preserve">(</w:t>
      </w:r>
      <w:hyperlink w:anchor="ref-Averdijk2014">
        <w:r>
          <w:rPr>
            <w:rStyle w:val="Hyperlink"/>
          </w:rPr>
          <w:t xml:space="preserve">Averdijk, 2014</w:t>
        </w:r>
      </w:hyperlink>
      <w:r>
        <w:t xml:space="preserve">)</w:t>
      </w:r>
      <w:r>
        <w:t xml:space="preserve">.</w:t>
      </w:r>
      <w:r>
        <w:t xml:space="preserve"> </w:t>
      </w:r>
      <w:r>
        <w:t xml:space="preserve">Lower ratings for an individual across time may be especially likely if the surveys include branching logic such that the respondent learns that additional items appear whenever they endorse an item (and that the additional items would not have appeared had they not endorsed the item).</w:t>
      </w:r>
      <w:r>
        <w:t xml:space="preserve"> </w:t>
      </w:r>
      <w:r>
        <w:t xml:space="preserve">Ways to reduce retest effects include changing the measure and/or stimuli</w:t>
      </w:r>
      <w:r>
        <w:t xml:space="preserve"> </w:t>
      </w:r>
      <w:r>
        <w:t xml:space="preserve">(</w:t>
      </w:r>
      <w:hyperlink w:anchor="ref-Tyrell2019">
        <w:r>
          <w:rPr>
            <w:rStyle w:val="Hyperlink"/>
          </w:rPr>
          <w:t xml:space="preserve">Tyrell et al., 2019</w:t>
        </w:r>
      </w:hyperlink>
      <w:r>
        <w:t xml:space="preserve">)</w:t>
      </w:r>
      <w:r>
        <w:t xml:space="preserve"> </w:t>
      </w:r>
      <w:r>
        <w:t xml:space="preserve">and increasing the retest interval.</w:t>
      </w:r>
      <w:r>
        <w:t xml:space="preserve"> </w:t>
      </w:r>
      <w:r>
        <w:t xml:space="preserve">Thus, an added benefit of accounting for heterotypic continuity (by changing the measure across development to align with changes in the construct manifestation) is the reduction of retest effects.</w:t>
      </w:r>
      <w:r>
        <w:t xml:space="preserve"> </w:t>
      </w:r>
      <w:r>
        <w:t xml:space="preserve">A way to account for retest effects is through the use of accelerated longitudinal (i.e., cross-sequential) designs that can separately estimate the effects of age versus timepoint because, unlike in a single-cohort longitudinal design, age and timepoint are decoupled</w:t>
      </w:r>
      <w:r>
        <w:t xml:space="preserve"> </w:t>
      </w:r>
      <w:r>
        <w:t xml:space="preserve">(</w:t>
      </w:r>
      <w:hyperlink w:anchor="ref-Ferrer2004">
        <w:r>
          <w:rPr>
            <w:rStyle w:val="Hyperlink"/>
          </w:rPr>
          <w:t xml:space="preserve">Ferrer et al., 2004</w:t>
        </w:r>
      </w:hyperlink>
      <w:r>
        <w:t xml:space="preserve">)</w:t>
      </w:r>
      <w:r>
        <w:t xml:space="preserve">.</w:t>
      </w:r>
    </w:p>
    <w:bookmarkEnd w:id="111"/>
    <w:bookmarkStart w:id="117" w:name="period-and-cohort-effects"/>
    <w:p>
      <w:pPr>
        <w:pStyle w:val="Heading3"/>
      </w:pPr>
      <w:r>
        <w:t xml:space="preserve">Period and Cohort Effects</w:t>
      </w:r>
    </w:p>
    <w:p>
      <w:pPr>
        <w:pStyle w:val="FirstParagraph"/>
      </w:pPr>
      <w:r>
        <w:t xml:space="preserve">Researchers are commonly interested in how people develop as a function of age.</w:t>
      </w:r>
      <w:r>
        <w:t xml:space="preserve"> </w:t>
      </w:r>
      <w:r>
        <w:t xml:space="preserve">Age refers to a person’s chronological age at the time of measurement.</w:t>
      </w:r>
      <w:r>
        <w:t xml:space="preserve"> </w:t>
      </w:r>
      <w:r>
        <w:t xml:space="preserve">Age is a proxy for development—a stand-in for the myriad ways one’s biology and social roles—and one’s corresponding employment, income, and family structure—change as people age</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However, apparent age-related differences in a cross-sectional or longitudinal study could reflect period or cohort effects instead of development.</w:t>
      </w:r>
      <w:r>
        <w:t xml:space="preserve"> </w:t>
      </w:r>
      <w:r>
        <w:t xml:space="preserve">Thus, it is important to consider and, to the extent possible, account for period and cohort effects.</w:t>
      </w:r>
    </w:p>
    <w:p>
      <w:pPr>
        <w:pStyle w:val="BodyText"/>
      </w:pPr>
      <w:r>
        <w:t xml:space="preserve">Period refers to the historical time at which measurement occurs.</w:t>
      </w:r>
      <w:r>
        <w:t xml:space="preserve"> </w:t>
      </w:r>
      <w:r>
        <w:t xml:space="preserve">If a group of people are assessed during a given time period (e.g., during a war, recession, pandemic, or stressor), their scores could be influenced by the historical time period.</w:t>
      </w:r>
      <w:r>
        <w:t xml:space="preserve"> </w:t>
      </w:r>
      <w:r>
        <w:t xml:space="preserve">The extent to which scores are attributable to the time period (e.g., the economic situation or prevailing standard of living) in which they are assessed is called a period effect.</w:t>
      </w:r>
    </w:p>
    <w:p>
      <w:pPr>
        <w:pStyle w:val="BodyText"/>
      </w:pPr>
      <w:r>
        <w:t xml:space="preserve">Cohort refers to a group of people who experience similar events or historical contexts at similar ages.</w:t>
      </w:r>
      <w:r>
        <w:t xml:space="preserve"> </w:t>
      </w:r>
      <w:r>
        <w:t xml:space="preserve">Cohort commonly refers to birth cohort, which represents the group of people who were born around the same time.</w:t>
      </w:r>
      <w:r>
        <w:t xml:space="preserve"> </w:t>
      </w:r>
      <w:r>
        <w:t xml:space="preserve">If a group of people were born around the same time (e.g., in 1940), their scores may differ from those of people born in other eras because they experienced different historical, social, educational, economic, or technological contexts during development.</w:t>
      </w:r>
      <w:r>
        <w:t xml:space="preserve"> </w:t>
      </w:r>
      <w:r>
        <w:t xml:space="preserve">The extent to which scores are attributable to an individual’s birth cohort is called a cohort effect—that is,</w:t>
      </w:r>
      <w:r>
        <w:t xml:space="preserve"> </w:t>
      </w:r>
      <w:r>
        <w:t xml:space="preserve">“the (enduring, constant) effects of having been a certain age at a certain point in historic time.”</w:t>
      </w:r>
      <w:r>
        <w:t xml:space="preserve"> </w:t>
      </w:r>
      <w:r>
        <w:t xml:space="preserve">(</w:t>
      </w:r>
      <w:hyperlink w:anchor="ref-Rohrer2025">
        <w:r>
          <w:rPr>
            <w:rStyle w:val="Hyperlink"/>
          </w:rPr>
          <w:t xml:space="preserve">Rohrer, 2025, p. 2</w:t>
        </w:r>
      </w:hyperlink>
      <w:r>
        <w:t xml:space="preserve">)</w:t>
      </w:r>
      <w:r>
        <w:t xml:space="preserve">.</w:t>
      </w:r>
      <w:r>
        <w:t xml:space="preserve"> </w:t>
      </w:r>
      <w:r>
        <w:t xml:space="preserve">Period and cohort—like age—are proxy variables for other, causal processes.</w:t>
      </w:r>
    </w:p>
    <w:p>
      <w:pPr>
        <w:pStyle w:val="BodyText"/>
      </w:pPr>
      <w:r>
        <w:t xml:space="preserve">Part of the challenge of estimating the unique contributions of age, period, and cohort is that they are deterministically related.</w:t>
      </w:r>
      <w:r>
        <w:t xml:space="preserve"> </w:t>
      </w:r>
      <w:r>
        <w:t xml:space="preserve">If you know two of these (e.g., age and period), you can determine the third (e.g., cohort).</w:t>
      </w:r>
      <w:r>
        <w:t xml:space="preserve"> </w:t>
      </w:r>
      <w:r>
        <w:t xml:space="preserve">That is,</w:t>
      </w:r>
      <w:r>
        <w:t xml:space="preserve"> </w:t>
      </w:r>
      <m:oMath>
        <m:r>
          <m:rPr>
            <m:nor/>
            <m:sty m:val="p"/>
          </m:rPr>
          <m:t>age</m:t>
        </m:r>
        <m:r>
          <m:rPr>
            <m:sty m:val="p"/>
          </m:rPr>
          <m:t>=</m:t>
        </m:r>
        <m:r>
          <m:rPr>
            <m:nor/>
            <m:sty m:val="p"/>
          </m:rPr>
          <m:t>period</m:t>
        </m:r>
        <m:r>
          <m:rPr>
            <m:sty m:val="p"/>
          </m:rPr>
          <m:t>−</m:t>
        </m:r>
        <m:r>
          <m:rPr>
            <m:nor/>
            <m:sty m:val="p"/>
          </m:rPr>
          <m:t>cohort</m:t>
        </m:r>
      </m:oMath>
      <w:r>
        <w:t xml:space="preserve">.</w:t>
      </w:r>
    </w:p>
    <w:p>
      <w:pPr>
        <w:pStyle w:val="BodyText"/>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r>
        <w:t xml:space="preserve"> </w:t>
      </w:r>
      <w:r>
        <w:t xml:space="preserve">In a cross-sectional study, any age-related differences are confounded with cohort differences.</w:t>
      </w:r>
      <w:r>
        <w:t xml:space="preserve"> </w:t>
      </w:r>
      <w:r>
        <w:t xml:space="preserve">Thus, age-related differences in a cross-sectional study may not reflect development.</w:t>
      </w:r>
      <w:r>
        <w:t xml:space="preserve"> </w:t>
      </w:r>
      <w:r>
        <w:t xml:space="preserve">In a single-cohort longitudinal design, any observed changes with age could be due to period effects (rather than developmental change associated with aging) or could be specific to that cohort.</w:t>
      </w:r>
      <w:r>
        <w:t xml:space="preserve"> </w:t>
      </w:r>
      <w:r>
        <w:t xml:space="preserve">To combat these limitations, studies may employ longitudinal sequential designs that incorporate multiple cohorts, such as time-sequential, cross-sequential, or cohort-sequential designs.</w:t>
      </w:r>
      <w:r>
        <w:t xml:space="preserve"> </w:t>
      </w:r>
      <w:r>
        <w:t xml:space="preserve">For instance, a cross-sequential study (also called accelerated longitudinal study) starts as a cross-sectional study with participants from multiple cohorts, and then follows the participants longitudinally.</w:t>
      </w:r>
      <w:r>
        <w:t xml:space="preserve"> </w:t>
      </w:r>
      <w:r>
        <w:t xml:space="preserve">In a cohort-sequential design, multiple cohorts enter the study at the same age (e.g., age 22) and are then followed longitudinally (typically across the same duration and ages), like starting a longitudinal study at the same age over and over again.</w:t>
      </w:r>
      <w:r>
        <w:t xml:space="preserve"> </w:t>
      </w:r>
      <w:r>
        <w:t xml:space="preserve">A time-sequential design is an extension of a time-lag design.</w:t>
      </w:r>
      <w:r>
        <w:t xml:space="preserve"> </w:t>
      </w:r>
      <w:r>
        <w:t xml:space="preserve">A time-lag design assesses multiple cohorts at the same age (e.g., age 12).</w:t>
      </w:r>
      <w:r>
        <w:t xml:space="preserve"> </w:t>
      </w:r>
      <w:r>
        <w:t xml:space="preserve">A time-sequential design adds age groups to a time-lag design, repeatedly assessing the same age range (e.g., ages 12–18), with some participants followed longitudinally.</w:t>
      </w:r>
    </w:p>
    <w:bookmarkStart w:id="115" w:name="fig-longitudinalDesigns"/>
    <w:p>
      <w:pPr>
        <w:pStyle w:val="FigureTitle"/>
      </w:pPr>
      <w:r>
        <w:t xml:space="preserve">Figure 10</w:t>
      </w:r>
    </w:p>
    <w:p>
      <w:pPr>
        <w:pStyle w:val="Caption"/>
      </w:pPr>
      <w:r>
        <w:t xml:space="preserve">Research Designs by Time of Measurement and Cohort</w:t>
      </w:r>
    </w:p>
    <w:p>
      <w:pPr>
        <w:pStyle w:val="FigureWithNote"/>
      </w:pPr>
      <w:r>
        <w:drawing>
          <wp:inline>
            <wp:extent cx="5943600" cy="6619717"/>
            <wp:effectExtent b="0" l="0" r="0" t="0"/>
            <wp:docPr descr="" title="" id="113" name="Picture"/>
            <a:graphic>
              <a:graphicData uri="http://schemas.openxmlformats.org/drawingml/2006/picture">
                <pic:pic>
                  <pic:nvPicPr>
                    <pic:cNvPr descr="Figures/longitudinalDesigns.png" id="114" name="Picture"/>
                    <pic:cNvPicPr>
                      <a:picLocks noChangeArrowheads="1" noChangeAspect="1"/>
                    </pic:cNvPicPr>
                  </pic:nvPicPr>
                  <pic:blipFill>
                    <a:blip r:embed="rId112"/>
                    <a:stretch>
                      <a:fillRect/>
                    </a:stretch>
                  </pic:blipFill>
                  <pic:spPr bwMode="auto">
                    <a:xfrm>
                      <a:off x="0" y="0"/>
                      <a:ext cx="5943600" cy="6619717"/>
                    </a:xfrm>
                    <a:prstGeom prst="rect">
                      <a:avLst/>
                    </a:prstGeom>
                    <a:noFill/>
                    <a:ln w="9525">
                      <a:noFill/>
                      <a:headEnd/>
                      <a:tailEnd/>
                    </a:ln>
                  </pic:spPr>
                </pic:pic>
              </a:graphicData>
            </a:graphic>
          </wp:inline>
        </w:drawing>
      </w:r>
    </w:p>
    <w:bookmarkEnd w:id="115"/>
    <w:p>
      <w:pPr>
        <w:pStyle w:val="FigureNote"/>
      </w:pPr>
      <w:r>
        <w:rPr>
          <w:i/>
          <w:iCs/>
        </w:rPr>
        <w:t xml:space="preserve">Note</w:t>
      </w:r>
      <w:r>
        <w:t xml:space="preserve">. Values in the cells are ages of the participants. Dashed line indicates different participants were assessed at each time of measurement. (Figure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6">
        <w:r>
          <w:rPr>
            <w:rStyle w:val="Hyperlink"/>
          </w:rPr>
          <w:t xml:space="preserve">https://doi.org/10.25820/work.007199</w:t>
        </w:r>
      </w:hyperlink>
      <w:r>
        <w:t xml:space="preserve">). Although the depictions of cohort-sequential and cross-sequential designs differ from the depictions by</w:t>
      </w:r>
      <w:r>
        <w:t xml:space="preserve"> </w:t>
      </w:r>
      <w:r>
        <w:t xml:space="preserve">Schaie (</w:t>
      </w:r>
      <w:hyperlink w:anchor="ref-Schaie2005">
        <w:r>
          <w:rPr>
            <w:rStyle w:val="Hyperlink"/>
          </w:rPr>
          <w:t xml:space="preserve">2005</w:t>
        </w:r>
      </w:hyperlink>
      <w:r>
        <w:t xml:space="preserve">)</w:t>
      </w:r>
      <w:r>
        <w:t xml:space="preserve"> </w:t>
      </w:r>
      <w:r>
        <w:t xml:space="preserve">(i.e., they are reversed), they are consistent with contemporary definitions of these designs</w:t>
      </w:r>
      <w:r>
        <w:t xml:space="preserve"> </w:t>
      </w:r>
      <w:r>
        <w:t xml:space="preserve">(</w:t>
      </w:r>
      <w:hyperlink w:anchor="ref-Little2024">
        <w:r>
          <w:rPr>
            <w:rStyle w:val="Hyperlink"/>
          </w:rPr>
          <w:t xml:space="preserve">Little, 2024</w:t>
        </w:r>
      </w:hyperlink>
      <w:r>
        <w:t xml:space="preserve">;</w:t>
      </w:r>
      <w:r>
        <w:t xml:space="preserve"> </w:t>
      </w:r>
      <w:hyperlink w:anchor="ref-Masche2004">
        <w:r>
          <w:rPr>
            <w:rStyle w:val="Hyperlink"/>
          </w:rPr>
          <w:t xml:space="preserve">Masche &amp; Dulmen, 2004</w:t>
        </w:r>
      </w:hyperlink>
      <w:r>
        <w:t xml:space="preserve">;</w:t>
      </w:r>
      <w:r>
        <w:t xml:space="preserve"> </w:t>
      </w:r>
      <w:hyperlink w:anchor="ref-Whitbourne2019">
        <w:r>
          <w:rPr>
            <w:rStyle w:val="Hyperlink"/>
          </w:rPr>
          <w:t xml:space="preserve">Whitbourne, 2019</w:t>
        </w:r>
      </w:hyperlink>
      <w:r>
        <w:t xml:space="preserve">)</w:t>
      </w:r>
      <w:r>
        <w:t xml:space="preserve">.</w:t>
      </w:r>
    </w:p>
    <w:p>
      <w:pPr>
        <w:pStyle w:val="BodyText"/>
      </w:pPr>
      <w:r>
        <w:t xml:space="preserve">Longitudinal sequential designs provide greater leverage for distinguishing age, period, and cohort influences by collecting information from multiple cohorts at multiple periods and ages.</w:t>
      </w:r>
      <w:r>
        <w:t xml:space="preserve"> </w:t>
      </w:r>
      <w:r>
        <w:t xml:space="preserve">Nevertheless, they do not completely eliminate the confounding between age, period, and cohort</w:t>
      </w:r>
      <w:r>
        <w:t xml:space="preserve"> </w:t>
      </w:r>
      <w:r>
        <w:t xml:space="preserve">(</w:t>
      </w:r>
      <w:hyperlink w:anchor="ref-Rohrer2025">
        <w:r>
          <w:rPr>
            <w:rStyle w:val="Hyperlink"/>
          </w:rPr>
          <w:t xml:space="preserve">Rohrer, 2025</w:t>
        </w:r>
      </w:hyperlink>
      <w:r>
        <w:t xml:space="preserve">)</w:t>
      </w:r>
      <w:r>
        <w:t xml:space="preserve">.</w:t>
      </w:r>
      <w:r>
        <w:t xml:space="preserve"> </w:t>
      </w:r>
      <w:r>
        <w:t xml:space="preserve">No research design can fully disentangle age, period, and cohort effects.</w:t>
      </w:r>
      <w:r>
        <w:t xml:space="preserve"> </w:t>
      </w:r>
      <w:r>
        <w:t xml:space="preserve">Confidence that observed age-related differences reflect developmental change increases when there is converging evidence across multiple research designs.</w:t>
      </w:r>
      <w:r>
        <w:t xml:space="preserve"> </w:t>
      </w:r>
      <w:r>
        <w:t xml:space="preserve">However, there may be ways in a given study of accounting for period or cohort effects.</w:t>
      </w:r>
      <w:r>
        <w:t xml:space="preserve"> </w:t>
      </w:r>
      <w:r>
        <w:t xml:space="preserve">For instance, in an accelerated longitudinal study, it would be valuable to evaluate the extent to which the differing cohorts are comparable—i.e., that they show similar scores at the same ages.</w:t>
      </w:r>
      <w:r>
        <w:t xml:space="preserve"> </w:t>
      </w:r>
      <w:r>
        <w:t xml:space="preserve">Moreover, there is an entire set of analytic approaches, known as age-period-cohort analysis</w:t>
      </w:r>
      <w:r>
        <w:t xml:space="preserve"> </w:t>
      </w:r>
      <w:r>
        <w:t xml:space="preserve">(</w:t>
      </w:r>
      <w:hyperlink w:anchor="ref-Yang2013">
        <w:r>
          <w:rPr>
            <w:rStyle w:val="Hyperlink"/>
          </w:rPr>
          <w:t xml:space="preserve">Yang &amp; Land, 2013</w:t>
        </w:r>
      </w:hyperlink>
      <w:r>
        <w:t xml:space="preserve">)</w:t>
      </w:r>
      <w:r>
        <w:t xml:space="preserve">, whose goal is to disentangle the effects of age, period, and cohort.</w:t>
      </w:r>
      <w:r>
        <w:t xml:space="preserve"> </w:t>
      </w:r>
      <w:r>
        <w:t xml:space="preserve">Rohrer (</w:t>
      </w:r>
      <w:hyperlink w:anchor="ref-Rohrer2025">
        <w:r>
          <w:rPr>
            <w:rStyle w:val="Hyperlink"/>
          </w:rPr>
          <w:t xml:space="preserve">2025</w:t>
        </w:r>
      </w:hyperlink>
      <w:r>
        <w:t xml:space="preserve">)</w:t>
      </w:r>
      <w:r>
        <w:t xml:space="preserve"> </w:t>
      </w:r>
      <w:r>
        <w:t xml:space="preserve">provides additional suggestions for considering age, period, and cohort effects.</w:t>
      </w:r>
    </w:p>
    <w:bookmarkEnd w:id="117"/>
    <w:bookmarkStart w:id="118" w:name="measurement-error"/>
    <w:p>
      <w:pPr>
        <w:pStyle w:val="Heading3"/>
      </w:pPr>
      <w:r>
        <w:t xml:space="preserve">Measurement Error</w:t>
      </w:r>
    </w:p>
    <w:p>
      <w:pPr>
        <w:pStyle w:val="FirstParagraph"/>
      </w:pPr>
      <w:r>
        <w:t xml:space="preserve">Measurement error is another potential confound of change that can make it look like change has occurred when, in reality, change has not occurred.</w:t>
      </w:r>
      <w:r>
        <w:t xml:space="preserve"> </w:t>
      </w:r>
      <w:r>
        <w:t xml:space="preserve">Consider the difference between scores at two measurement occasions, a so called</w:t>
      </w:r>
      <w:r>
        <w:t xml:space="preserve"> </w:t>
      </w:r>
      <w:r>
        <w:t xml:space="preserve">“difference score”</w:t>
      </w:r>
      <w:r>
        <w:t xml:space="preserve">, which is a common way of examining change.</w:t>
      </w:r>
      <w:r>
        <w:t xml:space="preserve"> </w:t>
      </w:r>
      <w:r>
        <w:t xml:space="preserve">Difference scores are notoriously unreliable.</w:t>
      </w:r>
      <w:r>
        <w:t xml:space="preserve"> </w:t>
      </w:r>
      <w:r>
        <w:t xml:space="preserve">Difference scores tend to be lower in reliability than each of the indices that compose it, especially when the two indexes are correlated because differences depend on the reliability of both indices in the subtraction</w:t>
      </w:r>
      <w:r>
        <w:t xml:space="preserve"> </w:t>
      </w:r>
      <w:r>
        <w:t xml:space="preserve">(</w:t>
      </w:r>
      <w:hyperlink w:anchor="ref-Revelle2019">
        <w:r>
          <w:rPr>
            <w:rStyle w:val="Hyperlink"/>
          </w:rPr>
          <w:t xml:space="preserve">Revelle &amp; Condon, 2019</w:t>
        </w:r>
      </w:hyperlink>
      <w:r>
        <w:t xml:space="preserve">)</w:t>
      </w:r>
      <w:r>
        <w:t xml:space="preserve">.</w:t>
      </w:r>
      <w:r>
        <w:t xml:space="preserve"> </w:t>
      </w:r>
      <w:r>
        <w:t xml:space="preserve">To be reliable, difference scores require high reliability of the individual indices compared to the correlation between them.</w:t>
      </w:r>
      <w:r>
        <w:t xml:space="preserve"> </w:t>
      </w:r>
      <w:r>
        <w:t xml:space="preserve">That is, the more two things are the same thing, the more likely that subtracting one from the other leaves measurement error rather than construct variance.</w:t>
      </w:r>
      <w:r>
        <w:t xml:space="preserve"> </w:t>
      </w:r>
      <w:r>
        <w:t xml:space="preserve">Ways of accounting for (random) measurement error include (a) combining multiple measures in estimation of a latent variable and (b) using growth curve models with at least three timepoints to estimate model-implied trajectories and reduce the influence of occasion-specific random error.</w:t>
      </w:r>
    </w:p>
    <w:p>
      <w:pPr>
        <w:pStyle w:val="BodyText"/>
      </w:pPr>
      <w:r>
        <w:t xml:space="preserve">In general, the inference of change is strengthened to the extent that: (a) the magnitude of the difference between the scores at the time points is large (i.e., a large effect size), (b) the measurement error (unreliability) at each time point is small, (c) the measure has the same meaning and is on a comparable scale at each time point, and (d) evidence suggests that the differences across time are not likely to be due to potential confounds of change such as practice effects, cohort effects, period effects, or selective attrition.</w:t>
      </w:r>
    </w:p>
    <w:bookmarkEnd w:id="118"/>
    <w:bookmarkStart w:id="119" w:name="selective-missingness-and-attrition"/>
    <w:p>
      <w:pPr>
        <w:pStyle w:val="Heading3"/>
      </w:pPr>
      <w:r>
        <w:t xml:space="preserve">Selective Missingness and Attrition</w:t>
      </w:r>
    </w:p>
    <w:p>
      <w:pPr>
        <w:pStyle w:val="FirstParagraph"/>
      </w:pPr>
      <w:r>
        <w:t xml:space="preserve">Another potential confound of change is selective (or systematic) missingness or attrition.</w:t>
      </w:r>
      <w:r>
        <w:t xml:space="preserve"> </w:t>
      </w:r>
      <w:r>
        <w:t xml:space="preserve">If people who drop out of a longitudinal study differ in systematic ways from those who are retained, inferences about growth patterns and about associations with growth parameters can be biased.</w:t>
      </w:r>
      <w:r>
        <w:t xml:space="preserve"> </w:t>
      </w:r>
      <w:r>
        <w:t xml:space="preserve">Consider an intervention study with two groups: a treatment group that received a medication and a control group that received a placebo.</w:t>
      </w:r>
      <w:r>
        <w:t xml:space="preserve"> </w:t>
      </w:r>
      <w:r>
        <w:t xml:space="preserve">The control group showed a 30% reduction in externalizing problems, on average.</w:t>
      </w:r>
      <w:r>
        <w:t xml:space="preserve"> </w:t>
      </w:r>
      <w:r>
        <w:t xml:space="preserve">In the treatment group, some individuals showed a reduction in externalizing problems whereas others dropped out of the study due to side effects or worsening behavior.</w:t>
      </w:r>
      <w:r>
        <w:t xml:space="preserve"> </w:t>
      </w:r>
      <w:r>
        <w:t xml:space="preserve">If we analyzed only those who were followed until the end of the study, it might appear that the treatment was effective merely because we were excluding individuals for whom the treatment was harmful.</w:t>
      </w:r>
      <w:r>
        <w:t xml:space="preserve"> </w:t>
      </w:r>
      <w:r>
        <w:t xml:space="preserve">Thus, it is important to report the extent of missingness, whether missingness is systematically related to demographic and study variables, and to leverage modern approaches for handling missing data so one does not exclude participants in the analysis merely because they have missing data</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Multiple imputation and full information maximum likelihood are useful if data are missing at random or completely at random</w:t>
      </w:r>
      <w:r>
        <w:t xml:space="preserve"> </w:t>
      </w:r>
      <w:r>
        <w:t xml:space="preserve">(</w:t>
      </w:r>
      <w:hyperlink w:anchor="ref-Nicholson2017">
        <w:r>
          <w:rPr>
            <w:rStyle w:val="Hyperlink"/>
          </w:rPr>
          <w:t xml:space="preserve">Nicholson et al., 2017</w:t>
        </w:r>
      </w:hyperlink>
      <w:r>
        <w:t xml:space="preserve">)</w:t>
      </w:r>
      <w:r>
        <w:t xml:space="preserve">.</w:t>
      </w:r>
      <w:r>
        <w:t xml:space="preserve"> </w:t>
      </w:r>
      <w:r>
        <w:t xml:space="preserve">Enders</w:t>
      </w:r>
      <w:r>
        <w:t xml:space="preserve"> </w:t>
      </w:r>
      <w:r>
        <w:t xml:space="preserve">(</w:t>
      </w:r>
      <w:hyperlink w:anchor="ref-Enders2022">
        <w:r>
          <w:rPr>
            <w:rStyle w:val="Hyperlink"/>
          </w:rPr>
          <w:t xml:space="preserve">2022</w:t>
        </w:r>
      </w:hyperlink>
      <w:r>
        <w:t xml:space="preserve">,</w:t>
      </w:r>
      <w:r>
        <w:t xml:space="preserve"> </w:t>
      </w:r>
      <w:hyperlink w:anchor="ref-Enders2025">
        <w:r>
          <w:rPr>
            <w:rStyle w:val="Hyperlink"/>
          </w:rPr>
          <w:t xml:space="preserve">2025</w:t>
        </w:r>
      </w:hyperlink>
      <w:r>
        <w:t xml:space="preserve">)</w:t>
      </w:r>
      <w:r>
        <w:t xml:space="preserve"> </w:t>
      </w:r>
      <w:r>
        <w:t xml:space="preserve">provides contemporary guidelines for handling missing data, including when data are missing not at random using selection models and pattern mixture models—including in longitudinal studies</w:t>
      </w:r>
      <w:r>
        <w:t xml:space="preserve"> </w:t>
      </w:r>
      <w:r>
        <w:t xml:space="preserve">(</w:t>
      </w:r>
      <w:hyperlink w:anchor="ref-Enders2022">
        <w:r>
          <w:rPr>
            <w:rStyle w:val="Hyperlink"/>
          </w:rPr>
          <w:t xml:space="preserve">Enders, 2022</w:t>
        </w:r>
      </w:hyperlink>
      <w:r>
        <w:t xml:space="preserve">)</w:t>
      </w:r>
      <w:r>
        <w:t xml:space="preserve">.</w:t>
      </w:r>
      <w:r>
        <w:t xml:space="preserve"> </w:t>
      </w:r>
      <w:r>
        <w:t xml:space="preserve">Nicholson et al. (</w:t>
      </w:r>
      <w:hyperlink w:anchor="ref-Nicholson2017">
        <w:r>
          <w:rPr>
            <w:rStyle w:val="Hyperlink"/>
          </w:rPr>
          <w:t xml:space="preserve">2017</w:t>
        </w:r>
      </w:hyperlink>
      <w:r>
        <w:t xml:space="preserve">)</w:t>
      </w:r>
      <w:r>
        <w:t xml:space="preserve"> </w:t>
      </w:r>
      <w:r>
        <w:t xml:space="preserve">provides recommendations for reporting about attrition and missingness in longitudinal studies.</w:t>
      </w:r>
    </w:p>
    <w:bookmarkEnd w:id="119"/>
    <w:bookmarkStart w:id="120" w:name="change-in-meaning-of-the-scores"/>
    <w:p>
      <w:pPr>
        <w:pStyle w:val="Heading3"/>
      </w:pPr>
      <w:r>
        <w:t xml:space="preserve">Change in Meaning of the Scores</w:t>
      </w:r>
    </w:p>
    <w:p>
      <w:pPr>
        <w:pStyle w:val="FirstParagraph"/>
      </w:pPr>
      <w:r>
        <w:t xml:space="preserve">Another potential confound of change is if the same score has different meaning (with respect to the construct) at different points in development.</w:t>
      </w:r>
      <w:r>
        <w:t xml:space="preserve"> </w:t>
      </w:r>
      <w:r>
        <w:t xml:space="preserve">That is, the scores are not on the same number line across time—they do not have the same scale or location across ages.</w:t>
      </w:r>
      <w:r>
        <w:t xml:space="preserve"> </w:t>
      </w:r>
      <w:r>
        <w:t xml:space="preserve">If scores do not have the same scale or location across ages, any inferences about change (or lack thereof) could be incorrect.</w:t>
      </w:r>
      <w:r>
        <w:t xml:space="preserve"> </w:t>
      </w:r>
      <w:r>
        <w:t xml:space="preserve">Consider, for example, if a behavior such as physical aggression becomes more severe (i.e., higher difficulty) with age.</w:t>
      </w:r>
      <w:r>
        <w:t xml:space="preserve"> </w:t>
      </w:r>
      <w:r>
        <w:t xml:space="preserve">In this example, the same score—i.e., endorsement of physical aggression—would reflect a higher level externalizing behavior in adulthood compared to early childhood.</w:t>
      </w:r>
      <w:r>
        <w:t xml:space="preserve"> </w:t>
      </w:r>
      <w:r>
        <w:t xml:space="preserve">Or, consider if a behavior such as disobedience becomes less construct-valid (i.e., lower discrimination) with age.</w:t>
      </w:r>
      <w:r>
        <w:t xml:space="preserve"> </w:t>
      </w:r>
      <w:r>
        <w:t xml:space="preserve">In this example, the same score difference—i.e., between endorsement (1) versus non-endorsement (0) of disobedience to authority—would reflect a greater difference in the level of externalizing behavior in early childhood compared to adulthood.</w:t>
      </w:r>
      <w:r>
        <w:t xml:space="preserve"> </w:t>
      </w:r>
      <w:r>
        <w:t xml:space="preserve">Thus, it is important to consider and account for changes in the meaning of scores across development.</w:t>
      </w:r>
      <w:r>
        <w:t xml:space="preserve"> </w:t>
      </w:r>
      <w:r>
        <w:t xml:space="preserve">Next, we describe longitudinal factorial invariance as a way to evaluate—and account for—the possibility that scores have changed in meaning across ages.</w:t>
      </w:r>
    </w:p>
    <w:bookmarkEnd w:id="120"/>
    <w:bookmarkEnd w:id="121"/>
    <w:bookmarkStart w:id="123"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22"/>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may be necessary to find ways to accommodate or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may be too strong.</w:t>
      </w:r>
      <w:r>
        <w:t xml:space="preserve"> </w:t>
      </w:r>
      <w:r>
        <w:t xml:space="preserve">Researchers have argued that, in many cases, establishing factorial invariance may be unnecessary to compare latent means</w:t>
      </w:r>
      <w:r>
        <w:t xml:space="preserve"> </w:t>
      </w:r>
      <w:r>
        <w:t xml:space="preserve">(</w:t>
      </w:r>
      <w:hyperlink w:anchor="ref-DeLosReyes2025">
        <w:r>
          <w:rPr>
            <w:rStyle w:val="Hyperlink"/>
          </w:rPr>
          <w:t xml:space="preserve">De Los Reyes et al., 2025</w:t>
        </w:r>
      </w:hyperlink>
      <w:r>
        <w:t xml:space="preserve">;</w:t>
      </w:r>
      <w:r>
        <w:t xml:space="preserve"> </w:t>
      </w:r>
      <w:hyperlink w:anchor="ref-Funder2024">
        <w:r>
          <w:rPr>
            <w:rStyle w:val="Hyperlink"/>
          </w:rPr>
          <w:t xml:space="preserve">Funder &amp; Gardiner, 2024</w:t>
        </w:r>
      </w:hyperlink>
      <w:r>
        <w:t xml:space="preserve">;</w:t>
      </w:r>
      <w:r>
        <w:t xml:space="preserve"> </w:t>
      </w:r>
      <w:hyperlink w:anchor="ref-QuantitudeS3E18">
        <w:r>
          <w:rPr>
            <w:rStyle w:val="Hyperlink"/>
          </w:rPr>
          <w:t xml:space="preserve">Hancock &amp; Curran, 2022</w:t>
        </w:r>
      </w:hyperlink>
      <w:r>
        <w:t xml:space="preserve">;</w:t>
      </w:r>
      <w:r>
        <w:t xml:space="preserve"> </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 </w:t>
      </w:r>
      <w:hyperlink w:anchor="ref-Robitzsch2023">
        <w:r>
          <w:rPr>
            <w:rStyle w:val="Hyperlink"/>
          </w:rPr>
          <w:t xml:space="preserve">Robitzsch &amp; Lüdtke, 2023</w:t>
        </w:r>
      </w:hyperlink>
      <w:r>
        <w:t xml:space="preserve">;</w:t>
      </w:r>
      <w:r>
        <w:t xml:space="preserve"> </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Indeed, failed longitudinal invariance can be an artifact of differing means across groups/time rather than bias or differences in the functioning of the measure</w:t>
      </w:r>
      <w:r>
        <w:t xml:space="preserve"> </w:t>
      </w:r>
      <w:r>
        <w:t xml:space="preserve">(</w:t>
      </w:r>
      <w:hyperlink w:anchor="ref-Welzel2023a">
        <w:r>
          <w:rPr>
            <w:rStyle w:val="Hyperlink"/>
          </w:rPr>
          <w:t xml:space="preserve">Welzel, Brunkert, et al., 2023</w:t>
        </w:r>
      </w:hyperlink>
      <w:r>
        <w:t xml:space="preserve">;</w:t>
      </w:r>
      <w:r>
        <w:t xml:space="preserve"> </w:t>
      </w:r>
      <w:hyperlink w:anchor="ref-Welzel2023b">
        <w:r>
          <w:rPr>
            <w:rStyle w:val="Hyperlink"/>
          </w:rPr>
          <w:t xml:space="preserve">Welzel, Kruse, et al., 2023</w:t>
        </w:r>
      </w:hyperlink>
      <w:r>
        <w:t xml:space="preserve">)</w:t>
      </w:r>
      <w:r>
        <w:t xml:space="preserv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p>
    <w:p>
      <w:pPr>
        <w:pStyle w:val="BodyText"/>
      </w:pPr>
      <w:r>
        <w:t xml:space="preserve">When a construct demonstrates heterotypic continuity, longitudinal factorial invariance would not necessarily be expected because the construct’s factor structure, by definition, changes with development</w:t>
      </w:r>
      <w:r>
        <w:t xml:space="preserve"> </w:t>
      </w:r>
      <w:r>
        <w:t xml:space="preserve">(</w:t>
      </w:r>
      <w:hyperlink w:anchor="ref-Petersen2020">
        <w:r>
          <w:rPr>
            <w:rStyle w:val="Hyperlink"/>
          </w:rPr>
          <w:t xml:space="preserve">Petersen et al., 2020</w:t>
        </w:r>
      </w:hyperlink>
      <w:r>
        <w:t xml:space="preserve">)</w:t>
      </w:r>
      <w:r>
        <w:t xml:space="preserve">.</w:t>
      </w:r>
      <w:r>
        <w:t xml:space="preserve"> </w:t>
      </w:r>
      <w:r>
        <w:t xml:space="preserve">That is, noninvariances across development can be expected by theory</w:t>
      </w:r>
      <w:r>
        <w:t xml:space="preserve"> </w:t>
      </w:r>
      <w:r>
        <w:t xml:space="preserve">(</w:t>
      </w:r>
      <w:hyperlink w:anchor="ref-Sterner2026">
        <w:r>
          <w:rPr>
            <w:rStyle w:val="Hyperlink"/>
          </w:rPr>
          <w:t xml:space="preserve">Sterner et al., 2026</w:t>
        </w:r>
      </w:hyperlink>
      <w:r>
        <w:t xml:space="preserve">)</w:t>
      </w:r>
      <w:r>
        <w:t xml:space="preserve">.</w:t>
      </w:r>
      <w:r>
        <w:t xml:space="preserve"> </w:t>
      </w:r>
      <w:r>
        <w:t xml:space="preserve">As a result, 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As noted by Millsap</w:t>
      </w:r>
      <w:r>
        <w:t xml:space="preserve"> </w:t>
      </w:r>
      <w:r>
        <w:t xml:space="preserve">(</w:t>
      </w:r>
      <w:hyperlink w:anchor="ref-Millsap2011">
        <w:r>
          <w:rPr>
            <w:rStyle w:val="Hyperlink"/>
          </w:rPr>
          <w:t xml:space="preserve">2011, p. 1</w:t>
        </w:r>
      </w:hyperlink>
      <w:r>
        <w:t xml:space="preserve">)</w:t>
      </w:r>
      <w:r>
        <w:t xml:space="preserve">,</w:t>
      </w:r>
      <w:r>
        <w:t xml:space="preserve"> </w:t>
      </w:r>
      <w:r>
        <w:t xml:space="preserve">“Measurement invariance is built on the notion that a measuring device should function in the same way across varied conditions,</w:t>
      </w:r>
      <w:r>
        <w:t xml:space="preserve"> </w:t>
      </w:r>
      <w:r>
        <w:rPr>
          <w:i/>
          <w:iCs/>
        </w:rPr>
        <w:t xml:space="preserve">so long as those varied conditions are irrelevant to the attribute being measured</w:t>
      </w:r>
      <w:r>
        <w:t xml:space="preserve">”</w:t>
      </w:r>
      <w:r>
        <w:t xml:space="preserve"> </w:t>
      </w:r>
      <w:r>
        <w:t xml:space="preserve">(emphasis added).</w:t>
      </w:r>
      <w:r>
        <w:t xml:space="preserve"> </w:t>
      </w:r>
      <w:r>
        <w:t xml:space="preserve">However, age/development would not be considered irrelevant to psychopathology.</w:t>
      </w:r>
      <w:r>
        <w:t xml:space="preserve"> </w:t>
      </w:r>
      <w:r>
        <w:t xml:space="preserve">As described earlier, externalizing (antisocial) behavior is considered to demonstrate heterotypic continuity; thus, longitudinal factorial</w:t>
      </w:r>
      <w:r>
        <w:t xml:space="preserve"> </w:t>
      </w:r>
      <w:r>
        <w:rPr>
          <w:i/>
          <w:iCs/>
        </w:rPr>
        <w:t xml:space="preserve">noninvariance</w:t>
      </w:r>
      <w:r>
        <w:t xml:space="preserve"> </w:t>
      </w:r>
      <w:r>
        <w:t xml:space="preserve">for measures assessing the development of externalizing behavior may be expected.</w:t>
      </w:r>
      <w:r>
        <w:t xml:space="preserve"> </w:t>
      </w:r>
      <w:r>
        <w:t xml:space="preserve">As noted by De Los Reyes et al.</w:t>
      </w:r>
      <w:r>
        <w:t xml:space="preserve"> </w:t>
      </w:r>
      <w:r>
        <w:t xml:space="preserve">(</w:t>
      </w:r>
      <w:hyperlink w:anchor="ref-DeLosReyes2025">
        <w:r>
          <w:rPr>
            <w:rStyle w:val="Hyperlink"/>
          </w:rPr>
          <w:t xml:space="preserve">2025, p. 301</w:t>
        </w:r>
      </w:hyperlink>
      <w:r>
        <w:t xml:space="preserve">)</w:t>
      </w:r>
      <w:r>
        <w:t xml:space="preserve">,</w:t>
      </w:r>
      <w:r>
        <w:t xml:space="preserve"> </w:t>
      </w:r>
      <w:r>
        <w:t xml:space="preserve">“developmental variations in antisocial behavior are unlikely to reflect confounds or biases in measurement.”</w:t>
      </w:r>
      <w:r>
        <w:t xml:space="preserve"> </w:t>
      </w:r>
      <w:r>
        <w:t xml:space="preserve">They characterize such tests of invariance across development—in which the conditions (age) are relevant to the construct of interest—as a questionable research practice, noting,</w:t>
      </w:r>
      <w:r>
        <w:t xml:space="preserve"> </w:t>
      </w:r>
      <w:r>
        <w:t xml:space="preserve">“To be justified in testing measurement invariance [across ages], one would have to assume that when systematic differences manifest between ratings…for younger versus older youth, they cannot possibly reflect anything valid.</w:t>
      </w:r>
      <w:r>
        <w:t xml:space="preserve"> </w:t>
      </w:r>
      <w:r>
        <w:t xml:space="preserve">For a scholar to make such an assumption, they must again ignore decades of theory and research in developmental psychopathology.”</w:t>
      </w:r>
      <w:r>
        <w:t xml:space="preserve"> </w:t>
      </w:r>
      <w:r>
        <w:t xml:space="preserve">Moreover, removing noninvariant items is not recommended if the item retains construct validity</w:t>
      </w:r>
      <w:r>
        <w:t xml:space="preserve"> </w:t>
      </w:r>
      <w:r>
        <w:t xml:space="preserve">(</w:t>
      </w:r>
      <w:hyperlink w:anchor="ref-DeLosReyes2025">
        <w:r>
          <w:rPr>
            <w:rStyle w:val="Hyperlink"/>
          </w:rPr>
          <w:t xml:space="preserve">De Los Reyes et al., 2025</w:t>
        </w:r>
      </w:hyperlink>
      <w:r>
        <w:t xml:space="preserve">;</w:t>
      </w:r>
      <w:r>
        <w:t xml:space="preserve"> </w:t>
      </w:r>
      <w:hyperlink w:anchor="ref-Knight2010">
        <w:r>
          <w:rPr>
            <w:rStyle w:val="Hyperlink"/>
          </w:rPr>
          <w:t xml:space="preserve">Knight &amp; Zerr, 2010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p>
      <w:pPr>
        <w:pStyle w:val="FirstParagraph"/>
      </w:pPr>
      <w:r>
        <w:t xml:space="preserve">Another challenge is that questionniare items—whether the particular wording or the behavior itself—can become obsolete and irrelevant with secular changes.</w:t>
      </w:r>
      <w:r>
        <w:t xml:space="preserve"> </w:t>
      </w:r>
      <w:r>
        <w:t xml:space="preserve">For instance, due to technological changes, items focused on television use—without considering other forms of screen use—may miss important contemporary screen-related use.</w:t>
      </w:r>
      <w:r>
        <w:t xml:space="preserve"> </w:t>
      </w:r>
      <w:r>
        <w:t xml:space="preserve">Additionally, ways people use substances change over historical time.</w:t>
      </w:r>
      <w:r>
        <w:t xml:space="preserve"> </w:t>
      </w:r>
      <w:r>
        <w:t xml:space="preserve">For instance, vaping is a more contemporary way that many adolescents use nicotine.</w:t>
      </w:r>
      <w:r>
        <w:t xml:space="preserve"> </w:t>
      </w:r>
      <w:r>
        <w:t xml:space="preserve">The ways aggressive behavior manifests also changes across historical time.</w:t>
      </w:r>
      <w:r>
        <w:t xml:space="preserve"> </w:t>
      </w:r>
      <w:r>
        <w:t xml:space="preserve">Items focused on physical aggression would miss important contemporary manifestations of aggression, including cyberaggression, cyberbullying, online harassment, aggression on social media (e.g., exclusion).</w:t>
      </w:r>
      <w:r>
        <w:t xml:space="preserve"> </w:t>
      </w:r>
      <w:r>
        <w:t xml:space="preserve">In sum, it is important to keep items relevant for current use, and that naturally means changing item content and/or wording across historical time, a further reason why linking of scores (given differing item content) is crucial.</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403" w:name="references"/>
    <w:p>
      <w:pPr>
        <w:pStyle w:val="Heading1"/>
      </w:pPr>
      <w:r>
        <w:t xml:space="preserve">References</w:t>
      </w:r>
    </w:p>
    <w:bookmarkStart w:id="402" w:name="refs"/>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2: Testing and Assessment in Clinical and Counseling Psychology</w:t>
      </w:r>
      <w:r>
        <w:t xml:space="preserve"> </w:t>
      </w:r>
      <w:r>
        <w:t xml:space="preserve">(pp. 119–132). American Psychological Association.</w:t>
      </w:r>
      <w:r>
        <w:t xml:space="preserve"> </w:t>
      </w:r>
      <w:hyperlink r:id="rId128">
        <w:r>
          <w:rPr>
            <w:rStyle w:val="Hyperlink"/>
          </w:rPr>
          <w:t xml:space="preserve">https://doi.org/10.1037/14048-008</w:t>
        </w:r>
      </w:hyperlink>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Averdijk2014"/>
    <w:p>
      <w:pPr>
        <w:pStyle w:val="Bibliography"/>
      </w:pPr>
      <w:r>
        <w:t xml:space="preserve">Averdijk, M. (2014). Methodological challenges in the study of age−victimization patterns. Can we use the accelerated design of the NCVS to reconstruct victim careers?</w:t>
      </w:r>
      <w:r>
        <w:t xml:space="preserve"> </w:t>
      </w:r>
      <w:r>
        <w:rPr>
          <w:i/>
          <w:iCs/>
        </w:rPr>
        <w:t xml:space="preserve">International Review of Victimology</w:t>
      </w:r>
      <w:r>
        <w:t xml:space="preserve">,</w:t>
      </w:r>
      <w:r>
        <w:t xml:space="preserve"> </w:t>
      </w:r>
      <w:r>
        <w:rPr>
          <w:i/>
          <w:iCs/>
        </w:rPr>
        <w:t xml:space="preserve">20</w:t>
      </w:r>
      <w:r>
        <w:t xml:space="preserve">(3), 265–288.</w:t>
      </w:r>
      <w:r>
        <w:t xml:space="preserve"> </w:t>
      </w:r>
      <w:hyperlink r:id="rId133">
        <w:r>
          <w:rPr>
            <w:rStyle w:val="Hyperlink"/>
          </w:rPr>
          <w:t xml:space="preserve">https://doi.org/10.1177/0269758014537147</w:t>
        </w:r>
      </w:hyperlink>
    </w:p>
    <w:bookmarkEnd w:id="134"/>
    <w:bookmarkStart w:id="136"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5">
        <w:r>
          <w:rPr>
            <w:rStyle w:val="Hyperlink"/>
          </w:rPr>
          <w:t xml:space="preserve">https://doi.org/10.1016/j.jpsychires.2013.08.016</w:t>
        </w:r>
      </w:hyperlink>
    </w:p>
    <w:bookmarkEnd w:id="136"/>
    <w:bookmarkStart w:id="138"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37">
        <w:r>
          <w:rPr>
            <w:rStyle w:val="Hyperlink"/>
          </w:rPr>
          <w:t xml:space="preserve">https://doi.org/10.1037/met0000077</w:t>
        </w:r>
      </w:hyperlink>
    </w:p>
    <w:bookmarkEnd w:id="138"/>
    <w:bookmarkStart w:id="140"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39">
        <w:r>
          <w:rPr>
            <w:rStyle w:val="Hyperlink"/>
          </w:rPr>
          <w:t xml:space="preserve">https://doi.org/10.1111/jcpp.70057</w:t>
        </w:r>
      </w:hyperlink>
    </w:p>
    <w:bookmarkEnd w:id="140"/>
    <w:bookmarkStart w:id="142"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41">
        <w:r>
          <w:rPr>
            <w:rStyle w:val="Hyperlink"/>
          </w:rPr>
          <w:t xml:space="preserve">https://doi.org/10.1017/S0954579423001505</w:t>
        </w:r>
      </w:hyperlink>
    </w:p>
    <w:bookmarkEnd w:id="142"/>
    <w:bookmarkStart w:id="144"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43">
        <w:r>
          <w:rPr>
            <w:rStyle w:val="Hyperlink"/>
          </w:rPr>
          <w:t xml:space="preserve">https://doi.org/10.1016/j.jaac.2017.05.019</w:t>
        </w:r>
      </w:hyperlink>
    </w:p>
    <w:bookmarkEnd w:id="144"/>
    <w:bookmarkStart w:id="146"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45">
        <w:r>
          <w:rPr>
            <w:rStyle w:val="Hyperlink"/>
          </w:rPr>
          <w:t xml:space="preserve">https://doi.org/10.1111/j.1467-8624.2004.00755.x</w:t>
        </w:r>
      </w:hyperlink>
    </w:p>
    <w:bookmarkEnd w:id="146"/>
    <w:bookmarkStart w:id="14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1: Theory and Method</w:t>
      </w:r>
      <w:r>
        <w:t xml:space="preserve"> </w:t>
      </w:r>
      <w:r>
        <w:t xml:space="preserve">(pp. 1–45).</w:t>
      </w:r>
      <w:r>
        <w:t xml:space="preserve"> </w:t>
      </w:r>
      <w:hyperlink r:id="rId147">
        <w:r>
          <w:rPr>
            <w:rStyle w:val="Hyperlink"/>
          </w:rPr>
          <w:t xml:space="preserve">https://doi.org/10.1002/9781119125556.devpsy101</w:t>
        </w:r>
      </w:hyperlink>
    </w:p>
    <w:bookmarkEnd w:id="148"/>
    <w:bookmarkStart w:id="15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49">
        <w:r>
          <w:rPr>
            <w:rStyle w:val="Hyperlink"/>
          </w:rPr>
          <w:t xml:space="preserve">https://doi.org/10.1007/s10802-012-9669-9</w:t>
        </w:r>
      </w:hyperlink>
    </w:p>
    <w:bookmarkEnd w:id="150"/>
    <w:bookmarkStart w:id="152"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51">
        <w:r>
          <w:rPr>
            <w:rStyle w:val="Hyperlink"/>
          </w:rPr>
          <w:t xml:space="preserve">https://doi.org/10.1037/0012-1649.39.2.222</w:t>
        </w:r>
      </w:hyperlink>
    </w:p>
    <w:bookmarkEnd w:id="152"/>
    <w:bookmarkStart w:id="154"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53">
        <w:r>
          <w:rPr>
            <w:rStyle w:val="Hyperlink"/>
          </w:rPr>
          <w:t xml:space="preserve">https://doi.org/10.1027/1015-5759.17.1.25</w:t>
        </w:r>
      </w:hyperlink>
    </w:p>
    <w:bookmarkEnd w:id="154"/>
    <w:bookmarkStart w:id="156"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55">
        <w:r>
          <w:rPr>
            <w:rStyle w:val="Hyperlink"/>
          </w:rPr>
          <w:t xml:space="preserve">https://doi.org/10.1016/j.cpr.2012.02.006</w:t>
        </w:r>
      </w:hyperlink>
    </w:p>
    <w:bookmarkEnd w:id="156"/>
    <w:bookmarkStart w:id="158"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57">
        <w:r>
          <w:rPr>
            <w:rStyle w:val="Hyperlink"/>
          </w:rPr>
          <w:t xml:space="preserve">https://doi.org/10.1001/jamanetworkopen.2020.3221</w:t>
        </w:r>
      </w:hyperlink>
    </w:p>
    <w:bookmarkEnd w:id="158"/>
    <w:bookmarkStart w:id="160"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59">
        <w:r>
          <w:rPr>
            <w:rStyle w:val="Hyperlink"/>
          </w:rPr>
          <w:t xml:space="preserve">https://doi.org/10.1177/2167702613497473</w:t>
        </w:r>
      </w:hyperlink>
    </w:p>
    <w:bookmarkEnd w:id="160"/>
    <w:bookmarkStart w:id="16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61">
        <w:r>
          <w:rPr>
            <w:rStyle w:val="Hyperlink"/>
          </w:rPr>
          <w:t xml:space="preserve">https://doi.org/10.1002/9780470147658.chpsy0306</w:t>
        </w:r>
      </w:hyperlink>
    </w:p>
    <w:bookmarkEnd w:id="162"/>
    <w:bookmarkStart w:id="16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63">
        <w:r>
          <w:rPr>
            <w:rStyle w:val="Hyperlink"/>
          </w:rPr>
          <w:t xml:space="preserve">https://doi.org/10.1007/s40865-015-0012-3</w:t>
        </w:r>
      </w:hyperlink>
    </w:p>
    <w:bookmarkEnd w:id="164"/>
    <w:bookmarkStart w:id="16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65">
        <w:r>
          <w:rPr>
            <w:rStyle w:val="Hyperlink"/>
          </w:rPr>
          <w:t xml:space="preserve">https://doi.org/10.1080/00273171.2026.2640576</w:t>
        </w:r>
      </w:hyperlink>
    </w:p>
    <w:bookmarkEnd w:id="166"/>
    <w:bookmarkStart w:id="16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67">
        <w:r>
          <w:rPr>
            <w:rStyle w:val="Hyperlink"/>
          </w:rPr>
          <w:t xml:space="preserve">https://doi.org/10.1037/met0000685</w:t>
        </w:r>
      </w:hyperlink>
    </w:p>
    <w:bookmarkEnd w:id="168"/>
    <w:bookmarkStart w:id="17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69">
        <w:r>
          <w:rPr>
            <w:rStyle w:val="Hyperlink"/>
          </w:rPr>
          <w:t xml:space="preserve">https://doi.org/10.14283/jfa.2012.9</w:t>
        </w:r>
      </w:hyperlink>
    </w:p>
    <w:bookmarkEnd w:id="170"/>
    <w:bookmarkStart w:id="17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71">
        <w:r>
          <w:rPr>
            <w:rStyle w:val="Hyperlink"/>
          </w:rPr>
          <w:t xml:space="preserve">https://doi.org/10.1037/0022-006X.70.1.6</w:t>
        </w:r>
      </w:hyperlink>
    </w:p>
    <w:bookmarkEnd w:id="172"/>
    <w:bookmarkStart w:id="174"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73">
        <w:r>
          <w:rPr>
            <w:rStyle w:val="Hyperlink"/>
          </w:rPr>
          <w:t xml:space="preserve">https://doi.org/10.3389/fpsyg.2014.00982</w:t>
        </w:r>
      </w:hyperlink>
    </w:p>
    <w:bookmarkEnd w:id="174"/>
    <w:bookmarkStart w:id="176"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75">
        <w:r>
          <w:rPr>
            <w:rStyle w:val="Hyperlink"/>
          </w:rPr>
          <w:t xml:space="preserve">https://doi.org/10.1111/j.1469-7610.2011.02511.x</w:t>
        </w:r>
      </w:hyperlink>
    </w:p>
    <w:bookmarkEnd w:id="176"/>
    <w:bookmarkStart w:id="178"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77">
        <w:r>
          <w:rPr>
            <w:rStyle w:val="Hyperlink"/>
          </w:rPr>
          <w:t xml:space="preserve">https://doi.org/10.1177/0146621612470210</w:t>
        </w:r>
      </w:hyperlink>
    </w:p>
    <w:bookmarkEnd w:id="178"/>
    <w:bookmarkStart w:id="180"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79">
        <w:r>
          <w:rPr>
            <w:rStyle w:val="Hyperlink"/>
          </w:rPr>
          <w:t xml:space="preserve">https://doi.org/10.1080/00273171.2014.889594</w:t>
        </w:r>
      </w:hyperlink>
    </w:p>
    <w:bookmarkEnd w:id="180"/>
    <w:bookmarkStart w:id="182"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1">
        <w:r>
          <w:rPr>
            <w:rStyle w:val="Hyperlink"/>
          </w:rPr>
          <w:t xml:space="preserve">https://doi.org/10.1037/abn0001084</w:t>
        </w:r>
      </w:hyperlink>
    </w:p>
    <w:bookmarkEnd w:id="182"/>
    <w:bookmarkStart w:id="184" w:name="ref-DeLosReyes2025"/>
    <w:p>
      <w:pPr>
        <w:pStyle w:val="Bibliography"/>
      </w:pPr>
      <w:r>
        <w:t xml:space="preserve">De Los Reyes, A., L., O. F., J., R. S., Armando, P., D., M. B., Mo, W., &amp; Charamut, N. R. and. (2025). Editorial: Fairness, validity, and transparency in what researchers assume when testing for measurement invariance.</w:t>
      </w:r>
      <w:r>
        <w:t xml:space="preserve"> </w:t>
      </w:r>
      <w:r>
        <w:rPr>
          <w:i/>
          <w:iCs/>
        </w:rPr>
        <w:t xml:space="preserve">Journal of Clinical Child &amp; Adolescent Psychology</w:t>
      </w:r>
      <w:r>
        <w:t xml:space="preserve">,</w:t>
      </w:r>
      <w:r>
        <w:t xml:space="preserve"> </w:t>
      </w:r>
      <w:r>
        <w:rPr>
          <w:i/>
          <w:iCs/>
        </w:rPr>
        <w:t xml:space="preserve">54</w:t>
      </w:r>
      <w:r>
        <w:t xml:space="preserve">(3), 299–317.</w:t>
      </w:r>
      <w:r>
        <w:t xml:space="preserve"> </w:t>
      </w:r>
      <w:hyperlink r:id="rId183">
        <w:r>
          <w:rPr>
            <w:rStyle w:val="Hyperlink"/>
          </w:rPr>
          <w:t xml:space="preserve">https://doi.org/10.1080/15374416.2025.2484813</w:t>
        </w:r>
      </w:hyperlink>
    </w:p>
    <w:bookmarkEnd w:id="184"/>
    <w:bookmarkStart w:id="186"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85">
        <w:r>
          <w:rPr>
            <w:rStyle w:val="Hyperlink"/>
          </w:rPr>
          <w:t xml:space="preserve">https://doi.org/10.1126/science.2270481</w:t>
        </w:r>
      </w:hyperlink>
    </w:p>
    <w:bookmarkEnd w:id="186"/>
    <w:bookmarkStart w:id="188"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187">
        <w:r>
          <w:rPr>
            <w:rStyle w:val="Hyperlink"/>
          </w:rPr>
          <w:t xml:space="preserve">https://doi.org/10.1108/978-1-61735-891-320251015</w:t>
        </w:r>
      </w:hyperlink>
    </w:p>
    <w:bookmarkEnd w:id="188"/>
    <w:bookmarkStart w:id="190"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89">
        <w:r>
          <w:rPr>
            <w:rStyle w:val="Hyperlink"/>
          </w:rPr>
          <w:t xml:space="preserve">https://doi.org/10.2307/2095245</w:t>
        </w:r>
      </w:hyperlink>
    </w:p>
    <w:bookmarkEnd w:id="190"/>
    <w:bookmarkStart w:id="191" w:name="ref-Enders2022"/>
    <w:p>
      <w:pPr>
        <w:pStyle w:val="Bibliography"/>
      </w:pPr>
      <w:r>
        <w:t xml:space="preserve">Enders, C. K. (2022).</w:t>
      </w:r>
      <w:r>
        <w:t xml:space="preserve"> </w:t>
      </w:r>
      <w:r>
        <w:rPr>
          <w:i/>
          <w:iCs/>
        </w:rPr>
        <w:t xml:space="preserve">Applied missing data analysis</w:t>
      </w:r>
      <w:r>
        <w:t xml:space="preserve">. Guilford Publications.</w:t>
      </w:r>
    </w:p>
    <w:bookmarkEnd w:id="191"/>
    <w:bookmarkStart w:id="193" w:name="ref-Enders2025"/>
    <w:p>
      <w:pPr>
        <w:pStyle w:val="Bibliography"/>
      </w:pPr>
      <w:r>
        <w:t xml:space="preserve">Enders, C. K. (2025). Missing data: An update on the state of the art.</w:t>
      </w:r>
      <w:r>
        <w:t xml:space="preserve"> </w:t>
      </w:r>
      <w:r>
        <w:rPr>
          <w:i/>
          <w:iCs/>
        </w:rPr>
        <w:t xml:space="preserve">Psychological Methods</w:t>
      </w:r>
      <w:r>
        <w:t xml:space="preserve">,</w:t>
      </w:r>
      <w:r>
        <w:t xml:space="preserve"> </w:t>
      </w:r>
      <w:r>
        <w:rPr>
          <w:i/>
          <w:iCs/>
        </w:rPr>
        <w:t xml:space="preserve">30</w:t>
      </w:r>
      <w:r>
        <w:t xml:space="preserve">(2), 322–339.</w:t>
      </w:r>
      <w:r>
        <w:t xml:space="preserve"> </w:t>
      </w:r>
      <w:hyperlink r:id="rId192">
        <w:r>
          <w:rPr>
            <w:rStyle w:val="Hyperlink"/>
          </w:rPr>
          <w:t xml:space="preserve">https://doi.org/10.1037/met0000563</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196">
        <w:r>
          <w:rPr>
            <w:rStyle w:val="Hyperlink"/>
          </w:rPr>
          <w:t xml:space="preserve">https://doi.org/10.1007/978-1-0716-3335-9_5</w:t>
        </w:r>
      </w:hyperlink>
    </w:p>
    <w:bookmarkEnd w:id="197"/>
    <w:bookmarkStart w:id="199" w:name="ref-Ferrer2004"/>
    <w:p>
      <w:pPr>
        <w:pStyle w:val="Bibliography"/>
      </w:pPr>
      <w:r>
        <w:t xml:space="preserve">Ferrer, E., Salthouse, T. A., Stewart, W. F., &amp; Schwartz, B. S. (2004). Modeling age and retest processes in longitudinal studies of cognitive abilities.</w:t>
      </w:r>
      <w:r>
        <w:t xml:space="preserve"> </w:t>
      </w:r>
      <w:r>
        <w:rPr>
          <w:i/>
          <w:iCs/>
        </w:rPr>
        <w:t xml:space="preserve">Psychology and Aging</w:t>
      </w:r>
      <w:r>
        <w:t xml:space="preserve">,</w:t>
      </w:r>
      <w:r>
        <w:t xml:space="preserve"> </w:t>
      </w:r>
      <w:r>
        <w:rPr>
          <w:i/>
          <w:iCs/>
        </w:rPr>
        <w:t xml:space="preserve">19</w:t>
      </w:r>
      <w:r>
        <w:t xml:space="preserve">(2), 243–259.</w:t>
      </w:r>
      <w:r>
        <w:t xml:space="preserve"> </w:t>
      </w:r>
      <w:hyperlink r:id="rId198">
        <w:r>
          <w:rPr>
            <w:rStyle w:val="Hyperlink"/>
          </w:rPr>
          <w:t xml:space="preserve">https://doi.org/10.1037/0882-7974.19.2.243</w:t>
        </w:r>
      </w:hyperlink>
    </w:p>
    <w:bookmarkEnd w:id="199"/>
    <w:bookmarkStart w:id="201"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0">
        <w:r>
          <w:rPr>
            <w:rStyle w:val="Hyperlink"/>
          </w:rPr>
          <w:t xml:space="preserve">https://doi.org/10.1017/S0954579416000651</w:t>
        </w:r>
      </w:hyperlink>
    </w:p>
    <w:bookmarkEnd w:id="201"/>
    <w:bookmarkStart w:id="203" w:name="ref-Funder2024"/>
    <w:p>
      <w:pPr>
        <w:pStyle w:val="Bibliography"/>
      </w:pPr>
      <w:r>
        <w:t xml:space="preserve">Funder, D. C., &amp; Gardiner, G. (2024). MIsgivings about measurement invariance.</w:t>
      </w:r>
      <w:r>
        <w:t xml:space="preserve"> </w:t>
      </w:r>
      <w:r>
        <w:rPr>
          <w:i/>
          <w:iCs/>
        </w:rPr>
        <w:t xml:space="preserve">European Journal of Personality</w:t>
      </w:r>
      <w:r>
        <w:t xml:space="preserve">,</w:t>
      </w:r>
      <w:r>
        <w:t xml:space="preserve"> </w:t>
      </w:r>
      <w:r>
        <w:rPr>
          <w:i/>
          <w:iCs/>
        </w:rPr>
        <w:t xml:space="preserve">38</w:t>
      </w:r>
      <w:r>
        <w:t xml:space="preserve">(6), 889–895.</w:t>
      </w:r>
      <w:r>
        <w:t xml:space="preserve"> </w:t>
      </w:r>
      <w:hyperlink r:id="rId202">
        <w:r>
          <w:rPr>
            <w:rStyle w:val="Hyperlink"/>
          </w:rPr>
          <w:t xml:space="preserve">https://doi.org/10.1177/08902070241228338</w:t>
        </w:r>
      </w:hyperlink>
    </w:p>
    <w:bookmarkEnd w:id="203"/>
    <w:bookmarkStart w:id="204"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04"/>
    <w:bookmarkStart w:id="206"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5">
        <w:r>
          <w:rPr>
            <w:rStyle w:val="Hyperlink"/>
          </w:rPr>
          <w:t xml:space="preserve">https://doi.org/10.1007/s00234-020-02562-1</w:t>
        </w:r>
      </w:hyperlink>
    </w:p>
    <w:bookmarkEnd w:id="206"/>
    <w:bookmarkStart w:id="208"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7">
        <w:r>
          <w:rPr>
            <w:rStyle w:val="Hyperlink"/>
          </w:rPr>
          <w:t xml:space="preserve">https://doi.org/10.1017/S0954579421001772</w:t>
        </w:r>
      </w:hyperlink>
    </w:p>
    <w:bookmarkEnd w:id="208"/>
    <w:bookmarkStart w:id="210"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9">
        <w:r>
          <w:rPr>
            <w:rStyle w:val="Hyperlink"/>
          </w:rPr>
          <w:t xml:space="preserve">https://doi.org/10.1378/chest.116.5.1208</w:t>
        </w:r>
      </w:hyperlink>
    </w:p>
    <w:bookmarkEnd w:id="210"/>
    <w:bookmarkStart w:id="212"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1">
        <w:r>
          <w:rPr>
            <w:rStyle w:val="Hyperlink"/>
          </w:rPr>
          <w:t xml:space="preserve">https://doi.org/10.22237/jmasm/1209614640</w:t>
        </w:r>
      </w:hyperlink>
    </w:p>
    <w:bookmarkEnd w:id="212"/>
    <w:bookmarkStart w:id="214" w:name="ref-QuantitudeS3E18"/>
    <w:p>
      <w:pPr>
        <w:pStyle w:val="Bibliography"/>
      </w:pPr>
      <w:r>
        <w:t xml:space="preserve">Hancock, G. R., &amp; Curran, P. J. (Hosts). (2022, February 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In Quantitude; Quantitude.</w:t>
      </w:r>
      <w:r>
        <w:t xml:space="preserve"> </w:t>
      </w:r>
      <w:hyperlink r:id="rId213">
        <w:r>
          <w:rPr>
            <w:rStyle w:val="Hyperlink"/>
          </w:rPr>
          <w:t xml:space="preserve">https://quantitudepod.org/latent-means/ (archived at: https://perma.cc/5JL3-YUPA)</w:t>
        </w:r>
      </w:hyperlink>
    </w:p>
    <w:bookmarkEnd w:id="214"/>
    <w:bookmarkStart w:id="216"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15">
        <w:r>
          <w:rPr>
            <w:rStyle w:val="Hyperlink"/>
          </w:rPr>
          <w:t xml:space="preserve">https://doi.org/10.1017/S0954579424000713</w:t>
        </w:r>
      </w:hyperlink>
    </w:p>
    <w:bookmarkEnd w:id="216"/>
    <w:bookmarkStart w:id="218"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7">
        <w:r>
          <w:rPr>
            <w:rStyle w:val="Hyperlink"/>
          </w:rPr>
          <w:t xml:space="preserve">https://doi.org/10.1017/S0033291711001966</w:t>
        </w:r>
      </w:hyperlink>
    </w:p>
    <w:bookmarkEnd w:id="218"/>
    <w:bookmarkStart w:id="220"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9">
        <w:r>
          <w:rPr>
            <w:rStyle w:val="Hyperlink"/>
          </w:rPr>
          <w:t xml:space="preserve">https://doi.org/10.1017/S003329172000183X</w:t>
        </w:r>
      </w:hyperlink>
    </w:p>
    <w:bookmarkEnd w:id="220"/>
    <w:bookmarkStart w:id="222" w:name="ref-Hertzog2003"/>
    <w:p>
      <w:pPr>
        <w:pStyle w:val="Bibliography"/>
      </w:pPr>
      <w:r>
        <w:t xml:space="preserve">Hertzog, C., &amp; Nesselroade, J. R. (2003). Assessing psychological change in adulthood: An overview of methodological issues.</w:t>
      </w:r>
      <w:r>
        <w:t xml:space="preserve"> </w:t>
      </w:r>
      <w:r>
        <w:rPr>
          <w:i/>
          <w:iCs/>
        </w:rPr>
        <w:t xml:space="preserve">Psychology and Aging</w:t>
      </w:r>
      <w:r>
        <w:t xml:space="preserve">,</w:t>
      </w:r>
      <w:r>
        <w:t xml:space="preserve"> </w:t>
      </w:r>
      <w:r>
        <w:rPr>
          <w:i/>
          <w:iCs/>
        </w:rPr>
        <w:t xml:space="preserve">18</w:t>
      </w:r>
      <w:r>
        <w:t xml:space="preserve">(4), 639–657.</w:t>
      </w:r>
      <w:r>
        <w:t xml:space="preserve"> </w:t>
      </w:r>
      <w:hyperlink r:id="rId221">
        <w:r>
          <w:rPr>
            <w:rStyle w:val="Hyperlink"/>
          </w:rPr>
          <w:t xml:space="preserve">https://doi.org/10.1037/0882-7974.18.4.639</w:t>
        </w:r>
      </w:hyperlink>
    </w:p>
    <w:bookmarkEnd w:id="222"/>
    <w:bookmarkStart w:id="224"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3">
        <w:r>
          <w:rPr>
            <w:rStyle w:val="Hyperlink"/>
          </w:rPr>
          <w:t xml:space="preserve">https://doi.org/10.1176/appi.ajp.2008.08030366</w:t>
        </w:r>
      </w:hyperlink>
    </w:p>
    <w:bookmarkEnd w:id="224"/>
    <w:bookmarkStart w:id="226"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5">
        <w:r>
          <w:rPr>
            <w:rStyle w:val="Hyperlink"/>
          </w:rPr>
          <w:t xml:space="preserve">https://doi.org/10.1007/s10826-018-1272-4</w:t>
        </w:r>
      </w:hyperlink>
    </w:p>
    <w:bookmarkEnd w:id="226"/>
    <w:bookmarkStart w:id="227"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27"/>
    <w:bookmarkStart w:id="228" w:name="ref-Kagan1971"/>
    <w:p>
      <w:pPr>
        <w:pStyle w:val="Bibliography"/>
      </w:pPr>
      <w:r>
        <w:t xml:space="preserve">Kagan, J. (1971).</w:t>
      </w:r>
      <w:r>
        <w:t xml:space="preserve"> </w:t>
      </w:r>
      <w:r>
        <w:rPr>
          <w:i/>
          <w:iCs/>
        </w:rPr>
        <w:t xml:space="preserve">Change and continuity in infancy</w:t>
      </w:r>
      <w:r>
        <w:t xml:space="preserve">. Wiley.</w:t>
      </w:r>
    </w:p>
    <w:bookmarkEnd w:id="228"/>
    <w:bookmarkStart w:id="229"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9"/>
    <w:bookmarkStart w:id="231"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0">
        <w:r>
          <w:rPr>
            <w:rStyle w:val="Hyperlink"/>
          </w:rPr>
          <w:t xml:space="preserve">https://doi.org/10.1037/13129-000</w:t>
        </w:r>
      </w:hyperlink>
    </w:p>
    <w:bookmarkEnd w:id="231"/>
    <w:bookmarkStart w:id="23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2">
        <w:r>
          <w:rPr>
            <w:rStyle w:val="Hyperlink"/>
          </w:rPr>
          <w:t xml:space="preserve">https://doi.org/10.1111/j.1469-7610.2012.02585.x</w:t>
        </w:r>
      </w:hyperlink>
    </w:p>
    <w:bookmarkEnd w:id="233"/>
    <w:bookmarkStart w:id="235"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4">
        <w:r>
          <w:rPr>
            <w:rStyle w:val="Hyperlink"/>
          </w:rPr>
          <w:t xml:space="preserve">https://doi.org/10.1002/cbm.708</w:t>
        </w:r>
      </w:hyperlink>
    </w:p>
    <w:bookmarkEnd w:id="235"/>
    <w:bookmarkStart w:id="237"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36">
        <w:r>
          <w:rPr>
            <w:rStyle w:val="Hyperlink"/>
          </w:rPr>
          <w:t xml:space="preserve">https://doi.org/10.1111/jora.12252</w:t>
        </w:r>
      </w:hyperlink>
    </w:p>
    <w:bookmarkEnd w:id="237"/>
    <w:bookmarkStart w:id="239"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38">
        <w:r>
          <w:rPr>
            <w:rStyle w:val="Hyperlink"/>
          </w:rPr>
          <w:t xml:space="preserve">https://doi.org/10.1007/s10802-017-0383-5</w:t>
        </w:r>
      </w:hyperlink>
    </w:p>
    <w:bookmarkEnd w:id="239"/>
    <w:bookmarkStart w:id="241"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0">
        <w:r>
          <w:rPr>
            <w:rStyle w:val="Hyperlink"/>
          </w:rPr>
          <w:t xml:space="preserve">https://doi.org/10.1007/s10802-021-00885-y</w:t>
        </w:r>
      </w:hyperlink>
    </w:p>
    <w:bookmarkEnd w:id="241"/>
    <w:bookmarkStart w:id="243"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2">
        <w:r>
          <w:rPr>
            <w:rStyle w:val="Hyperlink"/>
          </w:rPr>
          <w:t xml:space="preserve">https://doi.org/10.1111/j.1750-8606.2009.00112.x</w:t>
        </w:r>
      </w:hyperlink>
    </w:p>
    <w:bookmarkEnd w:id="243"/>
    <w:bookmarkStart w:id="245"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4">
        <w:r>
          <w:rPr>
            <w:rStyle w:val="Hyperlink"/>
          </w:rPr>
          <w:t xml:space="preserve">https://doi.org/10.1007/978-1-4939-0317-7</w:t>
        </w:r>
      </w:hyperlink>
    </w:p>
    <w:bookmarkEnd w:id="245"/>
    <w:bookmarkStart w:id="246"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46"/>
    <w:bookmarkStart w:id="248"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47">
        <w:r>
          <w:rPr>
            <w:rStyle w:val="Hyperlink"/>
          </w:rPr>
          <w:t xml:space="preserve">https://doi.org/10.1037/abn0000258</w:t>
        </w:r>
      </w:hyperlink>
    </w:p>
    <w:bookmarkEnd w:id="248"/>
    <w:bookmarkStart w:id="250"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49">
        <w:r>
          <w:rPr>
            <w:rStyle w:val="Hyperlink"/>
          </w:rPr>
          <w:t xml:space="preserve">https://doi.org/10.1111/psyp.12551</w:t>
        </w:r>
      </w:hyperlink>
    </w:p>
    <w:bookmarkEnd w:id="250"/>
    <w:bookmarkStart w:id="252"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1">
        <w:r>
          <w:rPr>
            <w:rStyle w:val="Hyperlink"/>
          </w:rPr>
          <w:t xml:space="preserve">https://doi.org/10.1002/wps.20844</w:t>
        </w:r>
      </w:hyperlink>
    </w:p>
    <w:bookmarkEnd w:id="252"/>
    <w:bookmarkStart w:id="254"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3">
        <w:r>
          <w:rPr>
            <w:rStyle w:val="Hyperlink"/>
          </w:rPr>
          <w:t xml:space="preserve">https://doi.org/10.1001/archgenpsychiatry.2010.188</w:t>
        </w:r>
      </w:hyperlink>
    </w:p>
    <w:bookmarkEnd w:id="254"/>
    <w:bookmarkStart w:id="256"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5">
        <w:r>
          <w:rPr>
            <w:rStyle w:val="Hyperlink"/>
          </w:rPr>
          <w:t xml:space="preserve">https://doi.org/10.1037/0021-843X.116.4.645</w:t>
        </w:r>
      </w:hyperlink>
    </w:p>
    <w:bookmarkEnd w:id="256"/>
    <w:bookmarkStart w:id="258"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57">
        <w:r>
          <w:rPr>
            <w:rStyle w:val="Hyperlink"/>
          </w:rPr>
          <w:t xml:space="preserve">https://doi.org/10.1037/0021-843x.114.4.537</w:t>
        </w:r>
      </w:hyperlink>
    </w:p>
    <w:bookmarkEnd w:id="258"/>
    <w:bookmarkStart w:id="260"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59">
        <w:r>
          <w:rPr>
            <w:rStyle w:val="Hyperlink"/>
          </w:rPr>
          <w:t xml:space="preserve">https://doi.org/10.1037/1040-3590.16.2.107</w:t>
        </w:r>
      </w:hyperlink>
    </w:p>
    <w:bookmarkEnd w:id="260"/>
    <w:bookmarkStart w:id="262"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1">
        <w:r>
          <w:rPr>
            <w:rStyle w:val="Hyperlink"/>
          </w:rPr>
          <w:t xml:space="preserve">https://doi.org/10.1016/S0005-7967(02)00016-5</w:t>
        </w:r>
      </w:hyperlink>
    </w:p>
    <w:bookmarkEnd w:id="262"/>
    <w:bookmarkStart w:id="264"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3">
        <w:r>
          <w:rPr>
            <w:rStyle w:val="Hyperlink"/>
          </w:rPr>
          <w:t xml:space="preserve">https://doi.org/10.1080/00273171.2021.1941730</w:t>
        </w:r>
      </w:hyperlink>
    </w:p>
    <w:bookmarkEnd w:id="264"/>
    <w:bookmarkStart w:id="266"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5">
        <w:r>
          <w:rPr>
            <w:rStyle w:val="Hyperlink"/>
          </w:rPr>
          <w:t xml:space="preserve">https://doi.org/10.1017/S0954579410000301</w:t>
        </w:r>
      </w:hyperlink>
    </w:p>
    <w:bookmarkEnd w:id="266"/>
    <w:bookmarkStart w:id="268"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67">
        <w:r>
          <w:rPr>
            <w:rStyle w:val="Hyperlink"/>
          </w:rPr>
          <w:t xml:space="preserve">https://doi.org/10.1007/978-3-030-68429-7</w:t>
        </w:r>
      </w:hyperlink>
    </w:p>
    <w:bookmarkEnd w:id="268"/>
    <w:bookmarkStart w:id="269" w:name="ref-Little2024"/>
    <w:p>
      <w:pPr>
        <w:pStyle w:val="Bibliography"/>
      </w:pPr>
      <w:r>
        <w:t xml:space="preserve">Little, T. D. (2024).</w:t>
      </w:r>
      <w:r>
        <w:t xml:space="preserve"> </w:t>
      </w:r>
      <w:r>
        <w:rPr>
          <w:i/>
          <w:iCs/>
        </w:rPr>
        <w:t xml:space="preserve">Longitudinal structural equation modeling</w:t>
      </w:r>
      <w:r>
        <w:t xml:space="preserve"> </w:t>
      </w:r>
      <w:r>
        <w:t xml:space="preserve">(2nd ed.). Guilford Publications.</w:t>
      </w:r>
    </w:p>
    <w:bookmarkEnd w:id="269"/>
    <w:bookmarkStart w:id="271"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0">
        <w:r>
          <w:rPr>
            <w:rStyle w:val="Hyperlink"/>
          </w:rPr>
          <w:t xml:space="preserve">https://doi.org/10.1037/a0023678</w:t>
        </w:r>
      </w:hyperlink>
    </w:p>
    <w:bookmarkEnd w:id="271"/>
    <w:bookmarkStart w:id="273"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2">
        <w:r>
          <w:rPr>
            <w:rStyle w:val="Hyperlink"/>
          </w:rPr>
          <w:t xml:space="preserve">https://doi.org/10.1001/archpsyc.62.12.1352</w:t>
        </w:r>
      </w:hyperlink>
    </w:p>
    <w:bookmarkEnd w:id="273"/>
    <w:bookmarkStart w:id="275" w:name="ref-Masche2004"/>
    <w:p>
      <w:pPr>
        <w:pStyle w:val="Bibliography"/>
      </w:pPr>
      <w:r>
        <w:t xml:space="preserve">Masche, J. G., &amp; Dulmen, M. H. M. van. (2004). Advances in disentangling age, cohort, and time effects: No quadrature of the circle, but a help.</w:t>
      </w:r>
      <w:r>
        <w:t xml:space="preserve"> </w:t>
      </w:r>
      <w:r>
        <w:rPr>
          <w:i/>
          <w:iCs/>
        </w:rPr>
        <w:t xml:space="preserve">Developmental Review</w:t>
      </w:r>
      <w:r>
        <w:t xml:space="preserve">,</w:t>
      </w:r>
      <w:r>
        <w:t xml:space="preserve"> </w:t>
      </w:r>
      <w:r>
        <w:rPr>
          <w:i/>
          <w:iCs/>
        </w:rPr>
        <w:t xml:space="preserve">24</w:t>
      </w:r>
      <w:r>
        <w:t xml:space="preserve">(3), 322–342.</w:t>
      </w:r>
      <w:r>
        <w:t xml:space="preserve"> </w:t>
      </w:r>
      <w:hyperlink r:id="rId274">
        <w:r>
          <w:rPr>
            <w:rStyle w:val="Hyperlink"/>
          </w:rPr>
          <w:t xml:space="preserve">https://doi.org/10.1016/j.dr.2004.04.002</w:t>
        </w:r>
      </w:hyperlink>
    </w:p>
    <w:bookmarkEnd w:id="275"/>
    <w:bookmarkStart w:id="27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6">
        <w:r>
          <w:rPr>
            <w:rStyle w:val="Hyperlink"/>
          </w:rPr>
          <w:t xml:space="preserve">https://doi.org/10.1111/j.1467-9507.2008.00480.x</w:t>
        </w:r>
      </w:hyperlink>
    </w:p>
    <w:bookmarkEnd w:id="277"/>
    <w:bookmarkStart w:id="278" w:name="ref-Millsap2011"/>
    <w:p>
      <w:pPr>
        <w:pStyle w:val="Bibliography"/>
      </w:pPr>
      <w:r>
        <w:t xml:space="preserve">Millsap, R. E. (2011).</w:t>
      </w:r>
      <w:r>
        <w:t xml:space="preserve"> </w:t>
      </w:r>
      <w:r>
        <w:rPr>
          <w:i/>
          <w:iCs/>
        </w:rPr>
        <w:t xml:space="preserve">Statistical approaches to measurement invariance</w:t>
      </w:r>
      <w:r>
        <w:t xml:space="preserve">. Taylor &amp; Francis.</w:t>
      </w:r>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holson2017"/>
    <w:p>
      <w:pPr>
        <w:pStyle w:val="Bibliography"/>
      </w:pPr>
      <w:r>
        <w:t xml:space="preserve">Nicholson, J. S., Deboeck, P. R., &amp; Howard, W. (2017). Attrition in developmental psychology: A review of modern missing data reporting and practices.</w:t>
      </w:r>
      <w:r>
        <w:t xml:space="preserve"> </w:t>
      </w:r>
      <w:r>
        <w:rPr>
          <w:i/>
          <w:iCs/>
        </w:rPr>
        <w:t xml:space="preserve">International Journal of Behavioral Development</w:t>
      </w:r>
      <w:r>
        <w:t xml:space="preserve">,</w:t>
      </w:r>
      <w:r>
        <w:t xml:space="preserve"> </w:t>
      </w:r>
      <w:r>
        <w:rPr>
          <w:i/>
          <w:iCs/>
        </w:rPr>
        <w:t xml:space="preserve">41</w:t>
      </w:r>
      <w:r>
        <w:t xml:space="preserve">(1), 143–153.</w:t>
      </w:r>
      <w:r>
        <w:t xml:space="preserve"> </w:t>
      </w:r>
      <w:hyperlink r:id="rId289">
        <w:r>
          <w:rPr>
            <w:rStyle w:val="Hyperlink"/>
          </w:rPr>
          <w:t xml:space="preserve">https://doi.org/10.1177/0165025415618275</w:t>
        </w:r>
      </w:hyperlink>
    </w:p>
    <w:bookmarkEnd w:id="290"/>
    <w:bookmarkStart w:id="292"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91">
        <w:r>
          <w:rPr>
            <w:rStyle w:val="Hyperlink"/>
          </w:rPr>
          <w:t xml:space="preserve">https://doi.org/10.1146/annurev-clinpsy-061324-073435</w:t>
        </w:r>
      </w:hyperlink>
    </w:p>
    <w:bookmarkEnd w:id="292"/>
    <w:bookmarkStart w:id="294"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3">
        <w:r>
          <w:rPr>
            <w:rStyle w:val="Hyperlink"/>
          </w:rPr>
          <w:t xml:space="preserve">https://doi.org/10.1017/S0954579408000333</w:t>
        </w:r>
      </w:hyperlink>
    </w:p>
    <w:bookmarkEnd w:id="294"/>
    <w:bookmarkStart w:id="296"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5">
        <w:r>
          <w:rPr>
            <w:rStyle w:val="Hyperlink"/>
          </w:rPr>
          <w:t xml:space="preserve">https://doi.org/10.1023/a:1026254005632</w:t>
        </w:r>
      </w:hyperlink>
    </w:p>
    <w:bookmarkEnd w:id="296"/>
    <w:bookmarkStart w:id="298"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7">
        <w:r>
          <w:rPr>
            <w:rStyle w:val="Hyperlink"/>
          </w:rPr>
          <w:t xml:space="preserve">https://doi.org/10.1371/journal.pone.0063109</w:t>
        </w:r>
      </w:hyperlink>
    </w:p>
    <w:bookmarkEnd w:id="298"/>
    <w:bookmarkStart w:id="300"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9">
        <w:r>
          <w:rPr>
            <w:rStyle w:val="Hyperlink"/>
          </w:rPr>
          <w:t xml:space="preserve">https://doi.org/10.1037/0022-006X.61.6.911</w:t>
        </w:r>
      </w:hyperlink>
    </w:p>
    <w:bookmarkEnd w:id="300"/>
    <w:bookmarkStart w:id="302"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301">
        <w:r>
          <w:rPr>
            <w:rStyle w:val="Hyperlink"/>
          </w:rPr>
          <w:t xml:space="preserve">https://doi.org/10.1111/desc.70216</w:t>
        </w:r>
      </w:hyperlink>
    </w:p>
    <w:bookmarkEnd w:id="302"/>
    <w:bookmarkStart w:id="304"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3">
        <w:r>
          <w:rPr>
            <w:rStyle w:val="Hyperlink"/>
          </w:rPr>
          <w:t xml:space="preserve">https://doi.org/10.1037/dev0001657</w:t>
        </w:r>
      </w:hyperlink>
    </w:p>
    <w:bookmarkEnd w:id="304"/>
    <w:bookmarkStart w:id="305"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6">
        <w:r>
          <w:rPr>
            <w:rStyle w:val="Hyperlink"/>
          </w:rPr>
          <w:t xml:space="preserve">https://doi.org/10.25820/work.007199</w:t>
        </w:r>
      </w:hyperlink>
    </w:p>
    <w:bookmarkEnd w:id="305"/>
    <w:bookmarkStart w:id="307"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306">
        <w:r>
          <w:rPr>
            <w:rStyle w:val="Hyperlink"/>
          </w:rPr>
          <w:t xml:space="preserve">https://doi.org/10.1017/S0954579414000789</w:t>
        </w:r>
      </w:hyperlink>
    </w:p>
    <w:bookmarkEnd w:id="307"/>
    <w:bookmarkStart w:id="309"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8">
        <w:r>
          <w:rPr>
            <w:rStyle w:val="Hyperlink"/>
          </w:rPr>
          <w:t xml:space="preserve">https://doi.org/10.1016/j.dr.2020.100935</w:t>
        </w:r>
      </w:hyperlink>
    </w:p>
    <w:bookmarkEnd w:id="309"/>
    <w:bookmarkStart w:id="310"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75">
        <w:r>
          <w:rPr>
            <w:rStyle w:val="Hyperlink"/>
          </w:rPr>
          <w:t xml:space="preserve">https://doi.org/10.1037/pas0001441</w:t>
        </w:r>
      </w:hyperlink>
    </w:p>
    <w:bookmarkEnd w:id="310"/>
    <w:bookmarkStart w:id="311"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85">
        <w:r>
          <w:rPr>
            <w:rStyle w:val="Hyperlink"/>
          </w:rPr>
          <w:t xml:space="preserve">https://doi.org/10.1016/j.jaacop.2025.10.008</w:t>
        </w:r>
      </w:hyperlink>
    </w:p>
    <w:bookmarkEnd w:id="311"/>
    <w:bookmarkStart w:id="312"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08">
        <w:r>
          <w:rPr>
            <w:rStyle w:val="Hyperlink"/>
          </w:rPr>
          <w:t xml:space="preserve">https://doi.org/10.1037/edu0000461</w:t>
        </w:r>
      </w:hyperlink>
    </w:p>
    <w:bookmarkEnd w:id="312"/>
    <w:bookmarkStart w:id="314"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3">
        <w:r>
          <w:rPr>
            <w:rStyle w:val="Hyperlink"/>
          </w:rPr>
          <w:t xml:space="preserve">https://doi.org/10.1111/cdev.13433</w:t>
        </w:r>
      </w:hyperlink>
    </w:p>
    <w:bookmarkEnd w:id="314"/>
    <w:bookmarkStart w:id="31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5">
        <w:r>
          <w:rPr>
            <w:rStyle w:val="Hyperlink"/>
          </w:rPr>
          <w:t xml:space="preserve">https://doi.org/10.1037/dev0000449</w:t>
        </w:r>
      </w:hyperlink>
    </w:p>
    <w:bookmarkEnd w:id="316"/>
    <w:bookmarkStart w:id="318"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7">
        <w:r>
          <w:rPr>
            <w:rStyle w:val="Hyperlink"/>
          </w:rPr>
          <w:t xml:space="preserve">https://doi.org/10.1007/s00127-015-1048-8</w:t>
        </w:r>
      </w:hyperlink>
    </w:p>
    <w:bookmarkEnd w:id="318"/>
    <w:bookmarkStart w:id="320" w:name="ref-Revelle2019"/>
    <w:p>
      <w:pPr>
        <w:pStyle w:val="Bibliography"/>
      </w:pPr>
      <w:r>
        <w:t xml:space="preserve">Revelle, W., &amp; Condon, D. M. (2019). Reliability from</w:t>
      </w:r>
      <w:r>
        <w:t xml:space="preserve"> </w:t>
      </w:r>
      <m:oMath>
        <m:r>
          <m:t>α</m:t>
        </m:r>
      </m:oMath>
      <w:r>
        <w:t xml:space="preserve"> </w:t>
      </w:r>
      <w:r>
        <w:t xml:space="preserve">to</w:t>
      </w:r>
      <w:r>
        <w:t xml:space="preserve"> </w:t>
      </w:r>
      <m:oMath>
        <m:r>
          <m:t>ω</m:t>
        </m:r>
      </m:oMath>
      <w:r>
        <w:t xml:space="preserve">: A tutorial.</w:t>
      </w:r>
      <w:r>
        <w:t xml:space="preserve"> </w:t>
      </w:r>
      <w:r>
        <w:rPr>
          <w:i/>
          <w:iCs/>
        </w:rPr>
        <w:t xml:space="preserve">Psychological Assessment</w:t>
      </w:r>
      <w:r>
        <w:t xml:space="preserve">,</w:t>
      </w:r>
      <w:r>
        <w:t xml:space="preserve"> </w:t>
      </w:r>
      <w:r>
        <w:rPr>
          <w:i/>
          <w:iCs/>
        </w:rPr>
        <w:t xml:space="preserve">31</w:t>
      </w:r>
      <w:r>
        <w:t xml:space="preserve">(12), 1395–1411.</w:t>
      </w:r>
      <w:r>
        <w:t xml:space="preserve"> </w:t>
      </w:r>
      <w:hyperlink r:id="rId319">
        <w:r>
          <w:rPr>
            <w:rStyle w:val="Hyperlink"/>
          </w:rPr>
          <w:t xml:space="preserve">https://doi.org/10.1037/pas0000754</w:t>
        </w:r>
      </w:hyperlink>
    </w:p>
    <w:bookmarkEnd w:id="320"/>
    <w:bookmarkStart w:id="322"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21">
        <w:r>
          <w:rPr>
            <w:rStyle w:val="Hyperlink"/>
          </w:rPr>
          <w:t xml:space="preserve">https://doi.org/10.1080/10705511.2023.2191292</w:t>
        </w:r>
      </w:hyperlink>
    </w:p>
    <w:bookmarkEnd w:id="322"/>
    <w:bookmarkStart w:id="32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23"/>
    <w:bookmarkStart w:id="325" w:name="ref-Rohrer2025"/>
    <w:p>
      <w:pPr>
        <w:pStyle w:val="Bibliography"/>
      </w:pPr>
      <w:r>
        <w:t xml:space="preserve">Rohrer, J. M. (2025). Thinking clearly about age, period, and cohort effects.</w:t>
      </w:r>
      <w:r>
        <w:t xml:space="preserve"> </w:t>
      </w:r>
      <w:r>
        <w:rPr>
          <w:i/>
          <w:iCs/>
        </w:rPr>
        <w:t xml:space="preserve">Advances in Methods and Practices in Psychological Science</w:t>
      </w:r>
      <w:r>
        <w:t xml:space="preserve">,</w:t>
      </w:r>
      <w:r>
        <w:t xml:space="preserve"> </w:t>
      </w:r>
      <w:r>
        <w:rPr>
          <w:i/>
          <w:iCs/>
        </w:rPr>
        <w:t xml:space="preserve">8</w:t>
      </w:r>
      <w:r>
        <w:t xml:space="preserve">(2), 25152459251342750.</w:t>
      </w:r>
      <w:r>
        <w:t xml:space="preserve"> </w:t>
      </w:r>
      <w:hyperlink r:id="rId324">
        <w:r>
          <w:rPr>
            <w:rStyle w:val="Hyperlink"/>
          </w:rPr>
          <w:t xml:space="preserve">https://doi.org/10.1177/25152459251342750</w:t>
        </w:r>
      </w:hyperlink>
    </w:p>
    <w:bookmarkEnd w:id="325"/>
    <w:bookmarkStart w:id="327"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26">
        <w:r>
          <w:rPr>
            <w:rStyle w:val="Hyperlink"/>
          </w:rPr>
          <w:t xml:space="preserve">https://doi.org/10.1111/j.1469-7610.2006.01614.x</w:t>
        </w:r>
      </w:hyperlink>
    </w:p>
    <w:bookmarkEnd w:id="327"/>
    <w:bookmarkStart w:id="329"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8">
        <w:r>
          <w:rPr>
            <w:rStyle w:val="Hyperlink"/>
          </w:rPr>
          <w:t xml:space="preserve">https://doi.org/10.1111/jcpp.70180</w:t>
        </w:r>
      </w:hyperlink>
    </w:p>
    <w:bookmarkEnd w:id="329"/>
    <w:bookmarkStart w:id="331"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30">
        <w:r>
          <w:rPr>
            <w:rStyle w:val="Hyperlink"/>
          </w:rPr>
          <w:t xml:space="preserve">https://doi.org/10.1037/abn0000232</w:t>
        </w:r>
      </w:hyperlink>
    </w:p>
    <w:bookmarkEnd w:id="331"/>
    <w:bookmarkStart w:id="333"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32">
        <w:r>
          <w:rPr>
            <w:rStyle w:val="Hyperlink"/>
          </w:rPr>
          <w:t xml:space="preserve">https://doi.org/10.1086/269270</w:t>
        </w:r>
      </w:hyperlink>
    </w:p>
    <w:bookmarkEnd w:id="333"/>
    <w:bookmarkStart w:id="334" w:name="ref-Schaie2005"/>
    <w:p>
      <w:pPr>
        <w:pStyle w:val="Bibliography"/>
      </w:pPr>
      <w:r>
        <w:t xml:space="preserve">Schaie, K. W. (2005).</w:t>
      </w:r>
      <w:r>
        <w:t xml:space="preserve"> </w:t>
      </w:r>
      <w:r>
        <w:rPr>
          <w:i/>
          <w:iCs/>
        </w:rPr>
        <w:t xml:space="preserve">Developmental influences on adult intelligence: The</w:t>
      </w:r>
      <w:r>
        <w:rPr>
          <w:i/>
          <w:iCs/>
        </w:rPr>
        <w:t xml:space="preserve"> </w:t>
      </w:r>
      <w:r>
        <w:rPr>
          <w:i/>
          <w:iCs/>
        </w:rPr>
        <w:t xml:space="preserve">Seattle Longitudinal Study</w:t>
      </w:r>
      <w:r>
        <w:t xml:space="preserve">. Oxford University Press.</w:t>
      </w:r>
    </w:p>
    <w:bookmarkEnd w:id="334"/>
    <w:bookmarkStart w:id="336"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35">
        <w:r>
          <w:rPr>
            <w:rStyle w:val="Hyperlink"/>
          </w:rPr>
          <w:t xml:space="preserve">https://doi.org/10.1037/0003-066X.54.2.93</w:t>
        </w:r>
      </w:hyperlink>
    </w:p>
    <w:bookmarkEnd w:id="336"/>
    <w:bookmarkStart w:id="338"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37">
        <w:r>
          <w:rPr>
            <w:rStyle w:val="Hyperlink"/>
          </w:rPr>
          <w:t xml:space="preserve">https://doi.org/10.18148/srm/2018.v12i1.7210</w:t>
        </w:r>
      </w:hyperlink>
    </w:p>
    <w:bookmarkEnd w:id="338"/>
    <w:bookmarkStart w:id="340"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9">
        <w:r>
          <w:rPr>
            <w:rStyle w:val="Hyperlink"/>
          </w:rPr>
          <w:t xml:space="preserve">https://doi.org/10.1037/abn0000171</w:t>
        </w:r>
      </w:hyperlink>
    </w:p>
    <w:bookmarkEnd w:id="340"/>
    <w:bookmarkStart w:id="342"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41">
        <w:r>
          <w:rPr>
            <w:rStyle w:val="Hyperlink"/>
          </w:rPr>
          <w:t xml:space="preserve">https://doi.org/10.1037/dev0001095</w:t>
        </w:r>
      </w:hyperlink>
    </w:p>
    <w:bookmarkEnd w:id="342"/>
    <w:bookmarkStart w:id="344"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43">
        <w:r>
          <w:rPr>
            <w:rStyle w:val="Hyperlink"/>
          </w:rPr>
          <w:t xml:space="preserve">https://doi.org/10.1037/pas0000648</w:t>
        </w:r>
      </w:hyperlink>
    </w:p>
    <w:bookmarkEnd w:id="344"/>
    <w:bookmarkStart w:id="346"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345">
        <w:r>
          <w:rPr>
            <w:rStyle w:val="Hyperlink"/>
          </w:rPr>
          <w:t xml:space="preserve">https://doi.org/10.1016/j.jcrimjus.2024.102155</w:t>
        </w:r>
      </w:hyperlink>
    </w:p>
    <w:bookmarkEnd w:id="346"/>
    <w:bookmarkStart w:id="348"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47">
        <w:r>
          <w:rPr>
            <w:rStyle w:val="Hyperlink"/>
          </w:rPr>
          <w:t xml:space="preserve">https://doi.org/10.1111/jcpp.13549</w:t>
        </w:r>
      </w:hyperlink>
    </w:p>
    <w:bookmarkEnd w:id="348"/>
    <w:bookmarkStart w:id="349"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9"/>
    <w:bookmarkStart w:id="351"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50">
        <w:r>
          <w:rPr>
            <w:rStyle w:val="Hyperlink"/>
          </w:rPr>
          <w:t xml:space="preserve">https://doi.org/10.1017/S0954579407070174</w:t>
        </w:r>
      </w:hyperlink>
    </w:p>
    <w:bookmarkEnd w:id="351"/>
    <w:bookmarkStart w:id="353" w:name="ref-Sterner2026"/>
    <w:p>
      <w:pPr>
        <w:pStyle w:val="Bibliography"/>
      </w:pPr>
      <w:r>
        <w:t xml:space="preserve">Sterner, P., Pargent, F., &amp; Goretzko, D. (2026). Don’t let</w:t>
      </w:r>
      <w:r>
        <w:t xml:space="preserve"> </w:t>
      </w:r>
      <w:r>
        <w:t xml:space="preserve">MI</w:t>
      </w:r>
      <w:r>
        <w:t xml:space="preserve"> </w:t>
      </w:r>
      <w:r>
        <w:t xml:space="preserve">be misunderstood: A causal view on measurement invariance.</w:t>
      </w:r>
      <w:r>
        <w:t xml:space="preserve"> </w:t>
      </w:r>
      <w:r>
        <w:rPr>
          <w:i/>
          <w:iCs/>
        </w:rPr>
        <w:t xml:space="preserve">Current Research in Ecological and Social Psychology</w:t>
      </w:r>
      <w:r>
        <w:t xml:space="preserve">,</w:t>
      </w:r>
      <w:r>
        <w:t xml:space="preserve"> </w:t>
      </w:r>
      <w:r>
        <w:rPr>
          <w:i/>
          <w:iCs/>
        </w:rPr>
        <w:t xml:space="preserve">10</w:t>
      </w:r>
      <w:r>
        <w:t xml:space="preserve">, 100261.</w:t>
      </w:r>
      <w:r>
        <w:t xml:space="preserve"> </w:t>
      </w:r>
      <w:hyperlink r:id="rId352">
        <w:r>
          <w:rPr>
            <w:rStyle w:val="Hyperlink"/>
          </w:rPr>
          <w:t xml:space="preserve">https://doi.org/10.1016/j.cresp.2025.100261</w:t>
        </w:r>
      </w:hyperlink>
    </w:p>
    <w:bookmarkEnd w:id="353"/>
    <w:bookmarkStart w:id="355"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54">
        <w:r>
          <w:rPr>
            <w:rStyle w:val="Hyperlink"/>
          </w:rPr>
          <w:t xml:space="preserve">https://doi.org/10.1177/1362361320908972</w:t>
        </w:r>
      </w:hyperlink>
    </w:p>
    <w:bookmarkEnd w:id="355"/>
    <w:bookmarkStart w:id="357"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56">
        <w:r>
          <w:rPr>
            <w:rStyle w:val="Hyperlink"/>
          </w:rPr>
          <w:t xml:space="preserve">https://doi.org/10.1037/abn0000751</w:t>
        </w:r>
      </w:hyperlink>
    </w:p>
    <w:bookmarkEnd w:id="357"/>
    <w:bookmarkStart w:id="359"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58">
        <w:r>
          <w:rPr>
            <w:rStyle w:val="Hyperlink"/>
          </w:rPr>
          <w:t xml:space="preserve">https://doi.org/10.1038/s44220-023-00057-5</w:t>
        </w:r>
      </w:hyperlink>
    </w:p>
    <w:bookmarkEnd w:id="359"/>
    <w:bookmarkStart w:id="361"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60">
        <w:r>
          <w:rPr>
            <w:rStyle w:val="Hyperlink"/>
          </w:rPr>
          <w:t xml:space="preserve">https://doi.org/10.1080/15374416.2019.1622124</w:t>
        </w:r>
      </w:hyperlink>
    </w:p>
    <w:bookmarkEnd w:id="361"/>
    <w:bookmarkStart w:id="3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62">
        <w:r>
          <w:rPr>
            <w:rStyle w:val="Hyperlink"/>
          </w:rPr>
          <w:t xml:space="preserve">https://doi.org/10.2307/j.ctt2jbxs1</w:t>
        </w:r>
      </w:hyperlink>
    </w:p>
    <w:bookmarkEnd w:id="363"/>
    <w:bookmarkStart w:id="365"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64">
        <w:r>
          <w:rPr>
            <w:rStyle w:val="Hyperlink"/>
          </w:rPr>
          <w:t xml:space="preserve">https://doi.org/10.3389/fpsyg.2013.00770</w:t>
        </w:r>
      </w:hyperlink>
    </w:p>
    <w:bookmarkEnd w:id="365"/>
    <w:bookmarkStart w:id="3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66">
        <w:r>
          <w:rPr>
            <w:rStyle w:val="Hyperlink"/>
          </w:rPr>
          <w:t xml:space="preserve">https://doi.org/10.1016/j.jaac.2013.10.011</w:t>
        </w:r>
      </w:hyperlink>
    </w:p>
    <w:bookmarkEnd w:id="367"/>
    <w:bookmarkStart w:id="3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68">
        <w:r>
          <w:rPr>
            <w:rStyle w:val="Hyperlink"/>
          </w:rPr>
          <w:t xml:space="preserve">https://doi.org/10.1080/15374416.2018.1561296</w:t>
        </w:r>
      </w:hyperlink>
    </w:p>
    <w:bookmarkEnd w:id="369"/>
    <w:bookmarkStart w:id="371"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70">
        <w:r>
          <w:rPr>
            <w:rStyle w:val="Hyperlink"/>
          </w:rPr>
          <w:t xml:space="preserve">https://doi.org/10.1037/a0021519</w:t>
        </w:r>
      </w:hyperlink>
    </w:p>
    <w:bookmarkEnd w:id="371"/>
    <w:bookmarkStart w:id="3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72">
        <w:r>
          <w:rPr>
            <w:rStyle w:val="Hyperlink"/>
          </w:rPr>
          <w:t xml:space="preserve">https://doi.org/10.1177/0093854812443645</w:t>
        </w:r>
      </w:hyperlink>
    </w:p>
    <w:bookmarkEnd w:id="373"/>
    <w:bookmarkStart w:id="3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74">
        <w:r>
          <w:rPr>
            <w:rStyle w:val="Hyperlink"/>
          </w:rPr>
          <w:t xml:space="preserve">https://doi.org/10.1007/s12103-013-9235-1</w:t>
        </w:r>
      </w:hyperlink>
    </w:p>
    <w:bookmarkEnd w:id="375"/>
    <w:bookmarkStart w:id="3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76">
        <w:r>
          <w:rPr>
            <w:rStyle w:val="Hyperlink"/>
          </w:rPr>
          <w:t xml:space="preserve">https://doi.org/10.1007/s12103-014-9272-4</w:t>
        </w:r>
      </w:hyperlink>
    </w:p>
    <w:bookmarkEnd w:id="377"/>
    <w:bookmarkStart w:id="3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78">
        <w:r>
          <w:rPr>
            <w:rStyle w:val="Hyperlink"/>
          </w:rPr>
          <w:t xml:space="preserve">https://doi.org/10.1007/s10802-012-9700-1</w:t>
        </w:r>
      </w:hyperlink>
    </w:p>
    <w:bookmarkEnd w:id="379"/>
    <w:bookmarkStart w:id="3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80">
        <w:r>
          <w:rPr>
            <w:rStyle w:val="Hyperlink"/>
          </w:rPr>
          <w:t xml:space="preserve">https://doi.org/10.1007/s10802-010-9478-y</w:t>
        </w:r>
      </w:hyperlink>
    </w:p>
    <w:bookmarkEnd w:id="381"/>
    <w:bookmarkStart w:id="3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82">
        <w:r>
          <w:rPr>
            <w:rStyle w:val="Hyperlink"/>
          </w:rPr>
          <w:t xml:space="preserve">https://doi.org/10.1016/j.dr.2008.01.001</w:t>
        </w:r>
      </w:hyperlink>
    </w:p>
    <w:bookmarkEnd w:id="383"/>
    <w:bookmarkStart w:id="3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84">
        <w:r>
          <w:rPr>
            <w:rStyle w:val="Hyperlink"/>
          </w:rPr>
          <w:t xml:space="preserve">https://doi.org/10.1017/S0954579403000221</w:t>
        </w:r>
      </w:hyperlink>
    </w:p>
    <w:bookmarkEnd w:id="385"/>
    <w:bookmarkStart w:id="387" w:name="ref-Welzel2023a"/>
    <w:p>
      <w:pPr>
        <w:pStyle w:val="Bibliography"/>
      </w:pPr>
      <w:r>
        <w:t xml:space="preserve">Welzel, C., Brunkert, L., Kruse, S., &amp; Inglehart, R. F. (2023). Non-invariance? An overstated problem with misconceived causes.</w:t>
      </w:r>
      <w:r>
        <w:t xml:space="preserve"> </w:t>
      </w:r>
      <w:r>
        <w:rPr>
          <w:i/>
          <w:iCs/>
        </w:rPr>
        <w:t xml:space="preserve">Sociological Methods &amp; Research</w:t>
      </w:r>
      <w:r>
        <w:t xml:space="preserve">,</w:t>
      </w:r>
      <w:r>
        <w:t xml:space="preserve"> </w:t>
      </w:r>
      <w:r>
        <w:rPr>
          <w:i/>
          <w:iCs/>
        </w:rPr>
        <w:t xml:space="preserve">52</w:t>
      </w:r>
      <w:r>
        <w:t xml:space="preserve">(3), 1368–1400.</w:t>
      </w:r>
      <w:r>
        <w:t xml:space="preserve"> </w:t>
      </w:r>
      <w:hyperlink r:id="rId386">
        <w:r>
          <w:rPr>
            <w:rStyle w:val="Hyperlink"/>
          </w:rPr>
          <w:t xml:space="preserve">https://doi.org/10.1177/0049124121995521</w:t>
        </w:r>
      </w:hyperlink>
    </w:p>
    <w:bookmarkEnd w:id="387"/>
    <w:bookmarkStart w:id="389" w:name="ref-Welzel2023b"/>
    <w:p>
      <w:pPr>
        <w:pStyle w:val="Bibliography"/>
      </w:pPr>
      <w:r>
        <w:t xml:space="preserve">Welzel, C., Kruse, S., &amp; Brunkert, L. (2023). Against the mainstream: On the limitations of non-invariance diagnostics: Response to fischer et al. And meuleman et al.</w:t>
      </w:r>
      <w:r>
        <w:t xml:space="preserve"> </w:t>
      </w:r>
      <w:r>
        <w:rPr>
          <w:i/>
          <w:iCs/>
        </w:rPr>
        <w:t xml:space="preserve">Sociological Methods &amp; Research</w:t>
      </w:r>
      <w:r>
        <w:t xml:space="preserve">,</w:t>
      </w:r>
      <w:r>
        <w:t xml:space="preserve"> </w:t>
      </w:r>
      <w:r>
        <w:rPr>
          <w:i/>
          <w:iCs/>
        </w:rPr>
        <w:t xml:space="preserve">52</w:t>
      </w:r>
      <w:r>
        <w:t xml:space="preserve">(3), 1438–1455.</w:t>
      </w:r>
      <w:r>
        <w:t xml:space="preserve"> </w:t>
      </w:r>
      <w:hyperlink r:id="rId388">
        <w:r>
          <w:rPr>
            <w:rStyle w:val="Hyperlink"/>
          </w:rPr>
          <w:t xml:space="preserve">https://doi.org/10.1177/00491241221091754</w:t>
        </w:r>
      </w:hyperlink>
    </w:p>
    <w:bookmarkEnd w:id="389"/>
    <w:bookmarkStart w:id="390" w:name="ref-Whitbourne2019"/>
    <w:p>
      <w:pPr>
        <w:pStyle w:val="Bibliography"/>
      </w:pPr>
      <w:r>
        <w:t xml:space="preserve">Whitbourne, S. K. (2019).</w:t>
      </w:r>
      <w:r>
        <w:t xml:space="preserve"> </w:t>
      </w:r>
      <w:r>
        <w:rPr>
          <w:i/>
          <w:iCs/>
        </w:rPr>
        <w:t xml:space="preserve">Longitudinal, cross-sectional, and sequential designs in lifespan developmental psychology</w:t>
      </w:r>
      <w:r>
        <w:t xml:space="preserve">. Oxford University Press.</w:t>
      </w:r>
    </w:p>
    <w:bookmarkEnd w:id="390"/>
    <w:bookmarkStart w:id="392"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91">
        <w:r>
          <w:rPr>
            <w:rStyle w:val="Hyperlink"/>
          </w:rPr>
          <w:t xml:space="preserve">https://doi.org/10.1111/j.1750-8606.2009.00110.x</w:t>
        </w:r>
      </w:hyperlink>
    </w:p>
    <w:bookmarkEnd w:id="392"/>
    <w:bookmarkStart w:id="394"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93">
        <w:r>
          <w:rPr>
            <w:rStyle w:val="Hyperlink"/>
          </w:rPr>
          <w:t xml:space="preserve">https://doi.org/10.1177/0165025419880610</w:t>
        </w:r>
      </w:hyperlink>
    </w:p>
    <w:bookmarkEnd w:id="394"/>
    <w:bookmarkStart w:id="396"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95">
        <w:r>
          <w:rPr>
            <w:rStyle w:val="Hyperlink"/>
          </w:rPr>
          <w:t xml:space="preserve">https://icd.who.int</w:t>
        </w:r>
      </w:hyperlink>
    </w:p>
    <w:bookmarkEnd w:id="396"/>
    <w:bookmarkStart w:id="398"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97">
        <w:r>
          <w:rPr>
            <w:rStyle w:val="Hyperlink"/>
          </w:rPr>
          <w:t xml:space="preserve">https://doi.org/10.1037/a0030133</w:t>
        </w:r>
      </w:hyperlink>
    </w:p>
    <w:bookmarkEnd w:id="398"/>
    <w:bookmarkStart w:id="399" w:name="ref-Yang2013"/>
    <w:p>
      <w:pPr>
        <w:pStyle w:val="Bibliography"/>
      </w:pPr>
      <w:r>
        <w:t xml:space="preserve">Yang, Y., &amp; Land, K. C. (2013).</w:t>
      </w:r>
      <w:r>
        <w:t xml:space="preserve"> </w:t>
      </w:r>
      <w:r>
        <w:rPr>
          <w:i/>
          <w:iCs/>
        </w:rPr>
        <w:t xml:space="preserve">Age-period-cohort analysis: New models, methods, and empirical applications</w:t>
      </w:r>
      <w:r>
        <w:t xml:space="preserve">. Taylor &amp; Francis.</w:t>
      </w:r>
    </w:p>
    <w:bookmarkEnd w:id="399"/>
    <w:bookmarkStart w:id="401"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400">
        <w:r>
          <w:rPr>
            <w:rStyle w:val="Hyperlink"/>
          </w:rPr>
          <w:t xml:space="preserve">https://doi.org/10.1016/j.jad.2026.121556</w:t>
        </w:r>
      </w:hyperlink>
    </w:p>
    <w:bookmarkEnd w:id="401"/>
    <w:bookmarkEnd w:id="402"/>
    <w:p>
      <w:r>
        <w:br w:type="page"/>
      </w:r>
    </w:p>
    <w:bookmarkEnd w:id="403"/>
    <w:p>
      <w:pPr>
        <w:pStyle w:val="Heading1"/>
      </w:pPr>
      <w:r>
        <w:t xml:space="preserve">Appendix A</w:t>
      </w:r>
    </w:p>
    <w:bookmarkStart w:id="404" w:name="apx-a"/>
    <w:p>
      <w:pPr>
        <w:pStyle w:val="Heading1"/>
      </w:pPr>
      <w:r>
        <w:t xml:space="preserve">This Section Is an Appendix</w:t>
      </w:r>
    </w:p>
    <w:p>
      <w:r>
        <w:br w:type="page"/>
      </w:r>
    </w:p>
    <w:bookmarkEnd w:id="404"/>
    <w:p>
      <w:pPr>
        <w:pStyle w:val="Heading1"/>
      </w:pPr>
      <w:r>
        <w:t xml:space="preserve">Appendix B</w:t>
      </w:r>
    </w:p>
    <w:bookmarkStart w:id="405" w:name="apx-b"/>
    <w:p>
      <w:pPr>
        <w:pStyle w:val="Heading1"/>
      </w:pPr>
      <w:r>
        <w:t xml:space="preserve">Another Appendix</w:t>
      </w:r>
    </w:p>
    <w:bookmarkEnd w:id="405"/>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3">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76">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7">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80">
    <w:p>
      <w:pPr>
        <w:pStyle w:val="FootnoteText"/>
      </w:pPr>
      <w:r>
        <w:rPr>
          <w:rStyle w:val="FootnoteReference"/>
        </w:rPr>
        <w:footnoteRef/>
      </w:r>
      <w:r>
        <w:t xml:space="preserve"> </w:t>
      </w:r>
      <w:r>
        <w:t xml:space="preserve">For simplicity and brevity, we refer to birth age as a proxy for developmental time.</w:t>
      </w:r>
    </w:p>
  </w:footnote>
  <w:footnote w:id="103">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22">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104" Target="media/rId104.png" /><Relationship Type="http://schemas.openxmlformats.org/officeDocument/2006/relationships/image" Id="rId71" Target="media/rId71.png" /><Relationship Type="http://schemas.openxmlformats.org/officeDocument/2006/relationships/image" Id="rId88" Target="media/rId88.png" /><Relationship Type="http://schemas.openxmlformats.org/officeDocument/2006/relationships/image" Id="rId81" Target="media/rId81.jpg" /><Relationship Type="http://schemas.openxmlformats.org/officeDocument/2006/relationships/image" Id="rId98" Target="media/rId98.png" /><Relationship Type="http://schemas.openxmlformats.org/officeDocument/2006/relationships/image" Id="rId112" Target="media/rId112.png" /><Relationship Type="http://schemas.openxmlformats.org/officeDocument/2006/relationships/image" Id="rId23" Target="media/rId23.svg" /><Relationship Type="http://schemas.openxmlformats.org/officeDocument/2006/relationships/image" Id="rId47" Target="media/rId47.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53" Target="media/rId53.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3" Target="https://doi.org/10.1001/archgenpsychiatry.2010.188" TargetMode="External" /><Relationship Type="http://schemas.openxmlformats.org/officeDocument/2006/relationships/hyperlink" Id="rId272"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51" Target="https://doi.org/10.1002/wps.20844" TargetMode="External" /><Relationship Type="http://schemas.openxmlformats.org/officeDocument/2006/relationships/hyperlink" Id="rId196" Target="https://doi.org/10.1007/978-1-0716-3335-9_5" TargetMode="External" /><Relationship Type="http://schemas.openxmlformats.org/officeDocument/2006/relationships/hyperlink" Id="rId244" Target="https://doi.org/10.1007/978-1-4939-0317-7" TargetMode="External" /><Relationship Type="http://schemas.openxmlformats.org/officeDocument/2006/relationships/hyperlink" Id="rId267" Target="https://doi.org/10.1007/978-3-030-68429-7" TargetMode="External" /><Relationship Type="http://schemas.openxmlformats.org/officeDocument/2006/relationships/hyperlink" Id="rId317" Target="https://doi.org/10.1007/s00127-015-1048-8" TargetMode="External" /><Relationship Type="http://schemas.openxmlformats.org/officeDocument/2006/relationships/hyperlink" Id="rId205" Target="https://doi.org/10.1007/s00234-020-02562-1" TargetMode="External" /><Relationship Type="http://schemas.openxmlformats.org/officeDocument/2006/relationships/hyperlink" Id="rId380"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8"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74" Target="https://doi.org/10.1007/s12103-013-9235-1" TargetMode="External" /><Relationship Type="http://schemas.openxmlformats.org/officeDocument/2006/relationships/hyperlink" Id="rId376"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61"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52" Target="https://doi.org/10.1016/j.cresp.2025.100261" TargetMode="External" /><Relationship Type="http://schemas.openxmlformats.org/officeDocument/2006/relationships/hyperlink" Id="rId274" Target="https://doi.org/10.1016/j.dr.2004.04.002" TargetMode="External" /><Relationship Type="http://schemas.openxmlformats.org/officeDocument/2006/relationships/hyperlink" Id="rId382" Target="https://doi.org/10.1016/j.dr.2008.01.001" TargetMode="External" /><Relationship Type="http://schemas.openxmlformats.org/officeDocument/2006/relationships/hyperlink" Id="rId308" Target="https://doi.org/10.1016/j.dr.2020.100935" TargetMode="External" /><Relationship Type="http://schemas.openxmlformats.org/officeDocument/2006/relationships/hyperlink" Id="rId366"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00" Target="https://doi.org/10.1016/j.jad.2026.121556" TargetMode="External" /><Relationship Type="http://schemas.openxmlformats.org/officeDocument/2006/relationships/hyperlink" Id="rId345"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7" Target="https://doi.org/10.1017/S0033291711001966" TargetMode="External" /><Relationship Type="http://schemas.openxmlformats.org/officeDocument/2006/relationships/hyperlink" Id="rId219" Target="https://doi.org/10.1017/S003329172000183X" TargetMode="External" /><Relationship Type="http://schemas.openxmlformats.org/officeDocument/2006/relationships/hyperlink" Id="rId384" Target="https://doi.org/10.1017/S0954579403000221" TargetMode="External" /><Relationship Type="http://schemas.openxmlformats.org/officeDocument/2006/relationships/hyperlink" Id="rId350" Target="https://doi.org/10.1017/S0954579407070174" TargetMode="External" /><Relationship Type="http://schemas.openxmlformats.org/officeDocument/2006/relationships/hyperlink" Id="rId293" Target="https://doi.org/10.1017/S0954579408000333" TargetMode="External" /><Relationship Type="http://schemas.openxmlformats.org/officeDocument/2006/relationships/hyperlink" Id="rId265" Target="https://doi.org/10.1017/S0954579410000301" TargetMode="External" /><Relationship Type="http://schemas.openxmlformats.org/officeDocument/2006/relationships/hyperlink" Id="rId306" Target="https://doi.org/10.1017/S0954579414000789" TargetMode="External" /><Relationship Type="http://schemas.openxmlformats.org/officeDocument/2006/relationships/hyperlink" Id="rId200" Target="https://doi.org/10.1017/S0954579416000651" TargetMode="External" /><Relationship Type="http://schemas.openxmlformats.org/officeDocument/2006/relationships/hyperlink" Id="rId207"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5" Target="https://doi.org/10.1017/S0954579424000713" TargetMode="External" /><Relationship Type="http://schemas.openxmlformats.org/officeDocument/2006/relationships/hyperlink" Id="rId295"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5"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5" Target="https://doi.org/10.1037/0021-843X.116.4.645" TargetMode="External" /><Relationship Type="http://schemas.openxmlformats.org/officeDocument/2006/relationships/hyperlink" Id="rId257" Target="https://doi.org/10.1037/0021-843x.114.4.537" TargetMode="External" /><Relationship Type="http://schemas.openxmlformats.org/officeDocument/2006/relationships/hyperlink" Id="rId299"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21" Target="https://doi.org/10.1037/0882-7974.18.4.639" TargetMode="External" /><Relationship Type="http://schemas.openxmlformats.org/officeDocument/2006/relationships/hyperlink" Id="rId198" Target="https://doi.org/10.1037/0882-7974.19.2.243" TargetMode="External" /><Relationship Type="http://schemas.openxmlformats.org/officeDocument/2006/relationships/hyperlink" Id="rId259"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70" Target="https://doi.org/10.1037/a0021519" TargetMode="External" /><Relationship Type="http://schemas.openxmlformats.org/officeDocument/2006/relationships/hyperlink" Id="rId270" Target="https://doi.org/10.1037/a0023678" TargetMode="External" /><Relationship Type="http://schemas.openxmlformats.org/officeDocument/2006/relationships/hyperlink" Id="rId397" Target="https://doi.org/10.1037/a0030133" TargetMode="External" /><Relationship Type="http://schemas.openxmlformats.org/officeDocument/2006/relationships/hyperlink" Id="rId339" Target="https://doi.org/10.1037/abn0000171" TargetMode="External" /><Relationship Type="http://schemas.openxmlformats.org/officeDocument/2006/relationships/hyperlink" Id="rId330" Target="https://doi.org/10.1037/abn0000232" TargetMode="External" /><Relationship Type="http://schemas.openxmlformats.org/officeDocument/2006/relationships/hyperlink" Id="rId247" Target="https://doi.org/10.1037/abn0000258" TargetMode="External" /><Relationship Type="http://schemas.openxmlformats.org/officeDocument/2006/relationships/hyperlink" Id="rId356"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5" Target="https://doi.org/10.1037/dev0000449" TargetMode="External" /><Relationship Type="http://schemas.openxmlformats.org/officeDocument/2006/relationships/hyperlink" Id="rId341" Target="https://doi.org/10.1037/dev0001095" TargetMode="External" /><Relationship Type="http://schemas.openxmlformats.org/officeDocument/2006/relationships/hyperlink" Id="rId30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92" Target="https://doi.org/10.1037/met0000563" TargetMode="External" /><Relationship Type="http://schemas.openxmlformats.org/officeDocument/2006/relationships/hyperlink" Id="rId167" Target="https://doi.org/10.1037/met0000685" TargetMode="External" /><Relationship Type="http://schemas.openxmlformats.org/officeDocument/2006/relationships/hyperlink" Id="rId343" Target="https://doi.org/10.1037/pas0000648" TargetMode="External" /><Relationship Type="http://schemas.openxmlformats.org/officeDocument/2006/relationships/hyperlink" Id="rId319"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8"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3"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21" Target="https://doi.org/10.1080/10705511.2023.2191292" TargetMode="External" /><Relationship Type="http://schemas.openxmlformats.org/officeDocument/2006/relationships/hyperlink" Id="rId368" Target="https://doi.org/10.1080/15374416.2018.1561296" TargetMode="External" /><Relationship Type="http://schemas.openxmlformats.org/officeDocument/2006/relationships/hyperlink" Id="rId360"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32"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13" Target="https://doi.org/10.1111/cdev.13433" TargetMode="External" /><Relationship Type="http://schemas.openxmlformats.org/officeDocument/2006/relationships/hyperlink" Id="rId301"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6" Target="https://doi.org/10.1111/j.1467-9507.2008.00480.x" TargetMode="External" /><Relationship Type="http://schemas.openxmlformats.org/officeDocument/2006/relationships/hyperlink" Id="rId326"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391" Target="https://doi.org/10.1111/j.1750-8606.2009.00110.x" TargetMode="External" /><Relationship Type="http://schemas.openxmlformats.org/officeDocument/2006/relationships/hyperlink" Id="rId242" Target="https://doi.org/10.1111/j.1750-8606.2009.00112.x" TargetMode="External" /><Relationship Type="http://schemas.openxmlformats.org/officeDocument/2006/relationships/hyperlink" Id="rId194" Target="https://doi.org/10.1111/jcpp.12102" TargetMode="External" /><Relationship Type="http://schemas.openxmlformats.org/officeDocument/2006/relationships/hyperlink" Id="rId347"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8"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9"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91" Target="https://doi.org/10.1146/annurev-clinpsy-061324-073435" TargetMode="External" /><Relationship Type="http://schemas.openxmlformats.org/officeDocument/2006/relationships/hyperlink" Id="rId285"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86" Target="https://doi.org/10.1177/0049124121995521" TargetMode="External" /><Relationship Type="http://schemas.openxmlformats.org/officeDocument/2006/relationships/hyperlink" Id="rId388" Target="https://doi.org/10.1177/00491241221091754" TargetMode="External" /><Relationship Type="http://schemas.openxmlformats.org/officeDocument/2006/relationships/hyperlink" Id="rId372"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289" Target="https://doi.org/10.1177/0165025415618275" TargetMode="External" /><Relationship Type="http://schemas.openxmlformats.org/officeDocument/2006/relationships/hyperlink" Id="rId393"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202" Target="https://doi.org/10.1177/08902070241228338" TargetMode="External" /><Relationship Type="http://schemas.openxmlformats.org/officeDocument/2006/relationships/hyperlink" Id="rId354"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24" Target="https://doi.org/10.1177/25152459251342750" TargetMode="External" /><Relationship Type="http://schemas.openxmlformats.org/officeDocument/2006/relationships/hyperlink" Id="rId297" Target="https://doi.org/10.1371/journal.pone.0063109" TargetMode="External" /><Relationship Type="http://schemas.openxmlformats.org/officeDocument/2006/relationships/hyperlink" Id="rId209"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7" Target="https://doi.org/10.18148/srm/2018.v12i1.7210" TargetMode="External" /><Relationship Type="http://schemas.openxmlformats.org/officeDocument/2006/relationships/hyperlink" Id="rId211"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6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64"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5"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3" Target="https://quantitudepod.org/latent-means/ (archived at: https://perma.cc/5JL3-YUPA)" TargetMode="External" /></Relationships>
</file>

<file path=word/_rels/footnotes.xml.rels><?xml version="1.0" encoding="UTF-8"?><Relationships xmlns="http://schemas.openxmlformats.org/package/2006/relationships"><Relationship Type="http://schemas.openxmlformats.org/officeDocument/2006/relationships/hyperlink" Id="rId51" Target="https://DevPsyLab.github.io/studying-psychopathology-development-lifespan/notebooks/analyses-preview.html#cell-fig-externalizingbyage" TargetMode="External" /><Relationship Type="http://schemas.openxmlformats.org/officeDocument/2006/relationships/hyperlink" Id="rId46" Target="https://DevPsyLab.github.io/studying-psychopathology-development-lifespan/notebooks/analyses-preview.html#cell-fig-lifespancognitivetrajectories" TargetMode="External" /><Relationship Type="http://schemas.openxmlformats.org/officeDocument/2006/relationships/hyperlink" Id="rId68" Target="https://DevPsyLab.github.io/studying-psychopathology-development-lifespan/notebooks/analyses-preview.html#cell-fig-longitudinalexternalizingstudies" TargetMode="External" /><Relationship Type="http://schemas.openxmlformats.org/officeDocument/2006/relationships/hyperlink" Id="rId57" Target="https://DevPsyLab.github.io/studying-psychopathology-development-lifespan/notebooks/analyses-preview.html#cell-fig-longitudinalstudies" TargetMode="External" /><Relationship Type="http://schemas.openxmlformats.org/officeDocument/2006/relationships/hyperlink" Id="rId93" Target="https://DevPsyLab.github.io/studying-psychopathology-development-lifespan/notebooks/analyses-preview.html#cell-tbl-externalizingfacets" TargetMode="External" /><Relationship Type="http://schemas.openxmlformats.org/officeDocument/2006/relationships/hyperlink" Id="rId253" Target="https://doi.org/10.1001/archgenpsychiatry.2010.188" TargetMode="External" /><Relationship Type="http://schemas.openxmlformats.org/officeDocument/2006/relationships/hyperlink" Id="rId272" Target="https://doi.org/10.1001/archpsyc.62.12.1352" TargetMode="External" /><Relationship Type="http://schemas.openxmlformats.org/officeDocument/2006/relationships/hyperlink" Id="rId157" Target="https://doi.org/10.1001/jamanetworkopen.2020.3221" TargetMode="External" /><Relationship Type="http://schemas.openxmlformats.org/officeDocument/2006/relationships/hyperlink" Id="rId161" Target="https://doi.org/10.1002/9780470147658.chpsy0306" TargetMode="External" /><Relationship Type="http://schemas.openxmlformats.org/officeDocument/2006/relationships/hyperlink" Id="rId147" Target="https://doi.org/10.1002/9781119125556.devpsy101" TargetMode="External" /><Relationship Type="http://schemas.openxmlformats.org/officeDocument/2006/relationships/hyperlink" Id="rId234" Target="https://doi.org/10.1002/cbm.708" TargetMode="External" /><Relationship Type="http://schemas.openxmlformats.org/officeDocument/2006/relationships/hyperlink" Id="rId131" Target="https://doi.org/10.1002/jcv2.70043" TargetMode="External" /><Relationship Type="http://schemas.openxmlformats.org/officeDocument/2006/relationships/hyperlink" Id="rId251" Target="https://doi.org/10.1002/wps.20844" TargetMode="External" /><Relationship Type="http://schemas.openxmlformats.org/officeDocument/2006/relationships/hyperlink" Id="rId196" Target="https://doi.org/10.1007/978-1-0716-3335-9_5" TargetMode="External" /><Relationship Type="http://schemas.openxmlformats.org/officeDocument/2006/relationships/hyperlink" Id="rId244" Target="https://doi.org/10.1007/978-1-4939-0317-7" TargetMode="External" /><Relationship Type="http://schemas.openxmlformats.org/officeDocument/2006/relationships/hyperlink" Id="rId267" Target="https://doi.org/10.1007/978-3-030-68429-7" TargetMode="External" /><Relationship Type="http://schemas.openxmlformats.org/officeDocument/2006/relationships/hyperlink" Id="rId317" Target="https://doi.org/10.1007/s00127-015-1048-8" TargetMode="External" /><Relationship Type="http://schemas.openxmlformats.org/officeDocument/2006/relationships/hyperlink" Id="rId205" Target="https://doi.org/10.1007/s00234-020-02562-1" TargetMode="External" /><Relationship Type="http://schemas.openxmlformats.org/officeDocument/2006/relationships/hyperlink" Id="rId380" Target="https://doi.org/10.1007/s10802-010-9478-y" TargetMode="External" /><Relationship Type="http://schemas.openxmlformats.org/officeDocument/2006/relationships/hyperlink" Id="rId149" Target="https://doi.org/10.1007/s10802-012-9669-9" TargetMode="External" /><Relationship Type="http://schemas.openxmlformats.org/officeDocument/2006/relationships/hyperlink" Id="rId378" Target="https://doi.org/10.1007/s10802-012-9700-1" TargetMode="External" /><Relationship Type="http://schemas.openxmlformats.org/officeDocument/2006/relationships/hyperlink" Id="rId238" Target="https://doi.org/10.1007/s10802-017-0383-5" TargetMode="External" /><Relationship Type="http://schemas.openxmlformats.org/officeDocument/2006/relationships/hyperlink" Id="rId240" Target="https://doi.org/10.1007/s10802-021-00885-y" TargetMode="External" /><Relationship Type="http://schemas.openxmlformats.org/officeDocument/2006/relationships/hyperlink" Id="rId225" Target="https://doi.org/10.1007/s10826-018-1272-4" TargetMode="External" /><Relationship Type="http://schemas.openxmlformats.org/officeDocument/2006/relationships/hyperlink" Id="rId374" Target="https://doi.org/10.1007/s12103-013-9235-1" TargetMode="External" /><Relationship Type="http://schemas.openxmlformats.org/officeDocument/2006/relationships/hyperlink" Id="rId376" Target="https://doi.org/10.1007/s12103-014-9272-4" TargetMode="External" /><Relationship Type="http://schemas.openxmlformats.org/officeDocument/2006/relationships/hyperlink" Id="rId163" Target="https://doi.org/10.1007/s40865-015-0012-3" TargetMode="External" /><Relationship Type="http://schemas.openxmlformats.org/officeDocument/2006/relationships/hyperlink" Id="rId261" Target="https://doi.org/10.1016/S0005-7967(02)00016-5" TargetMode="External" /><Relationship Type="http://schemas.openxmlformats.org/officeDocument/2006/relationships/hyperlink" Id="rId155" Target="https://doi.org/10.1016/j.cpr.2012.02.006" TargetMode="External" /><Relationship Type="http://schemas.openxmlformats.org/officeDocument/2006/relationships/hyperlink" Id="rId352" Target="https://doi.org/10.1016/j.cresp.2025.100261" TargetMode="External" /><Relationship Type="http://schemas.openxmlformats.org/officeDocument/2006/relationships/hyperlink" Id="rId274" Target="https://doi.org/10.1016/j.dr.2004.04.002" TargetMode="External" /><Relationship Type="http://schemas.openxmlformats.org/officeDocument/2006/relationships/hyperlink" Id="rId382" Target="https://doi.org/10.1016/j.dr.2008.01.001" TargetMode="External" /><Relationship Type="http://schemas.openxmlformats.org/officeDocument/2006/relationships/hyperlink" Id="rId308" Target="https://doi.org/10.1016/j.dr.2020.100935" TargetMode="External" /><Relationship Type="http://schemas.openxmlformats.org/officeDocument/2006/relationships/hyperlink" Id="rId366" Target="https://doi.org/10.1016/j.jaac.2013.10.011" TargetMode="External" /><Relationship Type="http://schemas.openxmlformats.org/officeDocument/2006/relationships/hyperlink" Id="rId143" Target="https://doi.org/10.1016/j.jaac.2017.05.019" TargetMode="External" /><Relationship Type="http://schemas.openxmlformats.org/officeDocument/2006/relationships/hyperlink" Id="rId85" Target="https://doi.org/10.1016/j.jaacop.2025.10.008" TargetMode="External" /><Relationship Type="http://schemas.openxmlformats.org/officeDocument/2006/relationships/hyperlink" Id="rId400" Target="https://doi.org/10.1016/j.jad.2026.121556" TargetMode="External" /><Relationship Type="http://schemas.openxmlformats.org/officeDocument/2006/relationships/hyperlink" Id="rId345" Target="https://doi.org/10.1016/j.jcrimjus.2024.102155" TargetMode="External" /><Relationship Type="http://schemas.openxmlformats.org/officeDocument/2006/relationships/hyperlink" Id="rId135" Target="https://doi.org/10.1016/j.jpsychires.2013.08.016" TargetMode="External" /><Relationship Type="http://schemas.openxmlformats.org/officeDocument/2006/relationships/hyperlink" Id="rId217" Target="https://doi.org/10.1017/S0033291711001966" TargetMode="External" /><Relationship Type="http://schemas.openxmlformats.org/officeDocument/2006/relationships/hyperlink" Id="rId219" Target="https://doi.org/10.1017/S003329172000183X" TargetMode="External" /><Relationship Type="http://schemas.openxmlformats.org/officeDocument/2006/relationships/hyperlink" Id="rId384" Target="https://doi.org/10.1017/S0954579403000221" TargetMode="External" /><Relationship Type="http://schemas.openxmlformats.org/officeDocument/2006/relationships/hyperlink" Id="rId350" Target="https://doi.org/10.1017/S0954579407070174" TargetMode="External" /><Relationship Type="http://schemas.openxmlformats.org/officeDocument/2006/relationships/hyperlink" Id="rId293" Target="https://doi.org/10.1017/S0954579408000333" TargetMode="External" /><Relationship Type="http://schemas.openxmlformats.org/officeDocument/2006/relationships/hyperlink" Id="rId265" Target="https://doi.org/10.1017/S0954579410000301" TargetMode="External" /><Relationship Type="http://schemas.openxmlformats.org/officeDocument/2006/relationships/hyperlink" Id="rId306" Target="https://doi.org/10.1017/S0954579414000789" TargetMode="External" /><Relationship Type="http://schemas.openxmlformats.org/officeDocument/2006/relationships/hyperlink" Id="rId200" Target="https://doi.org/10.1017/S0954579416000651" TargetMode="External" /><Relationship Type="http://schemas.openxmlformats.org/officeDocument/2006/relationships/hyperlink" Id="rId207" Target="https://doi.org/10.1017/S0954579421001772" TargetMode="External" /><Relationship Type="http://schemas.openxmlformats.org/officeDocument/2006/relationships/hyperlink" Id="rId141" Target="https://doi.org/10.1017/S0954579423001505" TargetMode="External" /><Relationship Type="http://schemas.openxmlformats.org/officeDocument/2006/relationships/hyperlink" Id="rId215" Target="https://doi.org/10.1017/S0954579424000713" TargetMode="External" /><Relationship Type="http://schemas.openxmlformats.org/officeDocument/2006/relationships/hyperlink" Id="rId295" Target="https://doi.org/10.1023/a:1026254005632" TargetMode="External" /><Relationship Type="http://schemas.openxmlformats.org/officeDocument/2006/relationships/hyperlink" Id="rId153" Target="https://doi.org/10.1027/1015-5759.17.1.25" TargetMode="External" /><Relationship Type="http://schemas.openxmlformats.org/officeDocument/2006/relationships/hyperlink" Id="rId335" Target="https://doi.org/10.1037/0003-066X.54.2.93" TargetMode="External" /><Relationship Type="http://schemas.openxmlformats.org/officeDocument/2006/relationships/hyperlink" Id="rId151" Target="https://doi.org/10.1037/0012-1649.39.2.222" TargetMode="External" /><Relationship Type="http://schemas.openxmlformats.org/officeDocument/2006/relationships/hyperlink" Id="rId255" Target="https://doi.org/10.1037/0021-843X.116.4.645" TargetMode="External" /><Relationship Type="http://schemas.openxmlformats.org/officeDocument/2006/relationships/hyperlink" Id="rId257" Target="https://doi.org/10.1037/0021-843x.114.4.537" TargetMode="External" /><Relationship Type="http://schemas.openxmlformats.org/officeDocument/2006/relationships/hyperlink" Id="rId299" Target="https://doi.org/10.1037/0022-006X.61.6.911" TargetMode="External" /><Relationship Type="http://schemas.openxmlformats.org/officeDocument/2006/relationships/hyperlink" Id="rId171"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21" Target="https://doi.org/10.1037/0882-7974.18.4.639" TargetMode="External" /><Relationship Type="http://schemas.openxmlformats.org/officeDocument/2006/relationships/hyperlink" Id="rId198" Target="https://doi.org/10.1037/0882-7974.19.2.243" TargetMode="External" /><Relationship Type="http://schemas.openxmlformats.org/officeDocument/2006/relationships/hyperlink" Id="rId259" Target="https://doi.org/10.1037/1040-3590.16.2.107" TargetMode="External" /><Relationship Type="http://schemas.openxmlformats.org/officeDocument/2006/relationships/hyperlink" Id="rId230" Target="https://doi.org/10.1037/13129-000" TargetMode="External" /><Relationship Type="http://schemas.openxmlformats.org/officeDocument/2006/relationships/hyperlink" Id="rId128" Target="https://doi.org/10.1037/14048-008" TargetMode="External" /><Relationship Type="http://schemas.openxmlformats.org/officeDocument/2006/relationships/hyperlink" Id="rId370" Target="https://doi.org/10.1037/a0021519" TargetMode="External" /><Relationship Type="http://schemas.openxmlformats.org/officeDocument/2006/relationships/hyperlink" Id="rId270" Target="https://doi.org/10.1037/a0023678" TargetMode="External" /><Relationship Type="http://schemas.openxmlformats.org/officeDocument/2006/relationships/hyperlink" Id="rId397" Target="https://doi.org/10.1037/a0030133" TargetMode="External" /><Relationship Type="http://schemas.openxmlformats.org/officeDocument/2006/relationships/hyperlink" Id="rId339" Target="https://doi.org/10.1037/abn0000171" TargetMode="External" /><Relationship Type="http://schemas.openxmlformats.org/officeDocument/2006/relationships/hyperlink" Id="rId330" Target="https://doi.org/10.1037/abn0000232" TargetMode="External" /><Relationship Type="http://schemas.openxmlformats.org/officeDocument/2006/relationships/hyperlink" Id="rId247" Target="https://doi.org/10.1037/abn0000258" TargetMode="External" /><Relationship Type="http://schemas.openxmlformats.org/officeDocument/2006/relationships/hyperlink" Id="rId356" Target="https://doi.org/10.1037/abn0000751" TargetMode="External" /><Relationship Type="http://schemas.openxmlformats.org/officeDocument/2006/relationships/hyperlink" Id="rId181" Target="https://doi.org/10.1037/abn0001084" TargetMode="External" /><Relationship Type="http://schemas.openxmlformats.org/officeDocument/2006/relationships/hyperlink" Id="rId315" Target="https://doi.org/10.1037/dev0000449" TargetMode="External" /><Relationship Type="http://schemas.openxmlformats.org/officeDocument/2006/relationships/hyperlink" Id="rId341" Target="https://doi.org/10.1037/dev0001095" TargetMode="External" /><Relationship Type="http://schemas.openxmlformats.org/officeDocument/2006/relationships/hyperlink" Id="rId303" Target="https://doi.org/10.1037/dev0001657" TargetMode="External" /><Relationship Type="http://schemas.openxmlformats.org/officeDocument/2006/relationships/hyperlink" Id="rId108" Target="https://doi.org/10.1037/edu0000461" TargetMode="External" /><Relationship Type="http://schemas.openxmlformats.org/officeDocument/2006/relationships/hyperlink" Id="rId137" Target="https://doi.org/10.1037/met0000077" TargetMode="External" /><Relationship Type="http://schemas.openxmlformats.org/officeDocument/2006/relationships/hyperlink" Id="rId192" Target="https://doi.org/10.1037/met0000563" TargetMode="External" /><Relationship Type="http://schemas.openxmlformats.org/officeDocument/2006/relationships/hyperlink" Id="rId167" Target="https://doi.org/10.1037/met0000685" TargetMode="External" /><Relationship Type="http://schemas.openxmlformats.org/officeDocument/2006/relationships/hyperlink" Id="rId343" Target="https://doi.org/10.1037/pas0000648" TargetMode="External" /><Relationship Type="http://schemas.openxmlformats.org/officeDocument/2006/relationships/hyperlink" Id="rId319" Target="https://doi.org/10.1037/pas0000754" TargetMode="External" /><Relationship Type="http://schemas.openxmlformats.org/officeDocument/2006/relationships/hyperlink" Id="rId75" Target="https://doi.org/10.1037/pas0001441" TargetMode="External" /><Relationship Type="http://schemas.openxmlformats.org/officeDocument/2006/relationships/hyperlink" Id="rId358"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79" Target="https://doi.org/10.1080/00273171.2014.889594" TargetMode="External" /><Relationship Type="http://schemas.openxmlformats.org/officeDocument/2006/relationships/hyperlink" Id="rId263" Target="https://doi.org/10.1080/00273171.2021.1941730" TargetMode="External" /><Relationship Type="http://schemas.openxmlformats.org/officeDocument/2006/relationships/hyperlink" Id="rId165" Target="https://doi.org/10.1080/00273171.2026.2640576" TargetMode="External" /><Relationship Type="http://schemas.openxmlformats.org/officeDocument/2006/relationships/hyperlink" Id="rId321" Target="https://doi.org/10.1080/10705511.2023.2191292" TargetMode="External" /><Relationship Type="http://schemas.openxmlformats.org/officeDocument/2006/relationships/hyperlink" Id="rId368" Target="https://doi.org/10.1080/15374416.2018.1561296" TargetMode="External" /><Relationship Type="http://schemas.openxmlformats.org/officeDocument/2006/relationships/hyperlink" Id="rId360" Target="https://doi.org/10.1080/15374416.2019.1622124" TargetMode="External" /><Relationship Type="http://schemas.openxmlformats.org/officeDocument/2006/relationships/hyperlink" Id="rId183" Target="https://doi.org/10.1080/15374416.2025.2484813" TargetMode="External" /><Relationship Type="http://schemas.openxmlformats.org/officeDocument/2006/relationships/hyperlink" Id="rId332" Target="https://doi.org/10.1086/269270" TargetMode="External" /><Relationship Type="http://schemas.openxmlformats.org/officeDocument/2006/relationships/hyperlink" Id="rId187" Target="https://doi.org/10.1108/978-1-61735-891-320251015" TargetMode="External" /><Relationship Type="http://schemas.openxmlformats.org/officeDocument/2006/relationships/hyperlink" Id="rId313" Target="https://doi.org/10.1111/cdev.13433" TargetMode="External" /><Relationship Type="http://schemas.openxmlformats.org/officeDocument/2006/relationships/hyperlink" Id="rId301" Target="https://doi.org/10.1111/desc.70216" TargetMode="External" /><Relationship Type="http://schemas.openxmlformats.org/officeDocument/2006/relationships/hyperlink" Id="rId145" Target="https://doi.org/10.1111/j.1467-8624.2004.00755.x" TargetMode="External" /><Relationship Type="http://schemas.openxmlformats.org/officeDocument/2006/relationships/hyperlink" Id="rId276" Target="https://doi.org/10.1111/j.1467-9507.2008.00480.x" TargetMode="External" /><Relationship Type="http://schemas.openxmlformats.org/officeDocument/2006/relationships/hyperlink" Id="rId326" Target="https://doi.org/10.1111/j.1469-7610.2006.01614.x" TargetMode="External" /><Relationship Type="http://schemas.openxmlformats.org/officeDocument/2006/relationships/hyperlink" Id="rId175" Target="https://doi.org/10.1111/j.1469-7610.2011.02511.x" TargetMode="External" /><Relationship Type="http://schemas.openxmlformats.org/officeDocument/2006/relationships/hyperlink" Id="rId232" Target="https://doi.org/10.1111/j.1469-7610.2012.02585.x" TargetMode="External" /><Relationship Type="http://schemas.openxmlformats.org/officeDocument/2006/relationships/hyperlink" Id="rId391" Target="https://doi.org/10.1111/j.1750-8606.2009.00110.x" TargetMode="External" /><Relationship Type="http://schemas.openxmlformats.org/officeDocument/2006/relationships/hyperlink" Id="rId242" Target="https://doi.org/10.1111/j.1750-8606.2009.00112.x" TargetMode="External" /><Relationship Type="http://schemas.openxmlformats.org/officeDocument/2006/relationships/hyperlink" Id="rId194" Target="https://doi.org/10.1111/jcpp.12102" TargetMode="External" /><Relationship Type="http://schemas.openxmlformats.org/officeDocument/2006/relationships/hyperlink" Id="rId347" Target="https://doi.org/10.1111/jcpp.13549" TargetMode="External" /><Relationship Type="http://schemas.openxmlformats.org/officeDocument/2006/relationships/hyperlink" Id="rId139" Target="https://doi.org/10.1111/jcpp.70057" TargetMode="External" /><Relationship Type="http://schemas.openxmlformats.org/officeDocument/2006/relationships/hyperlink" Id="rId328" Target="https://doi.org/10.1111/jcpp.70180" TargetMode="External" /><Relationship Type="http://schemas.openxmlformats.org/officeDocument/2006/relationships/hyperlink" Id="rId236" Target="https://doi.org/10.1111/jora.12252" TargetMode="External" /><Relationship Type="http://schemas.openxmlformats.org/officeDocument/2006/relationships/hyperlink" Id="rId249" Target="https://doi.org/10.1111/psyp.12551" TargetMode="External" /><Relationship Type="http://schemas.openxmlformats.org/officeDocument/2006/relationships/hyperlink" Id="rId185" Target="https://doi.org/10.1126/science.2270481" TargetMode="External" /><Relationship Type="http://schemas.openxmlformats.org/officeDocument/2006/relationships/hyperlink" Id="rId291" Target="https://doi.org/10.1146/annurev-clinpsy-061324-073435" TargetMode="External" /><Relationship Type="http://schemas.openxmlformats.org/officeDocument/2006/relationships/hyperlink" Id="rId285" Target="https://doi.org/10.1159/000270073" TargetMode="External" /><Relationship Type="http://schemas.openxmlformats.org/officeDocument/2006/relationships/hyperlink" Id="rId223" Target="https://doi.org/10.1176/appi.ajp.2008.08030366" TargetMode="External" /><Relationship Type="http://schemas.openxmlformats.org/officeDocument/2006/relationships/hyperlink" Id="rId386" Target="https://doi.org/10.1177/0049124121995521" TargetMode="External" /><Relationship Type="http://schemas.openxmlformats.org/officeDocument/2006/relationships/hyperlink" Id="rId388" Target="https://doi.org/10.1177/00491241221091754" TargetMode="External" /><Relationship Type="http://schemas.openxmlformats.org/officeDocument/2006/relationships/hyperlink" Id="rId372" Target="https://doi.org/10.1177/0093854812443645" TargetMode="External" /><Relationship Type="http://schemas.openxmlformats.org/officeDocument/2006/relationships/hyperlink" Id="rId177" Target="https://doi.org/10.1177/0146621612470210" TargetMode="External" /><Relationship Type="http://schemas.openxmlformats.org/officeDocument/2006/relationships/hyperlink" Id="rId289" Target="https://doi.org/10.1177/0165025415618275" TargetMode="External" /><Relationship Type="http://schemas.openxmlformats.org/officeDocument/2006/relationships/hyperlink" Id="rId393" Target="https://doi.org/10.1177/0165025419880610" TargetMode="External" /><Relationship Type="http://schemas.openxmlformats.org/officeDocument/2006/relationships/hyperlink" Id="rId133" Target="https://doi.org/10.1177/0269758014537147" TargetMode="External" /><Relationship Type="http://schemas.openxmlformats.org/officeDocument/2006/relationships/hyperlink" Id="rId202" Target="https://doi.org/10.1177/08902070241228338" TargetMode="External" /><Relationship Type="http://schemas.openxmlformats.org/officeDocument/2006/relationships/hyperlink" Id="rId354" Target="https://doi.org/10.1177/1362361320908972" TargetMode="External" /><Relationship Type="http://schemas.openxmlformats.org/officeDocument/2006/relationships/hyperlink" Id="rId159" Target="https://doi.org/10.1177/2167702613497473" TargetMode="External" /><Relationship Type="http://schemas.openxmlformats.org/officeDocument/2006/relationships/hyperlink" Id="rId324" Target="https://doi.org/10.1177/25152459251342750" TargetMode="External" /><Relationship Type="http://schemas.openxmlformats.org/officeDocument/2006/relationships/hyperlink" Id="rId297" Target="https://doi.org/10.1371/journal.pone.0063109" TargetMode="External" /><Relationship Type="http://schemas.openxmlformats.org/officeDocument/2006/relationships/hyperlink" Id="rId209" Target="https://doi.org/10.1378/chest.116.5.1208" TargetMode="External" /><Relationship Type="http://schemas.openxmlformats.org/officeDocument/2006/relationships/hyperlink" Id="rId169" Target="https://doi.org/10.14283/jfa.2012.9" TargetMode="External" /><Relationship Type="http://schemas.openxmlformats.org/officeDocument/2006/relationships/hyperlink" Id="rId337" Target="https://doi.org/10.18148/srm/2018.v12i1.7210" TargetMode="External" /><Relationship Type="http://schemas.openxmlformats.org/officeDocument/2006/relationships/hyperlink" Id="rId211" Target="https://doi.org/10.22237/jmasm/1209614640" TargetMode="External" /><Relationship Type="http://schemas.openxmlformats.org/officeDocument/2006/relationships/hyperlink" Id="rId189" Target="https://doi.org/10.2307/2095245" TargetMode="External" /><Relationship Type="http://schemas.openxmlformats.org/officeDocument/2006/relationships/hyperlink" Id="rId362" Target="https://doi.org/10.2307/j.ctt2jbxs1" TargetMode="External" /><Relationship Type="http://schemas.openxmlformats.org/officeDocument/2006/relationships/hyperlink" Id="rId116" Target="https://doi.org/10.25820/work.007199" TargetMode="External" /><Relationship Type="http://schemas.openxmlformats.org/officeDocument/2006/relationships/hyperlink" Id="rId364"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73" Target="https://doi.org/10.3389/fpsyg.2014.00982" TargetMode="External" /><Relationship Type="http://schemas.openxmlformats.org/officeDocument/2006/relationships/hyperlink" Id="rId395"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3" Target="https://quantitudepod.org/latent-means/ (archived at: https://perma.cc/5JL3-YUP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2026-07-22T15:38:15Z</dcterms:created>
  <dcterms:modified xsi:type="dcterms:W3CDTF">2026-07-22T15:38:15Z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2026-07-22</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11166</vt:lpwstr>
  </property>
  <property fmtid="{D5CDD505-2E9C-101B-9397-08002B2CF9AE}" pid="83" name="zerocitations">
    <vt:lpwstr>False</vt:lpwstr>
  </property>
</Properties>
</file>