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6.jpg" ContentType="image/jpeg"/>
  <Override PartName="/word/media/rId42.jpg" ContentType="image/jpeg"/>
  <Override PartName="/word/media/rId53.png" ContentType="image/png"/>
  <Override PartName="/word/media/rId70.jpg" ContentType="image/jpeg"/>
  <Override PartName="/word/media/rId57.png" ContentType="image/png"/>
  <Override PartName="/word/media/rId23.svg" ContentType="image/svg+xml"/>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63"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52" w:name="fig-lifespanCognitiveTrajectories"/>
    <w:bookmarkStart w:id="45" w:name="Xd1e55b3d5b5f80dd51bcf661355a8795db0a2fa"/>
    <w:p>
      <w:pPr>
        <w:pStyle w:val="FigureWithoutNote"/>
      </w:pPr>
      <w:r>
        <w:t xml:space="preserve">(A) Hypothetical models for different cognitive trajectories of aging.</w:t>
      </w:r>
    </w:p>
    <w:p>
      <w:pPr>
        <w:pStyle w:val="FigureWithoutNote"/>
      </w:pPr>
      <w:r>
        <w:drawing>
          <wp:inline>
            <wp:extent cx="3154680" cy="2120646"/>
            <wp:effectExtent b="0" l="0" r="0" t="0"/>
            <wp:docPr descr="" title="" id="43" name="Picture"/>
            <a:graphic>
              <a:graphicData uri="http://schemas.openxmlformats.org/drawingml/2006/picture">
                <pic:pic>
                  <pic:nvPicPr>
                    <pic:cNvPr descr="Figures/Borelli2018_figure1.jpg" id="44" name="Picture"/>
                    <pic:cNvPicPr>
                      <a:picLocks noChangeArrowheads="1" noChangeAspect="1"/>
                    </pic:cNvPicPr>
                  </pic:nvPicPr>
                  <pic:blipFill>
                    <a:blip r:embed="rId42"/>
                    <a:stretch>
                      <a:fillRect/>
                    </a:stretch>
                  </pic:blipFill>
                  <pic:spPr bwMode="auto">
                    <a:xfrm>
                      <a:off x="0" y="0"/>
                      <a:ext cx="3154680" cy="2120646"/>
                    </a:xfrm>
                    <a:prstGeom prst="rect">
                      <a:avLst/>
                    </a:prstGeom>
                    <a:noFill/>
                    <a:ln w="9525">
                      <a:noFill/>
                      <a:headEnd/>
                      <a:tailEnd/>
                    </a:ln>
                  </pic:spPr>
                </pic:pic>
              </a:graphicData>
            </a:graphic>
          </wp:inline>
        </w:drawing>
      </w:r>
    </w:p>
    <w:bookmarkEnd w:id="45"/>
    <w:p>
      <w:pPr>
        <w:framePr w:w="0" w:h="0" w:vAnchor="margin" w:hAnchor="margin" w:xAlign="right" w:yAlign="top"/>
      </w:pPr>
    </w:p>
    <w:bookmarkStart w:id="49" w:name="X736eba663f16445ceb4e3c4439392c2fce09d7e"/>
    <w:p>
      <w:pPr>
        <w:pStyle w:val="FigureWithoutNote"/>
      </w:pPr>
      <w:r>
        <w:t xml:space="preserve">(B) Theoretical illustration of inter-individual variability in cognitive aging trajectories.</w:t>
      </w:r>
    </w:p>
    <w:p>
      <w:pPr>
        <w:pStyle w:val="FigureWithoutNote"/>
      </w:pPr>
      <w:r>
        <w:drawing>
          <wp:inline>
            <wp:extent cx="3154680" cy="2358904"/>
            <wp:effectExtent b="0" l="0" r="0" t="0"/>
            <wp:docPr descr="" title="" id="47" name="Picture"/>
            <a:graphic>
              <a:graphicData uri="http://schemas.openxmlformats.org/drawingml/2006/picture">
                <pic:pic>
                  <pic:nvPicPr>
                    <pic:cNvPr descr="Figures/Abrous2026_figure1.jpg" id="48" name="Picture"/>
                    <pic:cNvPicPr>
                      <a:picLocks noChangeArrowheads="1" noChangeAspect="1"/>
                    </pic:cNvPicPr>
                  </pic:nvPicPr>
                  <pic:blipFill>
                    <a:blip r:embed="rId46"/>
                    <a:stretch>
                      <a:fillRect/>
                    </a:stretch>
                  </pic:blipFill>
                  <pic:spPr bwMode="auto">
                    <a:xfrm>
                      <a:off x="0" y="0"/>
                      <a:ext cx="3154680" cy="2358904"/>
                    </a:xfrm>
                    <a:prstGeom prst="rect">
                      <a:avLst/>
                    </a:prstGeom>
                    <a:noFill/>
                    <a:ln w="9525">
                      <a:noFill/>
                      <a:headEnd/>
                      <a:tailEnd/>
                    </a:ln>
                  </pic:spPr>
                </pic:pic>
              </a:graphicData>
            </a:graphic>
          </wp:inline>
        </w:drawing>
      </w:r>
    </w:p>
    <w:bookmarkEnd w:id="49"/>
    <w:p>
      <w:pPr>
        <w:pStyle w:val="FigureTitle"/>
      </w:pPr>
      <w:r>
        <w:t xml:space="preserve">Figure 1</w:t>
      </w:r>
    </w:p>
    <w:p>
      <w:pPr>
        <w:pStyle w:val="Caption"/>
      </w:pPr>
      <w:r>
        <w:rPr>
          <w:b/>
          <w:bCs/>
        </w:rPr>
        <w:t xml:space="preserve">Panel A</w:t>
      </w:r>
      <w:r>
        <w:t xml:space="preserve">: Hypothetical models for different cognitive trajectories of aging.</w:t>
      </w:r>
      <w:r>
        <w:t xml:space="preserve"> </w:t>
      </w:r>
      <w:r>
        <w:t xml:space="preserve">MCI = mild cognitive impairment.</w:t>
      </w:r>
      <w:r>
        <w:t xml:space="preserve"> </w:t>
      </w:r>
      <w:r>
        <w:t xml:space="preserve">(Figure in Panel B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r>
        <w:t xml:space="preserve">).</w:t>
      </w:r>
      <w:r>
        <w:t xml:space="preserve"> </w:t>
      </w:r>
      <w:r>
        <w:rPr>
          <w:b/>
          <w:bCs/>
        </w:rPr>
        <w:t xml:space="preserve">Panel B</w:t>
      </w:r>
      <w:r>
        <w:t xml:space="preserve">: Theoretical illustration of inter-individual variability in cognitive aging trajectories.</w:t>
      </w:r>
      <w:r>
        <w:t xml:space="preserve"> </w:t>
      </w:r>
      <w:r>
        <w:t xml:space="preserve">Each grey line represents one individual hypothetical cognitive health trajectory.</w:t>
      </w:r>
      <w:r>
        <w:t xml:space="preserve"> </w:t>
      </w:r>
      <w:r>
        <w:t xml:space="preserve">The orange line marks the threshold for functional independence; once an individual’s cognitive health drops below this level, autonomous daily living is compromised.</w:t>
      </w:r>
      <w:r>
        <w:t xml:space="preserve"> </w:t>
      </w:r>
      <w:r>
        <w:t xml:space="preserve">(Figure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r>
        <w:t xml:space="preserve">)</w:t>
      </w:r>
    </w:p>
    <w:bookmarkEnd w:id="52"/>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externalizingByAge">
        <w:r>
          <w:rPr>
            <w:rStyle w:val="Hyperlink"/>
          </w:rPr>
          <w:t xml:space="preserve">Figure 2</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developmentalTaxonomy">
        <w:r>
          <w:rPr>
            <w:rStyle w:val="Hyperlink"/>
          </w:rPr>
          <w:t xml:space="preserve">Figure 2B</w:t>
        </w:r>
      </w:hyperlink>
      <w:r>
        <w:t xml:space="preserve">.</w:t>
      </w:r>
      <w:r>
        <w:t xml:space="preserve"> </w:t>
      </w:r>
      <w:r>
        <w:t xml:space="preserve">Moffitt’s general hypothesis is that life-course persistent externalizing behavior reflects early disruptions in brain development either in utero (resulting from, for example, maternal substance use, poor prenatal nutrition, genetics, or exposure to toxins), during delivery (e.g., delivery complications), or after birth (e.g., child abuse or neglect, or exposure to toxins), in perhaps conjunction with coercive parent–child interactions or other adverse environments.</w:t>
      </w:r>
      <w:r>
        <w:t xml:space="preserve"> </w:t>
      </w:r>
      <w:r>
        <w:t xml:space="preserve"> </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r>
        <w:t xml:space="preserve"> </w:t>
      </w:r>
      <w:r>
        <w:t xml:space="preserve"> </w:t>
      </w:r>
      <w:r>
        <w:t xml:space="preserve">However, the trajectories were characterized by marked individual differences—some individuals stayed low, some increased, some decreased, some increased then decreased, and seemingly everything in between.</w:t>
      </w:r>
      <w:r>
        <w:t xml:space="preserve"> </w:t>
      </w:r>
      <w:r>
        <w:t xml:space="preserve"> </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62" w:name="fig-externalizingByAge"/>
    <w:bookmarkStart w:id="56" w:name="fig-ageCrimeCurve"/>
    <w:p>
      <w:pPr>
        <w:pStyle w:val="FigureWithoutNote"/>
      </w:pPr>
      <w:r>
        <w:t xml:space="preserve">(A) Age-crime curve.</w:t>
      </w:r>
    </w:p>
    <w:p>
      <w:pPr>
        <w:pStyle w:val="FigureWithoutNote"/>
      </w:pPr>
      <w:r>
        <w:drawing>
          <wp:inline>
            <wp:extent cx="2971800" cy="1487446"/>
            <wp:effectExtent b="0" l="0" r="0" t="0"/>
            <wp:docPr descr="" title="" id="54" name="Picture"/>
            <a:graphic>
              <a:graphicData uri="http://schemas.openxmlformats.org/drawingml/2006/picture">
                <pic:pic>
                  <pic:nvPicPr>
                    <pic:cNvPr descr="Figures/Sivertsson2024_figure1.png" id="55" name="Picture"/>
                    <pic:cNvPicPr>
                      <a:picLocks noChangeArrowheads="1" noChangeAspect="1"/>
                    </pic:cNvPicPr>
                  </pic:nvPicPr>
                  <pic:blipFill>
                    <a:blip r:embed="rId53"/>
                    <a:stretch>
                      <a:fillRect/>
                    </a:stretch>
                  </pic:blipFill>
                  <pic:spPr bwMode="auto">
                    <a:xfrm>
                      <a:off x="0" y="0"/>
                      <a:ext cx="2971800" cy="1487446"/>
                    </a:xfrm>
                    <a:prstGeom prst="rect">
                      <a:avLst/>
                    </a:prstGeom>
                    <a:noFill/>
                    <a:ln w="9525">
                      <a:noFill/>
                      <a:headEnd/>
                      <a:tailEnd/>
                    </a:ln>
                  </pic:spPr>
                </pic:pic>
              </a:graphicData>
            </a:graphic>
          </wp:inline>
        </w:drawing>
      </w:r>
    </w:p>
    <w:bookmarkEnd w:id="56"/>
    <w:p>
      <w:pPr>
        <w:framePr w:w="0" w:h="0" w:vAnchor="margin" w:hAnchor="margin" w:xAlign="right" w:yAlign="top"/>
      </w:pPr>
    </w:p>
    <w:bookmarkStart w:id="60" w:name="fig-developmentalTaxonomy"/>
    <w:p>
      <w:pPr>
        <w:pStyle w:val="FigureWithoutNote"/>
      </w:pPr>
      <w:r>
        <w:t xml:space="preserve">(B)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w:t>
      </w:r>
    </w:p>
    <w:p>
      <w:pPr>
        <w:pStyle w:val="FigureWithoutNote"/>
      </w:pPr>
      <w:r>
        <w:drawing>
          <wp:inline>
            <wp:extent cx="2971800" cy="1443538"/>
            <wp:effectExtent b="0" l="0" r="0" t="0"/>
            <wp:docPr descr="" title="" id="58" name="Picture"/>
            <a:graphic>
              <a:graphicData uri="http://schemas.openxmlformats.org/drawingml/2006/picture">
                <pic:pic>
                  <pic:nvPicPr>
                    <pic:cNvPr descr="Figures/developmentalTaxonomy.png" id="59" name="Picture"/>
                    <pic:cNvPicPr>
                      <a:picLocks noChangeArrowheads="1" noChangeAspect="1"/>
                    </pic:cNvPicPr>
                  </pic:nvPicPr>
                  <pic:blipFill>
                    <a:blip r:embed="rId57"/>
                    <a:stretch>
                      <a:fillRect/>
                    </a:stretch>
                  </pic:blipFill>
                  <pic:spPr bwMode="auto">
                    <a:xfrm>
                      <a:off x="0" y="0"/>
                      <a:ext cx="2971800" cy="1443538"/>
                    </a:xfrm>
                    <a:prstGeom prst="rect">
                      <a:avLst/>
                    </a:prstGeom>
                    <a:noFill/>
                    <a:ln w="9525">
                      <a:noFill/>
                      <a:headEnd/>
                      <a:tailEnd/>
                    </a:ln>
                  </pic:spPr>
                </pic:pic>
              </a:graphicData>
            </a:graphic>
          </wp:inline>
        </w:drawing>
      </w:r>
    </w:p>
    <w:bookmarkEnd w:id="60"/>
    <w:p>
      <w:pPr>
        <w:pStyle w:val="FigureTitle"/>
      </w:pPr>
      <w:r>
        <w:t xml:space="preserve">Figure 2</w:t>
      </w:r>
    </w:p>
    <w:p>
      <w:pPr>
        <w:pStyle w:val="Caption"/>
      </w:pP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crime records.</w:t>
      </w:r>
      <w:r>
        <w:t xml:space="preserve"> </w:t>
      </w:r>
      <w:r>
        <w:t xml:space="preserve">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w:t>
      </w:r>
      <w:r>
        <w:t xml:space="preserve"> </w:t>
      </w:r>
      <w:r>
        <w:t xml:space="preserve">(Figure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1">
        <w:r>
          <w:rPr>
            <w:rStyle w:val="Hyperlink"/>
          </w:rPr>
          <w:t xml:space="preserve">https://doi.org/10.1016/j.jcrimjus.2024.102155</w:t>
        </w:r>
      </w:hyperlink>
      <w:r>
        <w:t xml:space="preserve">).</w:t>
      </w:r>
      <w:r>
        <w:t xml:space="preserve"> </w:t>
      </w:r>
      <w:r>
        <w:rPr>
          <w:b/>
          <w:bCs/>
        </w:rPr>
        <w:t xml:space="preserve">Panel B</w:t>
      </w:r>
      <w:r>
        <w:t xml:space="preserve">: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the childhood limited subgroup.</w:t>
      </w:r>
      <w:r>
        <w:t xml:space="preserve"> </w:t>
      </w:r>
    </w:p>
    <w:bookmarkEnd w:id="62"/>
    <w:p>
      <w:pPr>
        <w:pStyle w:val="BodyText"/>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63"/>
    <w:bookmarkStart w:id="64"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bookmarkEnd w:id="64"/>
    <w:bookmarkStart w:id="80"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68"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problems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 (</w:t>
      </w:r>
      <w:hyperlink w:anchor="ref-Moffitt1993">
        <w:r>
          <w:rPr>
            <w:rStyle w:val="Hyperlink"/>
          </w:rPr>
          <w:t xml:space="preserve">1993</w:t>
        </w:r>
      </w:hyperlink>
      <w:r>
        <w:t xml:space="preserve">)</w:t>
      </w:r>
      <w:r>
        <w:t xml:space="preserve"> </w:t>
      </w:r>
      <w:r>
        <w:t xml:space="preserve">noted that externalizing problems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 </w:t>
      </w:r>
      <w:r>
        <w:t xml:space="preserve">(p. 679).</w:t>
      </w:r>
      <w:r>
        <w:t xml:space="preserve"> </w:t>
      </w:r>
      <w:r>
        <w:t xml:space="preserve">In general, externalizing problems are often expressed as overt acts in early childhood, such as physical aggression and temper tantrums; whereas externalizing problems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
        <w:r>
          <w:rPr>
            <w:rStyle w:val="Hyperlink"/>
          </w:rPr>
          <w:t xml:space="preserve">Petersen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behavioral expression of externalizing problems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fighting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67"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65"/>
      </w:r>
      <w:r>
        <w:t xml:space="preserve">—the diagnostic criteria do not differ across development, even though diagnostic manuals acknowledge that developmental factors impact symptom presentation</w:t>
      </w:r>
      <w:r>
        <w:rPr>
          <w:rStyle w:val="FootnoteReference"/>
        </w:rPr>
        <w:footnoteReference w:id="66"/>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67"/>
    <w:bookmarkEnd w:id="68"/>
    <w:bookmarkStart w:id="78"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74"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p>
    <w:p>
      <w:pPr>
        <w:pStyle w:val="BodyText"/>
      </w:pPr>
      <w:r>
        <w:t xml:space="preserve">However, measures show insufficient differences in which items are assessed at which ages to account for heterotypic continuity.</w:t>
      </w:r>
      <w:r>
        <w:t xml:space="preserve"> </w:t>
      </w:r>
      <w:r>
        <w:t xml:space="preserve">For example, the same version of the Child Behavior Checklist (CBCL) spans ages 6–18.</w:t>
      </w:r>
      <w:r>
        <w:t xml:space="preserve"> </w:t>
      </w:r>
      <w:r>
        <w:t xml:space="preserve">Considerable development occurs during that span.</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3</w:t>
        </w:r>
      </w:hyperlink>
      <w:r>
        <w:t xml:space="preserve">.</w:t>
      </w:r>
      <w:r>
        <w:t xml:space="preserve"> </w:t>
      </w:r>
      <w:r>
        <w:t xml:space="preserve">The</w:t>
      </w:r>
      <w:r>
        <w:t xml:space="preserve"> </w:t>
      </w:r>
      <w:r>
        <w:t xml:space="preserve">“common items”</w:t>
      </w:r>
      <w:r>
        <w:t xml:space="preserve"> </w:t>
      </w:r>
      <w:r>
        <w:t xml:space="preserve">approach removes items that are age specific.</w:t>
      </w:r>
      <w:r>
        <w:t xml:space="preserve"> </w:t>
      </w:r>
      <w:r>
        <w:t xml:space="preserve">For example, in a study of externalizing problems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 (2008, p. 676) 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 (2013, p. 84) 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73" w:name="fig-approachesToLongitudinalAssessment"/>
    <w:p>
      <w:pPr>
        <w:pStyle w:val="FigureTitle"/>
      </w:pPr>
      <w:r>
        <w:t xml:space="preserve">Figure 3</w:t>
      </w:r>
    </w:p>
    <w:p>
      <w:pPr>
        <w:pStyle w:val="Caption"/>
      </w:pPr>
      <w:r>
        <w:t xml:space="preserve">Item set A refers to items that are construct-valid at only timepoint 1 (T1); item set B is construct-valid at both T1 and T2; item set C is construct-valid at only T2.</w:t>
      </w:r>
      <w:r>
        <w:t xml:space="preserve"> </w:t>
      </w:r>
      <w:r>
        <w:t xml:space="preserve">A dash indicates that the item set was not assessed at a given timepoint.</w:t>
      </w:r>
      <w:r>
        <w:t xml:space="preserve"> </w:t>
      </w:r>
      <w:r>
        <w:t xml:space="preserve">A white box indicates invalid assessment in terms of either a content gap (i.e., important missing items) or intrusion (i.e., invalid items at a given timepoint).</w:t>
      </w:r>
      <w:r>
        <w:t xml:space="preserve"> </w:t>
      </w:r>
      <w:r>
        <w:t xml:space="preserve">In a study of externalizing problems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w:t>
      </w:r>
      <w:r>
        <w:t xml:space="preserve"> </w:t>
      </w:r>
      <w:r>
        <w:t xml:space="preserve">The three approaches are: (1) common items: B at T1 and T2, (2) upward/downward extension: ABC at T1 and T2, or (3) construct-valid items: AB at T1; BC at T2.</w:t>
      </w:r>
      <w:r>
        <w:t xml:space="preserve"> </w:t>
      </w:r>
      <w:r>
        <w:t xml:space="preserve">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w:t>
      </w:r>
      <w:r>
        <w:t xml:space="preserve"> </w:t>
      </w:r>
      <w:r>
        <w:t xml:space="preserve">(Figure reprinted from</w:t>
      </w:r>
      <w:r>
        <w:t xml:space="preserve"> </w:t>
      </w:r>
      <w:r>
        <w:t xml:space="preserve">Petersen et al. (</w:t>
      </w:r>
      <w:hyperlink w:anchor="ref-Petersen2026">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69">
        <w:r>
          <w:rPr>
            <w:rStyle w:val="Hyperlink"/>
          </w:rPr>
          <w:t xml:space="preserve">https://doi.org/10.1016/j.jaacop.2025.10.008</w:t>
        </w:r>
      </w:hyperlink>
      <w:r>
        <w:t xml:space="preserve">)</w:t>
      </w:r>
    </w:p>
    <w:p>
      <w:pPr>
        <w:pStyle w:val="FigureWithoutNote"/>
      </w:pPr>
      <w:r>
        <w:drawing>
          <wp:inline>
            <wp:extent cx="5943600" cy="2351289"/>
            <wp:effectExtent b="0" l="0" r="0" t="0"/>
            <wp:docPr descr="" title="" id="71" name="Picture"/>
            <a:graphic>
              <a:graphicData uri="http://schemas.openxmlformats.org/drawingml/2006/picture">
                <pic:pic>
                  <pic:nvPicPr>
                    <pic:cNvPr descr="Figures/approachesToLongitudinalAssessment.jpg" id="72" name="Picture"/>
                    <pic:cNvPicPr>
                      <a:picLocks noChangeArrowheads="1" noChangeAspect="1"/>
                    </pic:cNvPicPr>
                  </pic:nvPicPr>
                  <pic:blipFill>
                    <a:blip r:embed="rId70"/>
                    <a:stretch>
                      <a:fillRect/>
                    </a:stretch>
                  </pic:blipFill>
                  <pic:spPr bwMode="auto">
                    <a:xfrm>
                      <a:off x="0" y="0"/>
                      <a:ext cx="5943600" cy="2351289"/>
                    </a:xfrm>
                    <a:prstGeom prst="rect">
                      <a:avLst/>
                    </a:prstGeom>
                    <a:noFill/>
                    <a:ln w="9525">
                      <a:noFill/>
                      <a:headEnd/>
                      <a:tailEnd/>
                    </a:ln>
                  </pic:spPr>
                </pic:pic>
              </a:graphicData>
            </a:graphic>
          </wp:inline>
        </w:drawing>
      </w:r>
    </w:p>
    <w:bookmarkEnd w:id="73"/>
    <w:p>
      <w:pPr>
        <w:pStyle w:val="AfterWithoutNote"/>
      </w:pPr>
      <w:r>
        <w:t xml:space="preserve">Forcing use of the same measure across time naturally limits the ages a study can span, which prevents charting wider age spans.</w:t>
      </w:r>
      <w:r>
        <w:t xml:space="preserve"> </w:t>
      </w:r>
      <w:r>
        <w:t xml:space="preserve"> </w:t>
      </w:r>
      <w:r>
        <w:t xml:space="preserve"> </w:t>
      </w: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r>
        <w:t xml:space="preserve"> </w:t>
      </w:r>
      <w:r>
        <w:t xml:space="preserve">Due to these problems, both simulation and empirical work</w:t>
      </w:r>
      <w:r>
        <w:t xml:space="preserve"> </w:t>
      </w:r>
      <w:r>
        <w:t xml:space="preserve">(</w:t>
      </w:r>
      <w:hyperlink w:anchor="ref-Chen2015">
        <w:r>
          <w:rPr>
            <w:rStyle w:val="Hyperlink"/>
          </w:rPr>
          <w:t xml:space="preserve">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1">
        <w:r>
          <w:rPr>
            <w:rStyle w:val="Hyperlink"/>
          </w:rPr>
          <w:t xml:space="preserve">2021</w:t>
        </w:r>
      </w:hyperlink>
      <w:r>
        <w:t xml:space="preserve">,</w:t>
      </w:r>
      <w:r>
        <w:t xml:space="preserve"> </w:t>
      </w:r>
      <w:hyperlink w:anchor="ref-Petersen2026">
        <w:r>
          <w:rPr>
            <w:rStyle w:val="Hyperlink"/>
          </w:rPr>
          <w:t xml:space="preserve">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bookmarkEnd w:id="74"/>
    <w:bookmarkStart w:id="75" w:name="Xdc13d281466e499f4855c3876fd0a0cd5a1ffa2"/>
    <w:p>
      <w:pPr>
        <w:pStyle w:val="Heading3"/>
      </w:pPr>
      <w:r>
        <w:t xml:space="preserve">Do Not Allow Charting Individuals’ Change Over Time When the Construct Changes in Behavioral Manifestation</w:t>
      </w:r>
    </w:p>
    <w:p>
      <w:pPr>
        <w:pStyle w:val="FirstParagraph"/>
      </w:pPr>
      <w:r>
        <w:t xml:space="preserve">Even in cases where the items of a measure differ across ages (e.g., CBCL: ages 1.5–5 vs. ages 6–18), the scoring systems do not link scores across ages to be on the same scale while preserving change in level.</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p>
    <w:bookmarkEnd w:id="75"/>
    <w:bookmarkStart w:id="76"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 and insensitivity to change</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w:t>
      </w:r>
      <w:r>
        <w:t xml:space="preserve"> </w:t>
      </w:r>
      <w:r>
        <w:t xml:space="preserve">Moreover, Likert-type scales tend to focus on frequency of misbehavior and ignore intensity and severity.</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 2023</w:t>
        </w:r>
      </w:hyperlink>
      <w:r>
        <w:t xml:space="preserve">)</w:t>
      </w:r>
      <w:r>
        <w:t xml:space="preserve">.</w:t>
      </w:r>
      <w:r>
        <w:t xml:space="preserve"> </w:t>
      </w:r>
      <w:r>
        <w:t xml:space="preserve">Considerable evidence indicates that externalizing problems (and psychopathology, more generally) and their trajectories are best conceptualized dimensionally (or multi-dimensionally), not categorically.</w:t>
      </w:r>
      <w:r>
        <w:t xml:space="preserve"> </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p>
    <w:bookmarkEnd w:id="76"/>
    <w:bookmarkStart w:id="77"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p>
    <w:bookmarkEnd w:id="77"/>
    <w:bookmarkEnd w:id="78"/>
    <w:bookmarkStart w:id="79" w:name="example-externalizing-psychopathology"/>
    <w:p>
      <w:pPr>
        <w:pStyle w:val="Heading2"/>
      </w:pPr>
      <w:r>
        <w:t xml:space="preserve">Example: Externalizing Psychopathology</w:t>
      </w:r>
    </w:p>
    <w:bookmarkEnd w:id="79"/>
    <w:bookmarkEnd w:id="80"/>
    <w:bookmarkStart w:id="81" w:name="X90173f212147643646723f86a6ce6f8ad77bf31"/>
    <w:p>
      <w:pPr>
        <w:pStyle w:val="Heading1"/>
      </w:pPr>
      <w:r>
        <w:t xml:space="preserve">Solution: A Developmental Scaling Framework</w:t>
      </w:r>
    </w:p>
    <w:bookmarkEnd w:id="81"/>
    <w:bookmarkStart w:id="90" w:name="other-key-challenges-to-address"/>
    <w:p>
      <w:pPr>
        <w:pStyle w:val="Heading1"/>
      </w:pPr>
      <w:r>
        <w:t xml:space="preserve">Other Key Challenges to Address</w:t>
      </w:r>
    </w:p>
    <w:bookmarkStart w:id="86" w:name="sec-potential-confounds-of-change"/>
    <w:p>
      <w:pPr>
        <w:pStyle w:val="Heading2"/>
      </w:pPr>
      <w:r>
        <w:t xml:space="preserve">Potential Confounds of Change</w:t>
      </w:r>
    </w:p>
    <w:bookmarkStart w:id="82" w:name="practiceretest-effects"/>
    <w:p>
      <w:pPr>
        <w:pStyle w:val="Heading3"/>
      </w:pPr>
      <w:r>
        <w:t xml:space="preserve">Practice/Retest Effects</w:t>
      </w:r>
    </w:p>
    <w:bookmarkEnd w:id="82"/>
    <w:bookmarkStart w:id="83" w:name="period-and-cohort-effects"/>
    <w:p>
      <w:pPr>
        <w:pStyle w:val="Heading3"/>
      </w:pPr>
      <w:r>
        <w:t xml:space="preserve">Period and Cohort Effects</w:t>
      </w:r>
    </w:p>
    <w:bookmarkEnd w:id="83"/>
    <w:bookmarkStart w:id="84" w:name="measurement-error"/>
    <w:p>
      <w:pPr>
        <w:pStyle w:val="Heading3"/>
      </w:pPr>
      <w:r>
        <w:t xml:space="preserve">Measurement Error</w:t>
      </w:r>
    </w:p>
    <w:bookmarkEnd w:id="84"/>
    <w:bookmarkStart w:id="85" w:name="change-in-meaning-of-the-scores"/>
    <w:p>
      <w:pPr>
        <w:pStyle w:val="Heading3"/>
      </w:pPr>
      <w:r>
        <w:t xml:space="preserve">Change in Meaning of the Scores</w:t>
      </w:r>
    </w:p>
    <w:bookmarkEnd w:id="85"/>
    <w:bookmarkEnd w:id="86"/>
    <w:bookmarkStart w:id="87" w:name="factorial-invariance-across-time"/>
    <w:p>
      <w:pPr>
        <w:pStyle w:val="Heading2"/>
      </w:pPr>
      <w:r>
        <w:t xml:space="preserve">Factorial Invariance Across Time</w:t>
      </w:r>
    </w:p>
    <w:bookmarkEnd w:id="87"/>
    <w:bookmarkStart w:id="88" w:name="integration-across-multiple-sources"/>
    <w:p>
      <w:pPr>
        <w:pStyle w:val="Heading2"/>
      </w:pPr>
      <w:r>
        <w:t xml:space="preserve">Integration Across Multiple Sources</w:t>
      </w:r>
    </w:p>
    <w:bookmarkEnd w:id="88"/>
    <w:bookmarkStart w:id="89" w:name="obsolescence-of-items-and-measures"/>
    <w:p>
      <w:pPr>
        <w:pStyle w:val="Heading2"/>
      </w:pPr>
      <w:r>
        <w:t xml:space="preserve">Obsolescence of Items and Measures</w:t>
      </w:r>
    </w:p>
    <w:bookmarkEnd w:id="89"/>
    <w:bookmarkEnd w:id="90"/>
    <w:bookmarkStart w:id="91"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91"/>
    <w:bookmarkStart w:id="164" w:name="references"/>
    <w:p>
      <w:pPr>
        <w:pStyle w:val="Heading1"/>
      </w:pPr>
      <w:r>
        <w:t xml:space="preserve">References</w:t>
      </w:r>
    </w:p>
    <w:bookmarkStart w:id="163" w:name="refs"/>
    <w:bookmarkStart w:id="92"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p>
    <w:bookmarkEnd w:id="92"/>
    <w:bookmarkStart w:id="93"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Vols. 2: Testing and Assessment in Clinical and Counseling Psychology</w:t>
      </w:r>
      <w:r>
        <w:t xml:space="preserve"> </w:t>
      </w:r>
      <w:r>
        <w:t xml:space="preserve">(pp. 119–132). American Psychological Association.</w:t>
      </w:r>
    </w:p>
    <w:bookmarkEnd w:id="93"/>
    <w:bookmarkStart w:id="94"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94"/>
    <w:bookmarkStart w:id="96"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95">
        <w:r>
          <w:rPr>
            <w:rStyle w:val="Hyperlink"/>
          </w:rPr>
          <w:t xml:space="preserve">https://doi.org/10.1002/jcv2.70043</w:t>
        </w:r>
      </w:hyperlink>
    </w:p>
    <w:bookmarkEnd w:id="96"/>
    <w:bookmarkStart w:id="97"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p>
    <w:bookmarkEnd w:id="97"/>
    <w:bookmarkStart w:id="98"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Vols. 1: Theory and Method</w:t>
      </w:r>
      <w:r>
        <w:t xml:space="preserve"> </w:t>
      </w:r>
      <w:r>
        <w:t xml:space="preserve">(pp. 1–45).</w:t>
      </w:r>
    </w:p>
    <w:bookmarkEnd w:id="98"/>
    <w:bookmarkStart w:id="100"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99">
        <w:r>
          <w:rPr>
            <w:rStyle w:val="Hyperlink"/>
          </w:rPr>
          <w:t xml:space="preserve">https://doi.org/10.1007/s10802-012-9669-9</w:t>
        </w:r>
      </w:hyperlink>
    </w:p>
    <w:bookmarkEnd w:id="100"/>
    <w:bookmarkStart w:id="101"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p>
    <w:bookmarkEnd w:id="101"/>
    <w:bookmarkStart w:id="103"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02">
        <w:r>
          <w:rPr>
            <w:rStyle w:val="Hyperlink"/>
          </w:rPr>
          <w:t xml:space="preserve">https://doi.org/10.1007/s40865-015-0012-3</w:t>
        </w:r>
      </w:hyperlink>
    </w:p>
    <w:bookmarkEnd w:id="103"/>
    <w:bookmarkStart w:id="105"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04">
        <w:r>
          <w:rPr>
            <w:rStyle w:val="Hyperlink"/>
          </w:rPr>
          <w:t xml:space="preserve">https://doi.org/10.1037/0022-006X.70.1.6</w:t>
        </w:r>
      </w:hyperlink>
    </w:p>
    <w:bookmarkEnd w:id="105"/>
    <w:bookmarkStart w:id="107"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06">
        <w:r>
          <w:rPr>
            <w:rStyle w:val="Hyperlink"/>
          </w:rPr>
          <w:t xml:space="preserve">https://doi.org/10.1037/abn0001084</w:t>
        </w:r>
      </w:hyperlink>
    </w:p>
    <w:bookmarkEnd w:id="107"/>
    <w:bookmarkStart w:id="109" w:name="ref-Fairchild2013"/>
    <w:p>
      <w:pPr>
        <w:pStyle w:val="Bibliography"/>
      </w:pPr>
      <w:r>
        <w:t xml:space="preserve">Fairchild, G., Goozen, S. H. M. van, Calder, A. J., &amp; Goodyer, I. M. (2013). Research review: Evaluating and reformulating the developmental taxonomic theory of antisocial behaviour.</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108">
        <w:r>
          <w:rPr>
            <w:rStyle w:val="Hyperlink"/>
          </w:rPr>
          <w:t xml:space="preserve">https://doi.org/10.1111/jcpp.12102</w:t>
        </w:r>
      </w:hyperlink>
    </w:p>
    <w:bookmarkEnd w:id="109"/>
    <w:bookmarkStart w:id="111"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110">
        <w:r>
          <w:rPr>
            <w:rStyle w:val="Hyperlink"/>
          </w:rPr>
          <w:t xml:space="preserve">https://doi.org/10.1007/s00234-020-02562-1</w:t>
        </w:r>
      </w:hyperlink>
    </w:p>
    <w:bookmarkEnd w:id="111"/>
    <w:bookmarkStart w:id="113"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112">
        <w:r>
          <w:rPr>
            <w:rStyle w:val="Hyperlink"/>
          </w:rPr>
          <w:t xml:space="preserve">https://doi.org/10.1176/appi.ajp.2008.08030366</w:t>
        </w:r>
      </w:hyperlink>
    </w:p>
    <w:bookmarkEnd w:id="113"/>
    <w:bookmarkStart w:id="115"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114">
        <w:r>
          <w:rPr>
            <w:rStyle w:val="Hyperlink"/>
          </w:rPr>
          <w:t xml:space="preserve">https://doi.org/10.1007/s10826-018-1272-4</w:t>
        </w:r>
      </w:hyperlink>
    </w:p>
    <w:bookmarkEnd w:id="115"/>
    <w:bookmarkStart w:id="117"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116">
        <w:r>
          <w:rPr>
            <w:rStyle w:val="Hyperlink"/>
          </w:rPr>
          <w:t xml:space="preserve">https://doi.org/10.1111/j.1467-9507.2008.00480.x</w:t>
        </w:r>
      </w:hyperlink>
    </w:p>
    <w:bookmarkEnd w:id="117"/>
    <w:bookmarkStart w:id="119" w:name="ref-Moffitt1993"/>
    <w:p>
      <w:pPr>
        <w:pStyle w:val="Bibliography"/>
      </w:pPr>
      <w:r>
        <w:t xml:space="preserve">Moffitt, T. E. (1993). Adolescence-limited and life-course-persistent antisocial behavior: A 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118">
        <w:r>
          <w:rPr>
            <w:rStyle w:val="Hyperlink"/>
          </w:rPr>
          <w:t xml:space="preserve">https://doi.org/10.1037/0033-295X.100.4.674</w:t>
        </w:r>
      </w:hyperlink>
    </w:p>
    <w:bookmarkEnd w:id="119"/>
    <w:bookmarkStart w:id="121"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120">
        <w:r>
          <w:rPr>
            <w:rStyle w:val="Hyperlink"/>
          </w:rPr>
          <w:t xml:space="preserve">https://doi.org/10.1017/S0954579408000333</w:t>
        </w:r>
      </w:hyperlink>
    </w:p>
    <w:bookmarkEnd w:id="121"/>
    <w:bookmarkStart w:id="123"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122">
        <w:r>
          <w:rPr>
            <w:rStyle w:val="Hyperlink"/>
          </w:rPr>
          <w:t xml:space="preserve">https://doi.org/10.1371/journal.pone.0063109</w:t>
        </w:r>
      </w:hyperlink>
    </w:p>
    <w:bookmarkEnd w:id="123"/>
    <w:bookmarkStart w:id="125"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124">
        <w:r>
          <w:rPr>
            <w:rStyle w:val="Hyperlink"/>
          </w:rPr>
          <w:t xml:space="preserve">https://doi.org/10.1037/0022-006X.61.6.911</w:t>
        </w:r>
      </w:hyperlink>
    </w:p>
    <w:bookmarkEnd w:id="125"/>
    <w:bookmarkStart w:id="127"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126">
        <w:r>
          <w:rPr>
            <w:rStyle w:val="Hyperlink"/>
          </w:rPr>
          <w:t xml:space="preserve">https://doi.org/10.1111/desc.70216</w:t>
        </w:r>
      </w:hyperlink>
    </w:p>
    <w:bookmarkEnd w:id="127"/>
    <w:bookmarkStart w:id="129"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128">
        <w:r>
          <w:rPr>
            <w:rStyle w:val="Hyperlink"/>
          </w:rPr>
          <w:t xml:space="preserve">https://doi.org/10.1037/dev0001657</w:t>
        </w:r>
      </w:hyperlink>
    </w:p>
    <w:bookmarkEnd w:id="129"/>
    <w:bookmarkStart w:id="131"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130">
        <w:r>
          <w:rPr>
            <w:rStyle w:val="Hyperlink"/>
          </w:rPr>
          <w:t xml:space="preserve">https://doi.org/10.1017/S0954579414000789</w:t>
        </w:r>
      </w:hyperlink>
    </w:p>
    <w:bookmarkEnd w:id="131"/>
    <w:bookmarkStart w:id="133"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132">
        <w:r>
          <w:rPr>
            <w:rStyle w:val="Hyperlink"/>
          </w:rPr>
          <w:t xml:space="preserve">https://doi.org/10.1016/j.dr.2020.100935</w:t>
        </w:r>
      </w:hyperlink>
    </w:p>
    <w:bookmarkEnd w:id="133"/>
    <w:bookmarkStart w:id="134" w:name="ref-Petersen2026"/>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69">
        <w:r>
          <w:rPr>
            <w:rStyle w:val="Hyperlink"/>
          </w:rPr>
          <w:t xml:space="preserve">https://doi.org/10.1016/j.jaacop.2025.10.008</w:t>
        </w:r>
      </w:hyperlink>
    </w:p>
    <w:bookmarkEnd w:id="134"/>
    <w:bookmarkStart w:id="136" w:name="ref-Petersen2021"/>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135">
        <w:r>
          <w:rPr>
            <w:rStyle w:val="Hyperlink"/>
          </w:rPr>
          <w:t xml:space="preserve">https://doi.org/10.1111/cdev.13433</w:t>
        </w:r>
      </w:hyperlink>
    </w:p>
    <w:bookmarkEnd w:id="136"/>
    <w:bookmarkStart w:id="138"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137">
        <w:r>
          <w:rPr>
            <w:rStyle w:val="Hyperlink"/>
          </w:rPr>
          <w:t xml:space="preserve">https://doi.org/10.1037/dev0000449</w:t>
        </w:r>
      </w:hyperlink>
    </w:p>
    <w:bookmarkEnd w:id="138"/>
    <w:bookmarkStart w:id="140"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139">
        <w:r>
          <w:rPr>
            <w:rStyle w:val="Hyperlink"/>
          </w:rPr>
          <w:t xml:space="preserve">https://doi.org/10.1111/j.1469-7610.2006.01614.x</w:t>
        </w:r>
      </w:hyperlink>
    </w:p>
    <w:bookmarkEnd w:id="140"/>
    <w:bookmarkStart w:id="142"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141">
        <w:r>
          <w:rPr>
            <w:rStyle w:val="Hyperlink"/>
          </w:rPr>
          <w:t xml:space="preserve">https://doi.org/10.1086/269270</w:t>
        </w:r>
      </w:hyperlink>
    </w:p>
    <w:bookmarkEnd w:id="142"/>
    <w:bookmarkStart w:id="144"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143">
        <w:r>
          <w:rPr>
            <w:rStyle w:val="Hyperlink"/>
          </w:rPr>
          <w:t xml:space="preserve">https://doi.org/10.1037/0003-066X.54.2.93</w:t>
        </w:r>
      </w:hyperlink>
    </w:p>
    <w:bookmarkEnd w:id="144"/>
    <w:bookmarkStart w:id="145"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1">
        <w:r>
          <w:rPr>
            <w:rStyle w:val="Hyperlink"/>
          </w:rPr>
          <w:t xml:space="preserve">https://doi.org/10.1016/j.jcrimjus.2024.102155</w:t>
        </w:r>
      </w:hyperlink>
    </w:p>
    <w:bookmarkEnd w:id="145"/>
    <w:bookmarkStart w:id="146"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146"/>
    <w:bookmarkStart w:id="148"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(Volume 8, 2025), 239–268.</w:t>
      </w:r>
      <w:r>
        <w:t xml:space="preserve"> </w:t>
      </w:r>
      <w:hyperlink r:id="rId147">
        <w:r>
          <w:rPr>
            <w:rStyle w:val="Hyperlink"/>
          </w:rPr>
          <w:t xml:space="preserve">https://doi.org/10.1146/annurev-criminol-111523-122451</w:t>
        </w:r>
      </w:hyperlink>
    </w:p>
    <w:bookmarkEnd w:id="148"/>
    <w:bookmarkStart w:id="150"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149">
        <w:r>
          <w:rPr>
            <w:rStyle w:val="Hyperlink"/>
          </w:rPr>
          <w:t xml:space="preserve">https://doi.org/10.1017/S0954579407070174</w:t>
        </w:r>
      </w:hyperlink>
    </w:p>
    <w:bookmarkEnd w:id="150"/>
    <w:bookmarkStart w:id="152"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151">
        <w:r>
          <w:rPr>
            <w:rStyle w:val="Hyperlink"/>
          </w:rPr>
          <w:t xml:space="preserve">https://doi.org/10.1037/abn0000751</w:t>
        </w:r>
      </w:hyperlink>
    </w:p>
    <w:bookmarkEnd w:id="152"/>
    <w:bookmarkStart w:id="154" w:name="ref-Tiego2023"/>
    <w:p>
      <w:pPr>
        <w:pStyle w:val="Bibliography"/>
      </w:pPr>
      <w:r>
        <w:t xml:space="preserve">Tiego, J., Martin, E. A., DeYoung, C. G., Hagan, K., Cooper, S. E., Pasion, R., Satchell, L., Shackman, A. J., Bellgrove, M. A., Fornito, A., Abend, R., Goulter, N., Eaton, N. R., Kaczkurkin, A. N., Nusslock, R., &amp; HiTOP Neurobiological Foundations Work Group, the.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153">
        <w:r>
          <w:rPr>
            <w:rStyle w:val="Hyperlink"/>
          </w:rPr>
          <w:t xml:space="preserve">https://doi.org/10.1038/s44220-023-00057-5</w:t>
        </w:r>
      </w:hyperlink>
    </w:p>
    <w:bookmarkEnd w:id="154"/>
    <w:bookmarkStart w:id="156"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155">
        <w:r>
          <w:rPr>
            <w:rStyle w:val="Hyperlink"/>
          </w:rPr>
          <w:t xml:space="preserve">https://doi.org/10.1080/15374416.2018.1561296</w:t>
        </w:r>
      </w:hyperlink>
    </w:p>
    <w:bookmarkEnd w:id="156"/>
    <w:bookmarkStart w:id="158"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157">
        <w:r>
          <w:rPr>
            <w:rStyle w:val="Hyperlink"/>
          </w:rPr>
          <w:t xml:space="preserve">https://doi.org/10.1016/j.dr.2008.01.001</w:t>
        </w:r>
      </w:hyperlink>
    </w:p>
    <w:bookmarkEnd w:id="158"/>
    <w:bookmarkStart w:id="160"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159">
        <w:r>
          <w:rPr>
            <w:rStyle w:val="Hyperlink"/>
          </w:rPr>
          <w:t xml:space="preserve">https://doi.org/10.1017/S0954579403000221</w:t>
        </w:r>
      </w:hyperlink>
    </w:p>
    <w:bookmarkEnd w:id="160"/>
    <w:bookmarkStart w:id="162"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161">
        <w:r>
          <w:rPr>
            <w:rStyle w:val="Hyperlink"/>
          </w:rPr>
          <w:t xml:space="preserve">https://icd.who.int</w:t>
        </w:r>
      </w:hyperlink>
    </w:p>
    <w:bookmarkEnd w:id="162"/>
    <w:bookmarkEnd w:id="163"/>
    <w:p>
      <w:r>
        <w:br w:type="page"/>
      </w:r>
    </w:p>
    <w:bookmarkEnd w:id="164"/>
    <w:p>
      <w:pPr>
        <w:pStyle w:val="Heading1"/>
      </w:pPr>
      <w:r>
        <w:t xml:space="preserve">Appendix A</w:t>
      </w:r>
    </w:p>
    <w:bookmarkStart w:id="165" w:name="apx-a"/>
    <w:p>
      <w:pPr>
        <w:pStyle w:val="Heading1"/>
      </w:pPr>
      <w:r>
        <w:t xml:space="preserve">This Section Is an Appendix</w:t>
      </w:r>
    </w:p>
    <w:p>
      <w:r>
        <w:br w:type="page"/>
      </w:r>
    </w:p>
    <w:bookmarkEnd w:id="165"/>
    <w:p>
      <w:pPr>
        <w:pStyle w:val="Heading1"/>
      </w:pPr>
      <w:r>
        <w:t xml:space="preserve">Appendix B</w:t>
      </w:r>
    </w:p>
    <w:bookmarkStart w:id="166" w:name="apx-b"/>
    <w:p>
      <w:pPr>
        <w:pStyle w:val="Heading1"/>
      </w:pPr>
      <w:r>
        <w:t xml:space="preserve">Another Appendix</w:t>
      </w:r>
    </w:p>
    <w:bookmarkEnd w:id="166"/>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5">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66">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6" Target="media/rId46.jpg" /><Relationship Type="http://schemas.openxmlformats.org/officeDocument/2006/relationships/image" Id="rId42" Target="media/rId42.jpg" /><Relationship Type="http://schemas.openxmlformats.org/officeDocument/2006/relationships/image" Id="rId53" Target="media/rId53.png" /><Relationship Type="http://schemas.openxmlformats.org/officeDocument/2006/relationships/image" Id="rId70" Target="media/rId70.jpg" /><Relationship Type="http://schemas.openxmlformats.org/officeDocument/2006/relationships/image" Id="rId57" Target="media/rId57.png" /><Relationship Type="http://schemas.openxmlformats.org/officeDocument/2006/relationships/image" Id="rId23" Target="media/rId23.sv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95" Target="https://doi.org/10.1002/jcv2.70043" TargetMode="External" /><Relationship Type="http://schemas.openxmlformats.org/officeDocument/2006/relationships/hyperlink" Id="rId110" Target="https://doi.org/10.1007/s00234-020-02562-1" TargetMode="External" /><Relationship Type="http://schemas.openxmlformats.org/officeDocument/2006/relationships/hyperlink" Id="rId99" Target="https://doi.org/10.1007/s10802-012-9669-9" TargetMode="External" /><Relationship Type="http://schemas.openxmlformats.org/officeDocument/2006/relationships/hyperlink" Id="rId114" Target="https://doi.org/10.1007/s10826-018-1272-4" TargetMode="External" /><Relationship Type="http://schemas.openxmlformats.org/officeDocument/2006/relationships/hyperlink" Id="rId102" Target="https://doi.org/10.1007/s40865-015-0012-3" TargetMode="External" /><Relationship Type="http://schemas.openxmlformats.org/officeDocument/2006/relationships/hyperlink" Id="rId51" Target="https://doi.org/10.1016/j.arr.2026.103102" TargetMode="External" /><Relationship Type="http://schemas.openxmlformats.org/officeDocument/2006/relationships/hyperlink" Id="rId157" Target="https://doi.org/10.1016/j.dr.2008.01.001" TargetMode="External" /><Relationship Type="http://schemas.openxmlformats.org/officeDocument/2006/relationships/hyperlink" Id="rId132" Target="https://doi.org/10.1016/j.dr.2020.100935" TargetMode="External" /><Relationship Type="http://schemas.openxmlformats.org/officeDocument/2006/relationships/hyperlink" Id="rId69" Target="https://doi.org/10.1016/j.jaacop.2025.10.008" TargetMode="External" /><Relationship Type="http://schemas.openxmlformats.org/officeDocument/2006/relationships/hyperlink" Id="rId61" Target="https://doi.org/10.1016/j.jcrimjus.2024.102155" TargetMode="External" /><Relationship Type="http://schemas.openxmlformats.org/officeDocument/2006/relationships/hyperlink" Id="rId159" Target="https://doi.org/10.1017/S0954579403000221" TargetMode="External" /><Relationship Type="http://schemas.openxmlformats.org/officeDocument/2006/relationships/hyperlink" Id="rId149" Target="https://doi.org/10.1017/S0954579407070174" TargetMode="External" /><Relationship Type="http://schemas.openxmlformats.org/officeDocument/2006/relationships/hyperlink" Id="rId120" Target="https://doi.org/10.1017/S0954579408000333" TargetMode="External" /><Relationship Type="http://schemas.openxmlformats.org/officeDocument/2006/relationships/hyperlink" Id="rId130" Target="https://doi.org/10.1017/S0954579414000789" TargetMode="External" /><Relationship Type="http://schemas.openxmlformats.org/officeDocument/2006/relationships/hyperlink" Id="rId143" Target="https://doi.org/10.1037/0003-066X.54.2.93" TargetMode="External" /><Relationship Type="http://schemas.openxmlformats.org/officeDocument/2006/relationships/hyperlink" Id="rId124" Target="https://doi.org/10.1037/0022-006X.61.6.911" TargetMode="External" /><Relationship Type="http://schemas.openxmlformats.org/officeDocument/2006/relationships/hyperlink" Id="rId104" Target="https://doi.org/10.1037/0022-006X.70.1.6" TargetMode="External" /><Relationship Type="http://schemas.openxmlformats.org/officeDocument/2006/relationships/hyperlink" Id="rId118" Target="https://doi.org/10.1037/0033-295X.100.4.674" TargetMode="External" /><Relationship Type="http://schemas.openxmlformats.org/officeDocument/2006/relationships/hyperlink" Id="rId151" Target="https://doi.org/10.1037/abn0000751" TargetMode="External" /><Relationship Type="http://schemas.openxmlformats.org/officeDocument/2006/relationships/hyperlink" Id="rId106" Target="https://doi.org/10.1037/abn0001084" TargetMode="External" /><Relationship Type="http://schemas.openxmlformats.org/officeDocument/2006/relationships/hyperlink" Id="rId137" Target="https://doi.org/10.1037/dev0000449" TargetMode="External" /><Relationship Type="http://schemas.openxmlformats.org/officeDocument/2006/relationships/hyperlink" Id="rId128" Target="https://doi.org/10.1037/dev0001657" TargetMode="External" /><Relationship Type="http://schemas.openxmlformats.org/officeDocument/2006/relationships/hyperlink" Id="rId153" Target="https://doi.org/10.1038/s44220-023-00057-5" TargetMode="External" /><Relationship Type="http://schemas.openxmlformats.org/officeDocument/2006/relationships/hyperlink" Id="rId155" Target="https://doi.org/10.1080/15374416.2018.1561296" TargetMode="External" /><Relationship Type="http://schemas.openxmlformats.org/officeDocument/2006/relationships/hyperlink" Id="rId141" Target="https://doi.org/10.1086/269270" TargetMode="External" /><Relationship Type="http://schemas.openxmlformats.org/officeDocument/2006/relationships/hyperlink" Id="rId135" Target="https://doi.org/10.1111/cdev.13433" TargetMode="External" /><Relationship Type="http://schemas.openxmlformats.org/officeDocument/2006/relationships/hyperlink" Id="rId126" Target="https://doi.org/10.1111/desc.70216" TargetMode="External" /><Relationship Type="http://schemas.openxmlformats.org/officeDocument/2006/relationships/hyperlink" Id="rId116" Target="https://doi.org/10.1111/j.1467-9507.2008.00480.x" TargetMode="External" /><Relationship Type="http://schemas.openxmlformats.org/officeDocument/2006/relationships/hyperlink" Id="rId139" Target="https://doi.org/10.1111/j.1469-7610.2006.01614.x" TargetMode="External" /><Relationship Type="http://schemas.openxmlformats.org/officeDocument/2006/relationships/hyperlink" Id="rId108" Target="https://doi.org/10.1111/jcpp.12102" TargetMode="External" /><Relationship Type="http://schemas.openxmlformats.org/officeDocument/2006/relationships/hyperlink" Id="rId147" Target="https://doi.org/10.1146/annurev-criminol-111523-122451" TargetMode="External" /><Relationship Type="http://schemas.openxmlformats.org/officeDocument/2006/relationships/hyperlink" Id="rId112" Target="https://doi.org/10.1176/appi.ajp.2008.08030366" TargetMode="External" /><Relationship Type="http://schemas.openxmlformats.org/officeDocument/2006/relationships/hyperlink" Id="rId122"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61" Target="https://icd.who.int"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_rels/footnotes.xml.rels><?xml version="1.0" encoding="UTF-8"?><Relationships xmlns="http://schemas.openxmlformats.org/package/2006/relationships"><Relationship Type="http://schemas.openxmlformats.org/officeDocument/2006/relationships/hyperlink" Id="rId95" Target="https://doi.org/10.1002/jcv2.70043" TargetMode="External" /><Relationship Type="http://schemas.openxmlformats.org/officeDocument/2006/relationships/hyperlink" Id="rId110" Target="https://doi.org/10.1007/s00234-020-02562-1" TargetMode="External" /><Relationship Type="http://schemas.openxmlformats.org/officeDocument/2006/relationships/hyperlink" Id="rId99" Target="https://doi.org/10.1007/s10802-012-9669-9" TargetMode="External" /><Relationship Type="http://schemas.openxmlformats.org/officeDocument/2006/relationships/hyperlink" Id="rId114" Target="https://doi.org/10.1007/s10826-018-1272-4" TargetMode="External" /><Relationship Type="http://schemas.openxmlformats.org/officeDocument/2006/relationships/hyperlink" Id="rId102" Target="https://doi.org/10.1007/s40865-015-0012-3" TargetMode="External" /><Relationship Type="http://schemas.openxmlformats.org/officeDocument/2006/relationships/hyperlink" Id="rId51" Target="https://doi.org/10.1016/j.arr.2026.103102" TargetMode="External" /><Relationship Type="http://schemas.openxmlformats.org/officeDocument/2006/relationships/hyperlink" Id="rId157" Target="https://doi.org/10.1016/j.dr.2008.01.001" TargetMode="External" /><Relationship Type="http://schemas.openxmlformats.org/officeDocument/2006/relationships/hyperlink" Id="rId132" Target="https://doi.org/10.1016/j.dr.2020.100935" TargetMode="External" /><Relationship Type="http://schemas.openxmlformats.org/officeDocument/2006/relationships/hyperlink" Id="rId69" Target="https://doi.org/10.1016/j.jaacop.2025.10.008" TargetMode="External" /><Relationship Type="http://schemas.openxmlformats.org/officeDocument/2006/relationships/hyperlink" Id="rId61" Target="https://doi.org/10.1016/j.jcrimjus.2024.102155" TargetMode="External" /><Relationship Type="http://schemas.openxmlformats.org/officeDocument/2006/relationships/hyperlink" Id="rId159" Target="https://doi.org/10.1017/S0954579403000221" TargetMode="External" /><Relationship Type="http://schemas.openxmlformats.org/officeDocument/2006/relationships/hyperlink" Id="rId149" Target="https://doi.org/10.1017/S0954579407070174" TargetMode="External" /><Relationship Type="http://schemas.openxmlformats.org/officeDocument/2006/relationships/hyperlink" Id="rId120" Target="https://doi.org/10.1017/S0954579408000333" TargetMode="External" /><Relationship Type="http://schemas.openxmlformats.org/officeDocument/2006/relationships/hyperlink" Id="rId130" Target="https://doi.org/10.1017/S0954579414000789" TargetMode="External" /><Relationship Type="http://schemas.openxmlformats.org/officeDocument/2006/relationships/hyperlink" Id="rId143" Target="https://doi.org/10.1037/0003-066X.54.2.93" TargetMode="External" /><Relationship Type="http://schemas.openxmlformats.org/officeDocument/2006/relationships/hyperlink" Id="rId124" Target="https://doi.org/10.1037/0022-006X.61.6.911" TargetMode="External" /><Relationship Type="http://schemas.openxmlformats.org/officeDocument/2006/relationships/hyperlink" Id="rId104" Target="https://doi.org/10.1037/0022-006X.70.1.6" TargetMode="External" /><Relationship Type="http://schemas.openxmlformats.org/officeDocument/2006/relationships/hyperlink" Id="rId118" Target="https://doi.org/10.1037/0033-295X.100.4.674" TargetMode="External" /><Relationship Type="http://schemas.openxmlformats.org/officeDocument/2006/relationships/hyperlink" Id="rId151" Target="https://doi.org/10.1037/abn0000751" TargetMode="External" /><Relationship Type="http://schemas.openxmlformats.org/officeDocument/2006/relationships/hyperlink" Id="rId106" Target="https://doi.org/10.1037/abn0001084" TargetMode="External" /><Relationship Type="http://schemas.openxmlformats.org/officeDocument/2006/relationships/hyperlink" Id="rId137" Target="https://doi.org/10.1037/dev0000449" TargetMode="External" /><Relationship Type="http://schemas.openxmlformats.org/officeDocument/2006/relationships/hyperlink" Id="rId128" Target="https://doi.org/10.1037/dev0001657" TargetMode="External" /><Relationship Type="http://schemas.openxmlformats.org/officeDocument/2006/relationships/hyperlink" Id="rId153" Target="https://doi.org/10.1038/s44220-023-00057-5" TargetMode="External" /><Relationship Type="http://schemas.openxmlformats.org/officeDocument/2006/relationships/hyperlink" Id="rId155" Target="https://doi.org/10.1080/15374416.2018.1561296" TargetMode="External" /><Relationship Type="http://schemas.openxmlformats.org/officeDocument/2006/relationships/hyperlink" Id="rId141" Target="https://doi.org/10.1086/269270" TargetMode="External" /><Relationship Type="http://schemas.openxmlformats.org/officeDocument/2006/relationships/hyperlink" Id="rId135" Target="https://doi.org/10.1111/cdev.13433" TargetMode="External" /><Relationship Type="http://schemas.openxmlformats.org/officeDocument/2006/relationships/hyperlink" Id="rId126" Target="https://doi.org/10.1111/desc.70216" TargetMode="External" /><Relationship Type="http://schemas.openxmlformats.org/officeDocument/2006/relationships/hyperlink" Id="rId116" Target="https://doi.org/10.1111/j.1467-9507.2008.00480.x" TargetMode="External" /><Relationship Type="http://schemas.openxmlformats.org/officeDocument/2006/relationships/hyperlink" Id="rId139" Target="https://doi.org/10.1111/j.1469-7610.2006.01614.x" TargetMode="External" /><Relationship Type="http://schemas.openxmlformats.org/officeDocument/2006/relationships/hyperlink" Id="rId108" Target="https://doi.org/10.1111/jcpp.12102" TargetMode="External" /><Relationship Type="http://schemas.openxmlformats.org/officeDocument/2006/relationships/hyperlink" Id="rId147" Target="https://doi.org/10.1146/annurev-criminol-111523-122451" TargetMode="External" /><Relationship Type="http://schemas.openxmlformats.org/officeDocument/2006/relationships/hyperlink" Id="rId112" Target="https://doi.org/10.1176/appi.ajp.2008.08030366" TargetMode="External" /><Relationship Type="http://schemas.openxmlformats.org/officeDocument/2006/relationships/hyperlink" Id="rId122"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61" Target="https://icd.who.int"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2026-06-01T02:03:37Z</dcterms:created>
  <dcterms:modified xsi:type="dcterms:W3CDTF">2026-06-01T02:03:37Z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2026-06-01</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4146</vt:lpwstr>
  </property>
  <property fmtid="{D5CDD505-2E9C-101B-9397-08002B2CF9AE}" pid="83" name="zerocitations">
    <vt:lpwstr>False</vt:lpwstr>
  </property>
</Properties>
</file>