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14.png" ContentType="image/png"/>
  <Override PartName="/word/media/rId78.png" ContentType="image/png"/>
  <Override PartName="/word/media/rId95.png" ContentType="image/png"/>
  <Override PartName="/word/media/rId88.jpg" ContentType="image/jpeg"/>
  <Override PartName="/word/media/rId105.png" ContentType="image/png"/>
  <Override PartName="/word/media/rId123.png" ContentType="image/png"/>
  <Override PartName="/word/media/rId23.svg" ContentType="image/svg+xml"/>
  <Override PartName="/word/media/rId52.png" ContentType="image/png"/>
  <Override PartName="/word/media/rId45.png" ContentType="image/png"/>
  <Override PartName="/word/media/rId71.png" ContentType="image/png"/>
  <Override PartName="/word/media/rId60.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42"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and code for the present study are published online:</w:t>
      </w:r>
      <w:r>
        <w:t xml:space="preserve"> </w:t>
      </w:r>
      <w:hyperlink r:id="rId39">
        <w:r>
          <w:rPr>
            <w:rStyle w:val="Hyperlink"/>
          </w:rPr>
          <w:t xml:space="preserve">https://github.com/DevPsyLab/studying-psychopathology-development-lifespan</w:t>
        </w:r>
      </w:hyperlink>
      <w:r>
        <w:t xml:space="preserve"> </w:t>
      </w:r>
      <w:r>
        <w:t xml:space="preserve">(</w:t>
      </w:r>
      <w:hyperlink r:id="rId40">
        <w:r>
          <w:rPr>
            <w:rStyle w:val="Hyperlink"/>
          </w:rPr>
          <w:t xml:space="preserve">https://osf.io/t3zf9</w:t>
        </w:r>
      </w:hyperlink>
      <w:r>
        <w:t xml:space="preserve">). We have no conflicts of interest to disclose.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w:t>
      </w:r>
      <w:r>
        <w:t xml:space="preserve"> </w:t>
      </w:r>
      <w:hyperlink r:id="rId41">
        <w:r>
          <w:rPr>
            <w:rStyle w:val="Hyperlink"/>
          </w:rPr>
          <w:t xml:space="preserve">isaac-t-petersen@uiowa.edu</w:t>
        </w:r>
      </w:hyperlink>
    </w:p>
    <w:p>
      <w:r>
        <w:br w:type="page"/>
      </w:r>
    </w:p>
    <w:bookmarkEnd w:id="42"/>
    <w:bookmarkStart w:id="43"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3"/>
    <w:bookmarkStart w:id="44"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lockText"/>
      </w:pPr>
      <w:r>
        <w:t xml:space="preserve">“You can be born shy.</w:t>
      </w:r>
      <w:r>
        <w:t xml:space="preserve"> </w:t>
      </w:r>
      <w:r>
        <w:t xml:space="preserve">You can be born as an extrovert.</w:t>
      </w:r>
      <w:r>
        <w:t xml:space="preserve"> </w:t>
      </w:r>
      <w:r>
        <w:t xml:space="preserve">You can be someone who likes to make people laugh.</w:t>
      </w:r>
      <w:r>
        <w:t xml:space="preserve"> </w:t>
      </w:r>
      <w:r>
        <w:t xml:space="preserve">You can be someone who’s much quieter and deeper.</w:t>
      </w:r>
      <w:r>
        <w:t xml:space="preserve"> </w:t>
      </w:r>
      <w:r>
        <w:t xml:space="preserve">And I think that’s in you, but then life happens.”</w:t>
      </w:r>
    </w:p>
    <w:p>
      <w:pPr>
        <w:pStyle w:val="NextBlockText"/>
      </w:pPr>
      <w:r>
        <w:t xml:space="preserve">— Sue Davis on</w:t>
      </w:r>
      <w:r>
        <w:t xml:space="preserve"> </w:t>
      </w:r>
      <w:r>
        <w:t xml:space="preserve">“70 Up”</w:t>
      </w:r>
    </w:p>
    <w:p>
      <w:pPr>
        <w:pStyle w:val="FirstParagraph"/>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the field has taken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which in turn limits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more than 270 externalizing measures, as well as lessons from the study of other constructs such as academic and cognitive skills across lengthy developmental periods.</w:t>
      </w:r>
    </w:p>
    <w:bookmarkEnd w:id="44"/>
    <w:bookmarkStart w:id="59"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relatively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Thus, the trajectory of individual differences remains elusive, and observed age-related differences may reflect processes apart from developmental change, such as cohort effects.</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aging,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48" w:name="fig-lifespancognitivetrajectories"/>
    <w:p>
      <w:pPr>
        <w:pStyle w:val="FigureTitle"/>
      </w:pPr>
      <w:r>
        <w:t xml:space="preserve">Figure 1</w:t>
      </w:r>
    </w:p>
    <w:p>
      <w:pPr>
        <w:pStyle w:val="Caption"/>
      </w:pPr>
      <w:r>
        <w:t xml:space="preserve">Different Cognitive Trajectories of Aging</w:t>
      </w:r>
    </w:p>
    <w:p>
      <w:pPr>
        <w:pStyle w:val="FigureWithNote"/>
      </w:pPr>
      <w:r>
        <w:drawing>
          <wp:inline>
            <wp:extent cx="5943600" cy="2476500"/>
            <wp:effectExtent b="0" l="0" r="0" t="0"/>
            <wp:docPr descr="" title="" id="46" name="Picture"/>
            <a:graphic>
              <a:graphicData uri="http://schemas.openxmlformats.org/drawingml/2006/picture">
                <pic:pic>
                  <pic:nvPicPr>
                    <pic:cNvPr descr="index_files/figure-docx/notebooks-analyses-fig-lifespancognitivetrajectories-output-1.png" id="47" name="Picture"/>
                    <pic:cNvPicPr>
                      <a:picLocks noChangeArrowheads="1" noChangeAspect="1"/>
                    </pic:cNvPicPr>
                  </pic:nvPicPr>
                  <pic:blipFill>
                    <a:blip r:embed="rId45"/>
                    <a:stretch>
                      <a:fillRect/>
                    </a:stretch>
                  </pic:blipFill>
                  <pic:spPr bwMode="auto">
                    <a:xfrm>
                      <a:off x="0" y="0"/>
                      <a:ext cx="5943600" cy="2476500"/>
                    </a:xfrm>
                    <a:prstGeom prst="rect">
                      <a:avLst/>
                    </a:prstGeom>
                    <a:noFill/>
                    <a:ln w="9525">
                      <a:noFill/>
                      <a:headEnd/>
                      <a:tailEnd/>
                    </a:ln>
                  </pic:spPr>
                </pic:pic>
              </a:graphicData>
            </a:graphic>
          </wp:inline>
        </w:drawing>
      </w:r>
    </w:p>
    <w:bookmarkEnd w:id="48"/>
    <w:p>
      <w:pPr>
        <w:pStyle w:val="FigureNote"/>
      </w:pPr>
      <w:r>
        <w:rPr>
          <w:i/>
          <w:iCs/>
        </w:rPr>
        <w:t xml:space="preserve">Note</w:t>
      </w:r>
      <w:r>
        <w:t xml:space="preserve">. - </w:t>
      </w:r>
      <w:r>
        <w:t xml:space="preserve">“</w:t>
      </w:r>
      <w:r>
        <w:rPr>
          <w:b/>
          <w:bCs/>
        </w:rPr>
        <w:t xml:space="preserve">Panel A</w:t>
      </w:r>
      <w:r>
        <w:t xml:space="preserve">: Hypothetical models for different cognitive trajectories of aging. MCI = mild cognitive impairment. (Figure in Panel A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49">
        <w:r>
          <w:rPr>
            <w:rStyle w:val="Hyperlink"/>
          </w:rPr>
          <w:t xml:space="preserve">https://doi.org/10.1590/1980-57642018dn12-030001</w:t>
        </w:r>
      </w:hyperlink>
      <w:r>
        <w:t xml:space="preserve">).”</w:t>
      </w:r>
      <w:r>
        <w:t xml:space="preserve"> </w:t>
      </w:r>
      <w:r>
        <w:t xml:space="preserve">-</w:t>
      </w:r>
      <w:r>
        <w:t xml:space="preserve"> </w:t>
      </w:r>
      <w:r>
        <w:t xml:space="preserve">“</w:t>
      </w:r>
      <w:r>
        <w:rPr>
          <w:b/>
          <w:bCs/>
        </w:rPr>
        <w:t xml:space="preserve">Panel B</w:t>
      </w:r>
      <w:r>
        <w:t xml:space="preserve">: Theoretical illustration of inter-individual variability in cognitive aging trajectories. Each gray line represents one individual hypothetical cognitive health trajectory. The orange line marks the threshold for functional independence; once an individual’s cognitive health drops below this level, autonomous daily living is compromised. (Figure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0">
        <w:r>
          <w:rPr>
            <w:rStyle w:val="Hyperlink"/>
          </w:rPr>
          <w:t xml:space="preserve">https://doi.org/10.1016/j.arr.2026.103102</w:t>
        </w:r>
      </w:hyperlink>
      <w:r>
        <w:t xml:space="preserve">).”</w:t>
      </w:r>
    </w:p>
    <w:p>
      <w:pPr>
        <w:pStyle w:val="FigureWithNote"/>
      </w:pPr>
      <w:r>
        <w:rPr>
          <w:i/>
          <w:iCs/>
        </w:rPr>
        <w:t xml:space="preserve">Note</w:t>
      </w:r>
      <w:r>
        <w:t xml:space="preserve">.</w:t>
      </w:r>
      <w:r>
        <w:t xml:space="preserve"> </w:t>
      </w:r>
      <w:r>
        <w:rPr>
          <w:b/>
          <w:bCs/>
        </w:rPr>
        <w:t xml:space="preserve">Panel A</w:t>
      </w:r>
      <w:r>
        <w:t xml:space="preserve">: Hypothetical models for different cognitive trajectories of aging. MCI = mild cognitive impairment. (Figure in Panel A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49">
        <w:r>
          <w:rPr>
            <w:rStyle w:val="Hyperlink"/>
          </w:rPr>
          <w:t xml:space="preserve">https://doi.org/10.1590/1980-57642018dn12-030001</w:t>
        </w:r>
      </w:hyperlink>
      <w:r>
        <w:t xml:space="preserve">).</w:t>
      </w:r>
    </w:p>
    <w:p>
      <w:pPr>
        <w:pStyle w:val="FigureWithNote"/>
      </w:pPr>
      <w:r>
        <w:rPr>
          <w:b/>
          <w:bCs/>
        </w:rPr>
        <w:t xml:space="preserve">Panel B</w:t>
      </w:r>
      <w:r>
        <w:t xml:space="preserve">: Theoretical illustration of inter-individual variability in cognitive aging trajectories. Each gray line represents one individual hypothetical cognitive health trajectory. The orange line marks the threshold for functional independence; once an individual’s cognitive health drops below this level, autonomous daily living is compromised. (Figure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0">
        <w:r>
          <w:rPr>
            <w:rStyle w:val="Hyperlink"/>
          </w:rPr>
          <w:t xml:space="preserve">https://doi.org/10.1016/j.arr.2026.103102</w:t>
        </w:r>
      </w:hyperlink>
      <w:r>
        <w:t xml:space="preserve">).</w:t>
      </w:r>
    </w:p>
    <w:p>
      <w:pPr>
        <w:pStyle w:val="FigureWithNote"/>
      </w:pPr>
      <w:r>
        <w:rPr>
          <w:vertAlign w:val="subscript"/>
        </w:rPr>
        <w:t xml:space="preserve">Source:</w:t>
      </w:r>
      <w:r>
        <w:rPr>
          <w:vertAlign w:val="subscript"/>
        </w:rPr>
        <w:t xml:space="preserve"> </w:t>
      </w:r>
      <w:hyperlink r:id="rId51">
        <w:r>
          <w:rPr>
            <w:rStyle w:val="Hyperlink"/>
            <w:vertAlign w:val="subscript"/>
          </w:rPr>
          <w:t xml:space="preserve">Analyses</w:t>
        </w:r>
      </w:hyperlink>
    </w:p>
    <w:p>
      <w:pPr>
        <w:pStyle w:val="BodyText"/>
      </w:pPr>
      <w:r>
        <w:br/>
      </w:r>
    </w:p>
    <w:p>
      <w:pPr>
        <w:pStyle w:val="BodyText"/>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externalizing-by-age">
        <w:r>
          <w:rPr>
            <w:rStyle w:val="Hyperlink"/>
          </w:rPr>
          <w:t xml:space="preserve">Figure 2</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externalizing-by-age">
        <w:r>
          <w:rPr>
            <w:rStyle w:val="Hyperlink"/>
          </w:rPr>
          <w:t xml:space="preserve">Figure 2</w:t>
        </w:r>
      </w:hyperlink>
      <w:r>
        <w:t xml:space="preserve">.</w:t>
      </w:r>
    </w:p>
    <w:p>
      <w:pPr>
        <w:pStyle w:val="BodyText"/>
      </w:pP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especially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(criminalized)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 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ernalizing-by-age">
        <w:r>
          <w:rPr>
            <w:rStyle w:val="Hyperlink"/>
          </w:rPr>
          <w:t xml:space="preserve">Figure 2</w:t>
        </w:r>
      </w:hyperlink>
      <w:r>
        <w:t xml:space="preserve">.</w:t>
      </w:r>
    </w:p>
    <w:p>
      <w:pPr>
        <w:pStyle w:val="BodyText"/>
      </w:pPr>
      <w:r>
        <w:t xml:space="preserve">In sum, if we rely solely on normative age-related patterns of cognitive functioning or psychopathology from cross-sectional research, we would miss the immense differences in people’s developmental courses.</w:t>
      </w:r>
      <w:r>
        <w:t xml:space="preserve"> </w:t>
      </w:r>
      <w:r>
        <w:t xml:space="preserve">And these individual differences are crucial to identify the risk and protective mechanisms that explain these differing developmental courses.</w:t>
      </w:r>
    </w:p>
    <w:bookmarkStart w:id="55" w:name="fig-externalizing-by-age"/>
    <w:p>
      <w:pPr>
        <w:pStyle w:val="FigureTitle"/>
      </w:pPr>
      <w:r>
        <w:t xml:space="preserve">Figure 2</w:t>
      </w:r>
    </w:p>
    <w:p>
      <w:pPr>
        <w:pStyle w:val="Caption"/>
      </w:pPr>
      <w:r>
        <w:t xml:space="preserve">Externalizing Behavior Across Development</w:t>
      </w:r>
    </w:p>
    <w:p>
      <w:pPr>
        <w:pStyle w:val="FigureWithNote"/>
      </w:pPr>
      <w:r>
        <w:drawing>
          <wp:inline>
            <wp:extent cx="5943600" cy="3962400"/>
            <wp:effectExtent b="0" l="0" r="0" t="0"/>
            <wp:docPr descr="" title="" id="53" name="Picture"/>
            <a:graphic>
              <a:graphicData uri="http://schemas.openxmlformats.org/drawingml/2006/picture">
                <pic:pic>
                  <pic:nvPicPr>
                    <pic:cNvPr descr="index_files/figure-docx/notebooks-analyses-fig-externalizing-by-age-output-1.png" id="54" name="Picture"/>
                    <pic:cNvPicPr>
                      <a:picLocks noChangeArrowheads="1" noChangeAspect="1"/>
                    </pic:cNvPicPr>
                  </pic:nvPicPr>
                  <pic:blipFill>
                    <a:blip r:embed="rId52"/>
                    <a:stretch>
                      <a:fillRect/>
                    </a:stretch>
                  </pic:blipFill>
                  <pic:spPr bwMode="auto">
                    <a:xfrm>
                      <a:off x="0" y="0"/>
                      <a:ext cx="5943600" cy="3962400"/>
                    </a:xfrm>
                    <a:prstGeom prst="rect">
                      <a:avLst/>
                    </a:prstGeom>
                    <a:noFill/>
                    <a:ln w="9525">
                      <a:noFill/>
                      <a:headEnd/>
                      <a:tailEnd/>
                    </a:ln>
                  </pic:spPr>
                </pic:pic>
              </a:graphicData>
            </a:graphic>
          </wp:inline>
        </w:drawing>
      </w:r>
    </w:p>
    <w:bookmarkEnd w:id="55"/>
    <w:p>
      <w:pPr>
        <w:pStyle w:val="FigureNote"/>
      </w:pPr>
      <w:r>
        <w:rPr>
          <w:i/>
          <w:iCs/>
        </w:rPr>
        <w:t xml:space="preserve">Note</w:t>
      </w:r>
      <w:r>
        <w:t xml:space="preserve">. - </w:t>
      </w:r>
      <w:r>
        <w:t xml:space="preserve">“</w:t>
      </w: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crime records. 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 (Figure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56">
        <w:r>
          <w:rPr>
            <w:rStyle w:val="Hyperlink"/>
          </w:rPr>
          <w:t xml:space="preserve">https://doi.org/10.1016/j.jcrimjus.2024.102155</w:t>
        </w:r>
      </w:hyperlink>
      <w:r>
        <w:t xml:space="preserve">).”</w:t>
      </w:r>
      <w:r>
        <w:t xml:space="preserve"> </w:t>
      </w:r>
      <w:r>
        <w:t xml:space="preserve">-</w:t>
      </w:r>
      <w:r>
        <w:t xml:space="preserve"> </w:t>
      </w:r>
      <w:r>
        <w:t xml:space="preserve">“</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t xml:space="preserve">-</w:t>
      </w:r>
      <w:r>
        <w:t xml:space="preserve"> </w:t>
      </w:r>
      <w:r>
        <w:t xml:space="preserve">“</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 Average trajectory in red. (Figure adapted from</w:t>
      </w:r>
      <w:r>
        <w:t xml:space="preserve"> </w:t>
      </w:r>
      <w:r>
        <w:t xml:space="preserve">Petersen et al. (</w:t>
      </w:r>
      <w:hyperlink w:anchor="ref-Petersen2015">
        <w:r>
          <w:rPr>
            <w:rStyle w:val="Hyperlink"/>
          </w:rPr>
          <w:t xml:space="preserve">2015</w:t>
        </w:r>
      </w:hyperlink>
      <w:r>
        <w:t xml:space="preserve">)</w:t>
      </w:r>
      <w:r>
        <w:t xml:space="preserve">, Figure 2,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57">
        <w:r>
          <w:rPr>
            <w:rStyle w:val="Hyperlink"/>
          </w:rPr>
          <w:t xml:space="preserve">https://doi.org/10.1017/S0954579414000789</w:t>
        </w:r>
      </w:hyperlink>
      <w:r>
        <w:t xml:space="preserve">).”</w:t>
      </w:r>
    </w:p>
    <w:p>
      <w:pPr>
        <w:pStyle w:val="FigureWithNote"/>
      </w:pPr>
      <w:r>
        <w:rPr>
          <w:i/>
          <w:iCs/>
        </w:rPr>
        <w:t xml:space="preserve">Note</w:t>
      </w:r>
      <w:r>
        <w:t xml:space="preserve">.</w:t>
      </w:r>
      <w:r>
        <w:t xml:space="preserve"> </w:t>
      </w: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crime records. 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 (Figure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56">
        <w:r>
          <w:rPr>
            <w:rStyle w:val="Hyperlink"/>
          </w:rPr>
          <w:t xml:space="preserve">https://doi.org/10.1016/j.jcrimjus.2024.102155</w:t>
        </w:r>
      </w:hyperlink>
      <w:r>
        <w:t xml:space="preserve">).</w:t>
      </w:r>
    </w:p>
    <w:p>
      <w:pPr>
        <w:pStyle w:val="FigureWithNote"/>
      </w:pP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Note"/>
      </w:pP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 Average trajectory in red. (Figure adapted from</w:t>
      </w:r>
      <w:r>
        <w:t xml:space="preserve"> </w:t>
      </w:r>
      <w:r>
        <w:t xml:space="preserve">Petersen et al. (</w:t>
      </w:r>
      <w:hyperlink w:anchor="ref-Petersen2015">
        <w:r>
          <w:rPr>
            <w:rStyle w:val="Hyperlink"/>
          </w:rPr>
          <w:t xml:space="preserve">2015</w:t>
        </w:r>
      </w:hyperlink>
      <w:r>
        <w:t xml:space="preserve">)</w:t>
      </w:r>
      <w:r>
        <w:t xml:space="preserve">, Figure 2,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57">
        <w:r>
          <w:rPr>
            <w:rStyle w:val="Hyperlink"/>
          </w:rPr>
          <w:t xml:space="preserve">https://doi.org/10.1017/S0954579414000789</w:t>
        </w:r>
      </w:hyperlink>
      <w:r>
        <w:t xml:space="preserve">).</w:t>
      </w:r>
    </w:p>
    <w:p>
      <w:pPr>
        <w:pStyle w:val="FigureWithNote"/>
      </w:pPr>
      <w:r>
        <w:rPr>
          <w:vertAlign w:val="subscript"/>
        </w:rPr>
        <w:t xml:space="preserve">Source:</w:t>
      </w:r>
      <w:r>
        <w:rPr>
          <w:vertAlign w:val="subscript"/>
        </w:rPr>
        <w:t xml:space="preserve"> </w:t>
      </w:r>
      <w:hyperlink r:id="rId58">
        <w:r>
          <w:rPr>
            <w:rStyle w:val="Hyperlink"/>
            <w:vertAlign w:val="subscript"/>
          </w:rPr>
          <w:t xml:space="preserve">Analyses</w:t>
        </w:r>
      </w:hyperlink>
    </w:p>
    <w:p>
      <w:pPr>
        <w:pStyle w:val="BodyText"/>
      </w:pPr>
      <w:r>
        <w:br/>
      </w:r>
    </w:p>
    <w:p>
      <w:pPr>
        <w:pStyle w:val="BodyText"/>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 such as going to school during the Coronavirus pandemic.</w:t>
      </w:r>
      <w:r>
        <w:t xml:space="preserve"> </w:t>
      </w:r>
      <w:r>
        <w:t xml:space="preserve">Fourth, findings from cross-sectional studies can differ from findings that are based on examining the same people over time—a violation of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59"/>
    <w:bookmarkStart w:id="77"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over lengthy developmental periods.</w:t>
      </w:r>
      <w:r>
        <w:t xml:space="preserve"> </w:t>
      </w:r>
      <w:r>
        <w:t xml:space="preserve">We overview some of the seminal longitudinal studies that cover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63" w:name="fig-longitudinalstudies"/>
    <w:p>
      <w:pPr>
        <w:pStyle w:val="FigureTitle"/>
      </w:pPr>
      <w:r>
        <w:t xml:space="preserve">Figure 3</w:t>
      </w:r>
    </w:p>
    <w:p>
      <w:pPr>
        <w:pStyle w:val="Caption"/>
      </w:pPr>
      <w:r>
        <w:t xml:space="preserve">(Approximate) Ages Spanned by Various Lengthy Longitudinal Studies</w:t>
      </w:r>
    </w:p>
    <w:p>
      <w:pPr>
        <w:pStyle w:val="FigureWithNote"/>
      </w:pPr>
      <w:r>
        <w:drawing>
          <wp:inline>
            <wp:extent cx="5943600" cy="6792685"/>
            <wp:effectExtent b="0" l="0" r="0" t="0"/>
            <wp:docPr descr="" title="" id="61" name="Picture"/>
            <a:graphic>
              <a:graphicData uri="http://schemas.openxmlformats.org/drawingml/2006/picture">
                <pic:pic>
                  <pic:nvPicPr>
                    <pic:cNvPr descr="index_files/figure-docx/notebooks-analyses-fig-longitudinalstudies-output-1.png" id="62" name="Picture"/>
                    <pic:cNvPicPr>
                      <a:picLocks noChangeArrowheads="1" noChangeAspect="1"/>
                    </pic:cNvPicPr>
                  </pic:nvPicPr>
                  <pic:blipFill>
                    <a:blip r:embed="rId60"/>
                    <a:stretch>
                      <a:fillRect/>
                    </a:stretch>
                  </pic:blipFill>
                  <pic:spPr bwMode="auto">
                    <a:xfrm>
                      <a:off x="0" y="0"/>
                      <a:ext cx="5943600" cy="6792685"/>
                    </a:xfrm>
                    <a:prstGeom prst="rect">
                      <a:avLst/>
                    </a:prstGeom>
                    <a:noFill/>
                    <a:ln w="9525">
                      <a:noFill/>
                      <a:headEnd/>
                      <a:tailEnd/>
                    </a:ln>
                  </pic:spPr>
                </pic:pic>
              </a:graphicData>
            </a:graphic>
          </wp:inline>
        </w:drawing>
      </w:r>
    </w:p>
    <w:bookmarkEnd w:id="63"/>
    <w:p>
      <w:pPr>
        <w:pStyle w:val="FigureNote"/>
      </w:pPr>
      <w:r>
        <w:rPr>
          <w:i/>
          <w:iCs/>
        </w:rPr>
        <w:t xml:space="preserve">Note</w:t>
      </w:r>
      <w:r>
        <w:t xml:space="preserve">. The list of longitudinal studies is as of this writing and is not exhaustive. Studies that are no longer active are shown in gray.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some participants.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thus, age 100 indicates that participants were followed into their 90s (or until death).</w:t>
      </w:r>
    </w:p>
    <w:p>
      <w:pPr>
        <w:pStyle w:val="FigureWithNote"/>
      </w:pPr>
      <w:r>
        <w:rPr>
          <w:i/>
          <w:iCs/>
        </w:rPr>
        <w:t xml:space="preserve">Note</w:t>
      </w:r>
      <w:r>
        <w:t xml:space="preserve">. The list of longitudinal studies is as of this writing and is not exhaustive. Studies that are no longer active are shown in gray.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some participants.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thus, age 100 indicates that participants were followed into their 90s (or until death).</w:t>
      </w:r>
    </w:p>
    <w:p>
      <w:pPr>
        <w:pStyle w:val="FigureWithNote"/>
      </w:pPr>
      <w:r>
        <w:rPr>
          <w:vertAlign w:val="subscript"/>
        </w:rPr>
        <w:t xml:space="preserve">Source:</w:t>
      </w:r>
      <w:r>
        <w:rPr>
          <w:vertAlign w:val="subscript"/>
        </w:rPr>
        <w:t xml:space="preserve"> </w:t>
      </w:r>
      <w:hyperlink r:id="rId64">
        <w:r>
          <w:rPr>
            <w:rStyle w:val="Hyperlink"/>
            <w:vertAlign w:val="subscript"/>
          </w:rPr>
          <w:t xml:space="preserve">Analyses</w:t>
        </w:r>
      </w:hyperlink>
    </w:p>
    <w:p>
      <w:pPr>
        <w:pStyle w:val="BodyText"/>
      </w:pPr>
      <w:r>
        <w:br/>
      </w:r>
    </w:p>
    <w:bookmarkStart w:id="69" w:name="seminal-longitudinal-studies"/>
    <w:p>
      <w:pPr>
        <w:pStyle w:val="Heading2"/>
      </w:pPr>
      <w:r>
        <w:t xml:space="preserve">Seminal Longitudinal Studies</w:t>
      </w:r>
    </w:p>
    <w:bookmarkStart w:id="65"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into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 Kagan and Moss</w:t>
      </w:r>
      <w:r>
        <w:t xml:space="preserve"> </w:t>
      </w:r>
      <w:r>
        <w:t xml:space="preserve">(</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65"/>
    <w:bookmarkStart w:id="66"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66"/>
    <w:bookmarkStart w:id="67" w:name="harvard-study-of-adult-development"/>
    <w:p>
      <w:pPr>
        <w:pStyle w:val="Heading3"/>
      </w:pPr>
      <w:r>
        <w:t xml:space="preserve">Harvard Study of Adult Development</w:t>
      </w:r>
    </w:p>
    <w:p>
      <w:pPr>
        <w:pStyle w:val="FirstParagraph"/>
      </w:pPr>
      <w:r>
        <w:t xml:space="preserve">The Harvard Study of Adult Development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of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67"/>
    <w:bookmarkStart w:id="68"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68"/>
    <w:bookmarkEnd w:id="69"/>
    <w:bookmarkStart w:id="76"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level) in a given psychopathology construct over a lengthy period.</w:t>
      </w:r>
      <w:r>
        <w:t xml:space="preserve"> </w:t>
      </w:r>
      <w:r>
        <w:t xml:space="preserve">Here, we focus on studies that have examined trajectories of externalizing behavior.</w:t>
      </w:r>
      <w:r>
        <w:rPr>
          <w:rStyle w:val="FootnoteReference"/>
        </w:rPr>
        <w:footnoteReference w:id="70"/>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11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 with 10 measurement occasions</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different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p>
    <w:p>
      <w:pPr>
        <w:pStyle w:val="BodyText"/>
      </w:pP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 Chen and Bauer examined trajectories of delinquency from ages 12–26 with 3 measurement occasions in the National Longitudinal Study of Adolescent to Adult Health</w:t>
      </w:r>
      <w:r>
        <w:t xml:space="preserve"> </w:t>
      </w:r>
      <w:r>
        <w:t xml:space="preserve">(Add Health;</w:t>
      </w:r>
      <w:r>
        <w:t xml:space="preserve"> </w:t>
      </w:r>
      <w:hyperlink w:anchor="ref-ChenPM">
        <w:r>
          <w:rPr>
            <w:rStyle w:val="Hyperlink"/>
          </w:rPr>
          <w:t xml:space="preserve">in press b</w:t>
        </w:r>
      </w:hyperlink>
      <w:r>
        <w:t xml:space="preserve">)</w:t>
      </w:r>
      <w:r>
        <w:t xml:space="preserve">, and examined trajectories of externalizing behavior from ages 5–12 with 3 measurement occasions in the National Longitudinal Survey of Youth 1979 Child and Young Adult</w:t>
      </w:r>
      <w:r>
        <w:t xml:space="preserve"> </w:t>
      </w:r>
      <w:r>
        <w:t xml:space="preserve">(NLSCYA;</w:t>
      </w:r>
      <w:r>
        <w:t xml:space="preserve"> </w:t>
      </w:r>
      <w:hyperlink w:anchor="ref-ChenMBR">
        <w:r>
          <w:rPr>
            <w:rStyle w:val="Hyperlink"/>
          </w:rPr>
          <w:t xml:space="preserve">in press a</w:t>
        </w:r>
      </w:hyperlink>
      <w:r>
        <w:t xml:space="preserve">)</w:t>
      </w:r>
      <w:r>
        <w:t xml:space="preserve">.</w:t>
      </w:r>
      <w:r>
        <w:t xml:space="preserve"> </w:t>
      </w:r>
      <w:r>
        <w:t xml:space="preserve">In addition, studies have examined trajectories of emotional and behavioral dysregulation (encompassing externalizing problems and emotional symptoms)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74"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w:t>
      </w:r>
    </w:p>
    <w:p>
      <w:pPr>
        <w:pStyle w:val="FigureWithNote"/>
      </w:pPr>
      <w:r>
        <w:drawing>
          <wp:inline>
            <wp:extent cx="5943600" cy="6792685"/>
            <wp:effectExtent b="0" l="0" r="0" t="0"/>
            <wp:docPr descr="" title="" id="72" name="Picture"/>
            <a:graphic>
              <a:graphicData uri="http://schemas.openxmlformats.org/drawingml/2006/picture">
                <pic:pic>
                  <pic:nvPicPr>
                    <pic:cNvPr descr="index_files/figure-docx/notebooks-analyses-fig-longitudinal-externalizing-studies-output-1.png" id="73" name="Picture"/>
                    <pic:cNvPicPr>
                      <a:picLocks noChangeArrowheads="1" noChangeAspect="1"/>
                    </pic:cNvPicPr>
                  </pic:nvPicPr>
                  <pic:blipFill>
                    <a:blip r:embed="rId71"/>
                    <a:stretch>
                      <a:fillRect/>
                    </a:stretch>
                  </pic:blipFill>
                  <pic:spPr bwMode="auto">
                    <a:xfrm>
                      <a:off x="0" y="0"/>
                      <a:ext cx="5943600" cy="6792685"/>
                    </a:xfrm>
                    <a:prstGeom prst="rect">
                      <a:avLst/>
                    </a:prstGeom>
                    <a:noFill/>
                    <a:ln w="9525">
                      <a:noFill/>
                      <a:headEnd/>
                      <a:tailEnd/>
                    </a:ln>
                  </pic:spPr>
                </pic:pic>
              </a:graphicData>
            </a:graphic>
          </wp:inline>
        </w:drawing>
      </w:r>
    </w:p>
    <w:bookmarkEnd w:id="74"/>
    <w:p>
      <w:pPr>
        <w:pStyle w:val="FigureNote"/>
      </w:pPr>
      <w:r>
        <w:rPr>
          <w:i/>
          <w:iCs/>
        </w:rPr>
        <w:t xml:space="preserve">Note</w:t>
      </w:r>
      <w:r>
        <w:t xml:space="preserve">. The list of longitudinal studies is not exhaustive. Studies that are based on registry data are shown in gray. Studies that used developmental scaling to harmonize scores across ages (i.e., to link scores across ages onto the same scale) are in green. Measurement occasions are depicted with solid circles. Note that, in some studies, measurement occasions only apply to a subset of participants in that study—in some cases, no participant was assessed at all measurement occasions.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participants.</w:t>
      </w:r>
      <w:r>
        <w:t xml:space="preserve"> </w:t>
      </w:r>
      <w:r>
        <w:t xml:space="preserve">‘MTSFGCLS’</w:t>
      </w:r>
      <w:r>
        <w:t xml:space="preserve"> </w:t>
      </w:r>
      <w:r>
        <w:t xml:space="preserve">= Montreal Two Samples Four Generations Cross-sectional and Longitudinal Studies.</w:t>
      </w:r>
    </w:p>
    <w:p>
      <w:pPr>
        <w:pStyle w:val="FigureWithNote"/>
      </w:pPr>
      <w:r>
        <w:rPr>
          <w:i/>
          <w:iCs/>
        </w:rPr>
        <w:t xml:space="preserve">Note</w:t>
      </w:r>
      <w:r>
        <w:t xml:space="preserve">. The list of longitudinal studies is not exhaustive. Studies that are based on registry data are shown in gray. Studies that used developmental scaling to harmonize scores across ages (i.e., to link scores across ages onto the same scale) are in green. Measurement occasions are depicted with solid circles. Note that, in some studies, measurement occasions only apply to a subset of participants in that study—in some cases, no participant was assessed at all measurement occasions.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participants.</w:t>
      </w:r>
      <w:r>
        <w:t xml:space="preserve"> </w:t>
      </w:r>
      <w:r>
        <w:t xml:space="preserve">‘MTSFGCLS’</w:t>
      </w:r>
      <w:r>
        <w:t xml:space="preserve"> </w:t>
      </w:r>
      <w:r>
        <w:t xml:space="preserve">= Montreal Two Samples Four Generations Cross-sectional and Longitudinal Studies.</w:t>
      </w:r>
    </w:p>
    <w:p>
      <w:pPr>
        <w:pStyle w:val="FigureWithNote"/>
      </w:pPr>
      <w:r>
        <w:rPr>
          <w:vertAlign w:val="subscript"/>
        </w:rPr>
        <w:t xml:space="preserve">Source:</w:t>
      </w:r>
      <w:r>
        <w:rPr>
          <w:vertAlign w:val="subscript"/>
        </w:rPr>
        <w:t xml:space="preserve"> </w:t>
      </w:r>
      <w:hyperlink r:id="rId75">
        <w:r>
          <w:rPr>
            <w:rStyle w:val="Hyperlink"/>
            <w:vertAlign w:val="subscript"/>
          </w:rPr>
          <w:t xml:space="preserve">Analyses</w:t>
        </w:r>
      </w:hyperlink>
    </w:p>
    <w:p>
      <w:pPr>
        <w:pStyle w:val="BodyText"/>
      </w:pPr>
      <w:r>
        <w:br/>
      </w:r>
    </w:p>
    <w:p>
      <w:pPr>
        <w:pStyle w:val="BodyText"/>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some of our own</w:t>
      </w:r>
      <w:r>
        <w:t xml:space="preserve"> </w:t>
      </w:r>
      <w:r>
        <w:t xml:space="preserve">(e.g.,</w:t>
      </w:r>
      <w:r>
        <w:t xml:space="preserve"> </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which prevent strong inferences regarding individuals’ change over time.</w:t>
      </w:r>
    </w:p>
    <w:bookmarkEnd w:id="76"/>
    <w:bookmarkEnd w:id="77"/>
    <w:bookmarkStart w:id="104"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because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 behavior.</w:t>
      </w:r>
    </w:p>
    <w:bookmarkStart w:id="86"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For instance, children who go on to develop later externalizing problems and conduct problems tend to show earlier temperamental differences such as poorer self-regulation, poorer emotion regulation, low fearfulness, and a more difficult temperament</w:t>
      </w:r>
      <w:r>
        <w:t xml:space="preserve"> </w:t>
      </w:r>
      <w:r>
        <w:t xml:space="preserve">(</w:t>
      </w:r>
      <w:hyperlink w:anchor="ref-Bates2014">
        <w:r>
          <w:rPr>
            <w:rStyle w:val="Hyperlink"/>
          </w:rPr>
          <w:t xml:space="preserve">Bates et al., 2014</w:t>
        </w:r>
      </w:hyperlink>
      <w:r>
        <w:t xml:space="preserve">;</w:t>
      </w:r>
      <w:r>
        <w:t xml:space="preserve"> </w:t>
      </w:r>
      <w:hyperlink w:anchor="ref-Frick2004">
        <w:r>
          <w:rPr>
            <w:rStyle w:val="Hyperlink"/>
          </w:rPr>
          <w:t xml:space="preserve">Frick &amp; Morris, 2004</w:t>
        </w:r>
      </w:hyperlink>
      <w:r>
        <w:t xml:space="preserve">)</w:t>
      </w:r>
      <w:r>
        <w:t xml:space="preserve">.</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of a lion and then the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p>
    <w:p>
      <w:pPr>
        <w:pStyle w:val="BodyText"/>
      </w:pP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These factors likely interact to produce individual differences in heterotypic continuity of relevance to developmental psychopathology, for instance, earlier emergence of alcohol consumption</w:t>
      </w:r>
      <w:r>
        <w:t xml:space="preserve"> </w:t>
      </w:r>
      <w:r>
        <w:t xml:space="preserve">(</w:t>
      </w:r>
      <w:hyperlink w:anchor="ref-Aiken2018">
        <w:r>
          <w:rPr>
            <w:rStyle w:val="Hyperlink"/>
          </w:rPr>
          <w:t xml:space="preserve">Aiken et al., 2018</w:t>
        </w:r>
      </w:hyperlink>
      <w:r>
        <w:t xml:space="preserve">)</w:t>
      </w:r>
      <w:r>
        <w:t xml:space="preserve">.</w:t>
      </w:r>
    </w:p>
    <w:bookmarkStart w:id="81"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p>
    <w:p>
      <w:pPr>
        <w:pStyle w:val="FigureWithNote"/>
      </w:pPr>
      <w:r>
        <w:drawing>
          <wp:inline>
            <wp:extent cx="5943600" cy="2377440"/>
            <wp:effectExtent b="0" l="0" r="0" t="0"/>
            <wp:docPr descr="" title="" id="79" name="Picture"/>
            <a:graphic>
              <a:graphicData uri="http://schemas.openxmlformats.org/drawingml/2006/picture">
                <pic:pic>
                  <pic:nvPicPr>
                    <pic:cNvPr descr="Figures/Petersen2026_figure1.png" id="80" name="Picture"/>
                    <pic:cNvPicPr>
                      <a:picLocks noChangeArrowheads="1" noChangeAspect="1"/>
                    </pic:cNvPicPr>
                  </pic:nvPicPr>
                  <pic:blipFill>
                    <a:blip r:embed="rId78"/>
                    <a:stretch>
                      <a:fillRect/>
                    </a:stretch>
                  </pic:blipFill>
                  <pic:spPr bwMode="auto">
                    <a:xfrm>
                      <a:off x="0" y="0"/>
                      <a:ext cx="5943600" cy="2377440"/>
                    </a:xfrm>
                    <a:prstGeom prst="rect">
                      <a:avLst/>
                    </a:prstGeom>
                    <a:noFill/>
                    <a:ln w="9525">
                      <a:noFill/>
                      <a:headEnd/>
                      <a:tailEnd/>
                    </a:ln>
                  </pic:spPr>
                </pic:pic>
              </a:graphicData>
            </a:graphic>
          </wp:inline>
        </w:drawing>
      </w:r>
    </w:p>
    <w:bookmarkEnd w:id="81"/>
    <w:p>
      <w:pPr>
        <w:pStyle w:val="FigureNote"/>
      </w:pPr>
      <w:r>
        <w:rPr>
          <w:i/>
          <w:iCs/>
        </w:rPr>
        <w:t xml:space="preserve">Note</w:t>
      </w:r>
      <w:r>
        <w:t xml:space="preserve">. Items are from the Externalizing Spectrum Inventory (ESI), but unlike the True/False ESI, participants rated items on an absolute frequency scale (times per day/week/month/year). The gray band is the 95% confidence interval. The figure demonstrates that different externalizing behaviors are most common at different developmental periods, consistent with heterotypic continuity. As examples, hurting others’ feelings on purpose (left panel) was most common in early adulthood; snapping or raising one’s voice (middle panel) was most common in middle adulthood; getting in power struggles with others (right panel) was most common in older adulthood.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2">
        <w:r>
          <w:rPr>
            <w:rStyle w:val="Hyperlink"/>
          </w:rPr>
          <w:t xml:space="preserve">https://doi.org/10.1037/pas0001441</w:t>
        </w:r>
      </w:hyperlink>
      <w:r>
        <w:t xml:space="preserve">).</w:t>
      </w:r>
    </w:p>
    <w:p>
      <w:pPr>
        <w:pStyle w:val="BodyText"/>
      </w:pPr>
      <w:r>
        <w:br/>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2026">
        <w:r>
          <w:rPr>
            <w:rStyle w:val="Hyperlink"/>
          </w:rPr>
          <w:t xml:space="preserve">Applegate &amp; Lahey, 2026</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 Applegate and Lahey</w:t>
      </w:r>
      <w:r>
        <w:t xml:space="preserve"> </w:t>
      </w:r>
      <w:r>
        <w:t xml:space="preserve">(</w:t>
      </w:r>
      <w:hyperlink w:anchor="ref-Applegate2026">
        <w:r>
          <w:rPr>
            <w:rStyle w:val="Hyperlink"/>
          </w:rPr>
          <w:t xml:space="preserve">2026, p. 10</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85"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83"/>
      </w:r>
      <w:r>
        <w:t xml:space="preserve">—the diagnostic criteria do not differ across development, even though diagnostic manuals acknowledge that developmental factors impact symptom presentation</w:t>
      </w:r>
      <w:r>
        <w:rPr>
          <w:rStyle w:val="FootnoteReference"/>
        </w:rPr>
        <w:footnoteReference w:id="84"/>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developmental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85"/>
    <w:bookmarkEnd w:id="86"/>
    <w:bookmarkStart w:id="103"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methodological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93"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use the same items to assess problem behaviors across a very wide range of ages and thus do not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87"/>
      </w:r>
      <w:r>
        <w:t xml:space="preserve"> </w:t>
      </w:r>
      <w:r>
        <w:t xml:space="preserve">For example, in a study of externalizing behavior from early childhood to adolescence, a study might remove substance use items that are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those same items across all ages, even outside the ages for which the assessment was designed and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p>
    <w:p>
      <w:pPr>
        <w:pStyle w:val="BodyText"/>
      </w:pP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r>
        <w:t xml:space="preserve"> </w:t>
      </w:r>
      <w:r>
        <w:t xml:space="preserve">As examples of the downward extension approach,</w:t>
      </w:r>
      <w:r>
        <w:t xml:space="preserve"> </w:t>
      </w:r>
      <w:r>
        <w:t xml:space="preserve">Gornik et al. (</w:t>
      </w:r>
      <w:hyperlink w:anchor="ref-Gornik2023">
        <w:r>
          <w:rPr>
            <w:rStyle w:val="Hyperlink"/>
          </w:rPr>
          <w:t xml:space="preserve">2023</w:t>
        </w:r>
      </w:hyperlink>
      <w:r>
        <w:t xml:space="preserve">)</w:t>
      </w:r>
      <w:r>
        <w:t xml:space="preserve"> </w:t>
      </w:r>
      <w:r>
        <w:t xml:space="preserve">used the CBCL 4–18 with 3-year-olds—i.e., ages younger than the assessment was designed.</w:t>
      </w:r>
      <w:r>
        <w:t xml:space="preserve"> </w:t>
      </w:r>
      <w:r>
        <w:t xml:space="preserve">Zhai et al. (</w:t>
      </w:r>
      <w:hyperlink w:anchor="ref-Zhai2026">
        <w:r>
          <w:rPr>
            <w:rStyle w:val="Hyperlink"/>
          </w:rPr>
          <w:t xml:space="preserve">2026</w:t>
        </w:r>
      </w:hyperlink>
      <w:r>
        <w:t xml:space="preserve">)</w:t>
      </w:r>
      <w:r>
        <w:t xml:space="preserve"> </w:t>
      </w:r>
      <w:r>
        <w:t xml:space="preserve">used items (e.g.,</w:t>
      </w:r>
      <w:r>
        <w:t xml:space="preserve"> </w:t>
      </w:r>
      <w:r>
        <w:t xml:space="preserve">“steals from home, school or elsewhere”</w:t>
      </w:r>
      <w:r>
        <w:t xml:space="preserve">) from the Strengths and Difficulties Questionnaire for 4–10/11–17-year-olds with 3 year-olds—i.e., ages younger than the assessment was designed, despite availability of a version for 2–4-year-olds.</w:t>
      </w:r>
    </w:p>
    <w:bookmarkStart w:id="91" w:name="fig-approachesToLongitudinalAssessment"/>
    <w:p>
      <w:pPr>
        <w:pStyle w:val="FigureTitle"/>
      </w:pPr>
      <w:r>
        <w:t xml:space="preserve">Figure 6</w:t>
      </w:r>
    </w:p>
    <w:p>
      <w:pPr>
        <w:pStyle w:val="Caption"/>
      </w:pPr>
      <w:r>
        <w:t xml:space="preserve">Approaches to Longitudinal Assessment</w:t>
      </w:r>
    </w:p>
    <w:p>
      <w:pPr>
        <w:pStyle w:val="FigureWithNote"/>
      </w:pPr>
      <w:r>
        <w:drawing>
          <wp:inline>
            <wp:extent cx="5943600" cy="2351289"/>
            <wp:effectExtent b="0" l="0" r="0" t="0"/>
            <wp:docPr descr="" title="" id="89" name="Picture"/>
            <a:graphic>
              <a:graphicData uri="http://schemas.openxmlformats.org/drawingml/2006/picture">
                <pic:pic>
                  <pic:nvPicPr>
                    <pic:cNvPr descr="Figures/approachesToLongitudinalAssessment.jpg" id="90" name="Picture"/>
                    <pic:cNvPicPr>
                      <a:picLocks noChangeArrowheads="1" noChangeAspect="1"/>
                    </pic:cNvPicPr>
                  </pic:nvPicPr>
                  <pic:blipFill>
                    <a:blip r:embed="rId88"/>
                    <a:stretch>
                      <a:fillRect/>
                    </a:stretch>
                  </pic:blipFill>
                  <pic:spPr bwMode="auto">
                    <a:xfrm>
                      <a:off x="0" y="0"/>
                      <a:ext cx="5943600" cy="2351289"/>
                    </a:xfrm>
                    <a:prstGeom prst="rect">
                      <a:avLst/>
                    </a:prstGeom>
                    <a:noFill/>
                    <a:ln w="9525">
                      <a:noFill/>
                      <a:headEnd/>
                      <a:tailEnd/>
                    </a:ln>
                  </pic:spPr>
                </pic:pic>
              </a:graphicData>
            </a:graphic>
          </wp:inline>
        </w:drawing>
      </w:r>
    </w:p>
    <w:bookmarkEnd w:id="91"/>
    <w:p>
      <w:pPr>
        <w:pStyle w:val="FigureNote"/>
      </w:pPr>
      <w:r>
        <w:rPr>
          <w:i/>
          <w:iCs/>
        </w:rPr>
        <w:t xml:space="preserve">Note</w:t>
      </w:r>
      <w:r>
        <w:t xml:space="preserve">. Item set A refers to items that are construct-valid at only timepoint 1 (T1); item set B is construct-valid at both T1 and T2; item set C is construct-valid at only T2. A dash indicates that the item set was not assessed at a given timepoint. A white box indicates invalid assessment in terms of either a content gap (i.e., important missing items) or intrusion (i.e., invalid items at a given timepoint). 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 The three approaches are: (1) common items: B at T1 and T2, (2) upward/downward extension: ABC at T1 and T2, or (3) construct-valid items: AB at T1; BC at T2.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 (Figure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2">
        <w:r>
          <w:rPr>
            <w:rStyle w:val="Hyperlink"/>
          </w:rPr>
          <w:t xml:space="preserve">https://doi.org/10.1016/j.jaacop.2025.10.008</w:t>
        </w:r>
      </w:hyperlink>
      <w:r>
        <w:t xml:space="preserve">).</w:t>
      </w:r>
    </w:p>
    <w:p>
      <w:pPr>
        <w:pStyle w:val="BodyText"/>
      </w:pPr>
      <w:r>
        <w:br/>
      </w:r>
    </w:p>
    <w:p>
      <w:pPr>
        <w:pStyle w:val="BodyText"/>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have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approaches—thus failing to account for heterotypic continuity—lead to inaccurate developmental inferences.</w:t>
      </w:r>
      <w:r>
        <w:t xml:space="preserve"> </w:t>
      </w:r>
      <w:r>
        <w:t xml:space="preserve">The extent of inaccuracy may vary from small to substantial depending on the approach used, the criterion examined, and the extent to which the construct changes in manifestation (whose changes are ignored).</w:t>
      </w:r>
      <w:r>
        <w:t xml:space="preserve"> </w:t>
      </w:r>
      <w:r>
        <w:t xml:space="preserve">Nevertheless, the effects of failing to account for heterotypic continuity have been large enough to infer that (a) a sample does not show changes in level when it actually does</w:t>
      </w:r>
      <w:r>
        <w:t xml:space="preserve"> </w:t>
      </w:r>
      <w:r>
        <w:t xml:space="preserve">(</w:t>
      </w:r>
      <w:hyperlink w:anchor="ref-Petersen2018">
        <w:r>
          <w:rPr>
            <w:rStyle w:val="Hyperlink"/>
          </w:rPr>
          <w:t xml:space="preserve">Petersen et al., 2018</w:t>
        </w:r>
      </w:hyperlink>
      <w:r>
        <w:t xml:space="preserve">)</w:t>
      </w:r>
      <w:r>
        <w:t xml:space="preserve">, (b) a sample shows increases when it actually decreases</w:t>
      </w:r>
      <w:r>
        <w:t xml:space="preserve"> </w:t>
      </w:r>
      <w:r>
        <w:t xml:space="preserve">(</w:t>
      </w:r>
      <w:hyperlink w:anchor="ref-Petersen2021a">
        <w:r>
          <w:rPr>
            <w:rStyle w:val="Hyperlink"/>
          </w:rPr>
          <w:t xml:space="preserve">Petersen et al., 2021</w:t>
        </w:r>
      </w:hyperlink>
      <w:r>
        <w:t xml:space="preserve">)</w:t>
      </w:r>
      <w:r>
        <w:t xml:space="preserve">, (c) many individuals are misclassified as persisting versus desisting in terms of their externalizing trajectory</w:t>
      </w:r>
      <w:r>
        <w:t xml:space="preserve"> </w:t>
      </w:r>
      <w:r>
        <w:t xml:space="preserve">(</w:t>
      </w:r>
      <w:hyperlink w:anchor="ref-Petersen2026a">
        <w:r>
          <w:rPr>
            <w:rStyle w:val="Hyperlink"/>
          </w:rPr>
          <w:t xml:space="preserve">Petersen, Demko, Lee, et al., 2026</w:t>
        </w:r>
      </w:hyperlink>
      <w:r>
        <w:t xml:space="preserve">)</w:t>
      </w:r>
      <w:r>
        <w:t xml:space="preserve">, and (d) a subgroup’s externalizing behavior emerges in adulthood when it actually onsets much earlier</w:t>
      </w:r>
      <w:r>
        <w:t xml:space="preserve"> </w:t>
      </w:r>
      <w:r>
        <w:t xml:space="preserve">(i.e., adolescence;</w:t>
      </w:r>
      <w:r>
        <w:t xml:space="preserve"> </w:t>
      </w:r>
      <w:hyperlink w:anchor="ref-Chen2015">
        <w:r>
          <w:rPr>
            <w:rStyle w:val="Hyperlink"/>
          </w:rPr>
          <w:t xml:space="preserve">F. R. Chen &amp; Jaffee, 2015</w:t>
        </w:r>
      </w:hyperlink>
      <w:r>
        <w:t xml:space="preserve">)</w:t>
      </w:r>
      <w:r>
        <w:t xml:space="preserve">.</w:t>
      </w:r>
      <w:r>
        <w:t xml:space="preserve"> </w:t>
      </w:r>
      <w:r>
        <w:t xml:space="preserve">In sum, despite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being the most widely used for assessing individuals’ development, they likely lead to inaccurate scores and thus inaccurate trajectories and ages of onset for individuals and groups.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Likewise, using DSM disorders or diagnoses also does not solve the problem because DSM disorders are fictive categories</w:t>
      </w:r>
      <w:r>
        <w:t xml:space="preserve"> </w:t>
      </w:r>
      <w:r>
        <w:t xml:space="preserve">(</w:t>
      </w:r>
      <w:hyperlink w:anchor="ref-Petersen2024">
        <w:r>
          <w:rPr>
            <w:rStyle w:val="Hyperlink"/>
          </w:rPr>
          <w:t xml:space="preserve">Petersen, 2024</w:t>
        </w:r>
      </w:hyperlink>
      <w:r>
        <w:t xml:space="preserve">)</w:t>
      </w:r>
      <w:r>
        <w:t xml:space="preserve"> </w:t>
      </w:r>
      <w:r>
        <w:t xml:space="preserve">and, as described above, DSM disorder criteria do not adequately account for different symptom presentations at different ages.</w:t>
      </w:r>
      <w:r>
        <w:t xml:space="preserve"> </w:t>
      </w:r>
      <w:r>
        <w:t xml:space="preserve">Moreover, diagnostic criteria naturally change with subsequent revisions of the DSM, leading people to lose interest with prior categorizations and to incomparability of diagnoses across DSM versions.</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93"/>
    <w:bookmarkStart w:id="94"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do not assess the most construct-relevant items at particular ages and thus show insufficient differences in which items are assessed at which ages.</w:t>
      </w:r>
      <w:r>
        <w:t xml:space="preserve"> </w:t>
      </w:r>
      <w:r>
        <w:t xml:space="preserve">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p>
    <w:p>
      <w:pPr>
        <w:pStyle w:val="BodyText"/>
      </w:pPr>
      <w:r>
        <w:t xml:space="preserve">Age norms and standardized scores (e.g.,</w:t>
      </w:r>
      <w:r>
        <w:t xml:space="preserve"> </w:t>
      </w:r>
      <w:r>
        <w:rPr>
          <w:i/>
          <w:iCs/>
        </w:rPr>
        <w:t xml:space="preserve">T</w:t>
      </w:r>
      <w:r>
        <w:t xml:space="preserve">- or</w:t>
      </w:r>
      <w:r>
        <w:t xml:space="preserve"> </w:t>
      </w:r>
      <w:r>
        <w:rPr>
          <w:i/>
          <w:iCs/>
        </w:rPr>
        <w:t xml:space="preserve">z</w:t>
      </w:r>
      <w:r>
        <w:t xml:space="preserve">-scores) have also been used to study development of externalizing problems</w:t>
      </w:r>
      <w:r>
        <w:t xml:space="preserve"> </w:t>
      </w:r>
      <w:r>
        <w:t xml:space="preserve">(</w:t>
      </w:r>
      <w:hyperlink w:anchor="ref-Bista2025">
        <w:r>
          <w:rPr>
            <w:rStyle w:val="Hyperlink"/>
          </w:rPr>
          <w:t xml:space="preserve">Bista et al., 2025</w:t>
        </w:r>
      </w:hyperlink>
      <w:r>
        <w:t xml:space="preserve">;</w:t>
      </w:r>
      <w:r>
        <w:t xml:space="preserve"> </w:t>
      </w:r>
      <w:hyperlink w:anchor="ref-Korhonen2018">
        <w:r>
          <w:rPr>
            <w:rStyle w:val="Hyperlink"/>
          </w:rPr>
          <w:t xml:space="preserve">Korhonen et al., 2018</w:t>
        </w:r>
      </w:hyperlink>
      <w:r>
        <w:t xml:space="preserve">)</w:t>
      </w:r>
      <w:r>
        <w:t xml:space="preserve">.</w:t>
      </w:r>
      <w:r>
        <w:t xml:space="preserve"> </w:t>
      </w:r>
      <w:r>
        <w:t xml:space="preserve">However, age norms and standardized 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Thus, age-norming is problematic in longitudinal studies</w:t>
      </w:r>
      <w:r>
        <w:t xml:space="preserve"> </w:t>
      </w:r>
      <w:r>
        <w:t xml:space="preserve">(</w:t>
      </w:r>
      <w:hyperlink w:anchor="ref-Moeller2015">
        <w:r>
          <w:rPr>
            <w:rStyle w:val="Hyperlink"/>
          </w:rPr>
          <w:t xml:space="preserve">Moeller, 2015</w:t>
        </w:r>
      </w:hyperlink>
      <w:r>
        <w:t xml:space="preserve">)</w:t>
      </w:r>
      <w:r>
        <w:t xml:space="preserve">.</w:t>
      </w:r>
    </w:p>
    <w:p>
      <w:pPr>
        <w:pStyle w:val="BodyText"/>
      </w:pPr>
      <w:r>
        <w:t xml:space="preserve">It is important for scores across ages to be on the same apples-to-apples scale so the scores can be compared across ages, which would be valuable even in a cross-sectional study that spans a wide age range, as might be found in an epidemiological study.</w:t>
      </w:r>
      <w:r>
        <w:t xml:space="preserve"> </w:t>
      </w: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However, considerable research in educational psychology links scores across age-differing measures to be on the same scale.</w:t>
      </w:r>
      <w:r>
        <w:t xml:space="preserve"> </w:t>
      </w:r>
      <w:r>
        <w:t xml:space="preserve">For instance, standardized tests are frequently administered in schools to determine the extent of growth across grades.</w:t>
      </w:r>
      <w:r>
        <w:t xml:space="preserve"> </w:t>
      </w:r>
      <w:r>
        <w:t xml:space="preserve">Because of substantial changes in ability level across grades, the same math and reading items cannot be administered at all grades.</w:t>
      </w:r>
      <w:r>
        <w:t xml:space="preserve"> </w:t>
      </w:r>
      <w:r>
        <w:t xml:space="preserve">Otherwise, respondents would receive items that are too easy (thus evoking boredom) or too difficult (thus evoking frustration), relative to their ability.</w:t>
      </w:r>
      <w:r>
        <w:t xml:space="preserve"> </w:t>
      </w:r>
      <w:r>
        <w:t xml:space="preserve">To address this, the test developers write the tests so that some items are in common across adjacent grades—used for linking the scores across grades onto the same scale—along with items that are unique to a particular grade.</w:t>
      </w:r>
      <w:r>
        <w:t xml:space="preserve"> </w:t>
      </w:r>
      <w:r>
        <w:t xml:space="preserve">Then, the researchers apply widely used methods to link the scores from the different measures onto the same scale so they can observe individuals’ growth across grades.</w:t>
      </w:r>
      <w:r>
        <w:t xml:space="preserve"> </w:t>
      </w:r>
      <w:r>
        <w:t xml:space="preserve">The same general methods are also used to place people’s scores on the same scale for standardized tests like the ACT, SAT, GRE, MCAT, LSAT, etc., despite respondents receiving different item content.</w:t>
      </w:r>
    </w:p>
    <w:p>
      <w:pPr>
        <w:pStyle w:val="BodyText"/>
      </w:pPr>
      <w:r>
        <w:t xml:space="preserve">For examples of studies applying various linking methods to academic and cognitive skills, see</w:t>
      </w:r>
      <w:r>
        <w:t xml:space="preserve"> </w:t>
      </w:r>
      <w:r>
        <w:t xml:space="preserve">McArdle et al. (</w:t>
      </w:r>
      <w:hyperlink w:anchor="ref-McArdle2009">
        <w:r>
          <w:rPr>
            <w:rStyle w:val="Hyperlink"/>
          </w:rPr>
          <w:t xml:space="preserve">2009</w:t>
        </w:r>
      </w:hyperlink>
      <w:r>
        <w:t xml:space="preserve">)</w:t>
      </w:r>
      <w:r>
        <w:t xml:space="preserve">, McArdle and Grimm</w:t>
      </w:r>
      <w:r>
        <w:t xml:space="preserve"> </w:t>
      </w:r>
      <w:r>
        <w:t xml:space="preserve">(</w:t>
      </w:r>
      <w:hyperlink w:anchor="ref-McArdle2011">
        <w:r>
          <w:rPr>
            <w:rStyle w:val="Hyperlink"/>
          </w:rPr>
          <w:t xml:space="preserve">2011</w:t>
        </w:r>
      </w:hyperlink>
      <w:r>
        <w:t xml:space="preserve">)</w:t>
      </w:r>
      <w:r>
        <w:t xml:space="preserve">,</w:t>
      </w:r>
      <w:r>
        <w:t xml:space="preserve"> </w:t>
      </w:r>
      <w:r>
        <w:t xml:space="preserve">Murayama et al. (</w:t>
      </w:r>
      <w:hyperlink w:anchor="ref-Murayama2013">
        <w:r>
          <w:rPr>
            <w:rStyle w:val="Hyperlink"/>
          </w:rPr>
          <w:t xml:space="preserve">2013</w:t>
        </w:r>
      </w:hyperlink>
      <w:r>
        <w:t xml:space="preserve">)</w:t>
      </w:r>
      <w:r>
        <w:t xml:space="preserve">,</w:t>
      </w:r>
      <w:r>
        <w:t xml:space="preserve"> </w:t>
      </w:r>
      <w:r>
        <w:t xml:space="preserve">Oleson et al. (</w:t>
      </w:r>
      <w:hyperlink w:anchor="ref-Oleson2016">
        <w:r>
          <w:rPr>
            <w:rStyle w:val="Hyperlink"/>
          </w:rPr>
          <w:t xml:space="preserve">2016</w:t>
        </w:r>
      </w:hyperlink>
      <w:r>
        <w:t xml:space="preserve">)</w:t>
      </w:r>
      <w:r>
        <w:t xml:space="preserve">,</w:t>
      </w:r>
      <w:r>
        <w:t xml:space="preserve"> </w:t>
      </w:r>
      <w:r>
        <w:t xml:space="preserve">Petscher et al. (</w:t>
      </w:r>
      <w:hyperlink w:anchor="ref-Petscher2018">
        <w:r>
          <w:rPr>
            <w:rStyle w:val="Hyperlink"/>
          </w:rPr>
          <w:t xml:space="preserve">2018</w:t>
        </w:r>
      </w:hyperlink>
      <w:r>
        <w:t xml:space="preserve">)</w:t>
      </w:r>
      <w:r>
        <w:t xml:space="preserve">,</w:t>
      </w:r>
      <w:r>
        <w:t xml:space="preserve"> </w:t>
      </w:r>
      <w:r>
        <w:t xml:space="preserve">Ward et al. (</w:t>
      </w:r>
      <w:hyperlink w:anchor="ref-Ward2022">
        <w:r>
          <w:rPr>
            <w:rStyle w:val="Hyperlink"/>
          </w:rPr>
          <w:t xml:space="preserve">2022</w:t>
        </w:r>
      </w:hyperlink>
      <w:r>
        <w:t xml:space="preserve">)</w:t>
      </w:r>
      <w:r>
        <w:t xml:space="preserve">, and</w:t>
      </w:r>
      <w:r>
        <w:t xml:space="preserve"> </w:t>
      </w:r>
      <w:r>
        <w:t xml:space="preserve">Weeks (</w:t>
      </w:r>
      <w:hyperlink w:anchor="ref-Weeks2018">
        <w:r>
          <w:rPr>
            <w:rStyle w:val="Hyperlink"/>
          </w:rPr>
          <w:t xml:space="preserve">2018</w:t>
        </w:r>
      </w:hyperlink>
      <w:r>
        <w:t xml:space="preserve">)</w:t>
      </w:r>
      <w:r>
        <w:t xml:space="preserve">.</w:t>
      </w:r>
      <w:r>
        <w:t xml:space="preserve"> </w:t>
      </w:r>
      <w:r>
        <w:t xml:space="preserve">However, the use of linking methods is rare in studies of social and behavioral development broadly and psychopathology specifically.</w:t>
      </w:r>
      <w:r>
        <w:t xml:space="preserve"> </w:t>
      </w:r>
      <w:r>
        <w:t xml:space="preserve">For studies that have applied such methods in studying social and behavioral development, see studies on self-concept</w:t>
      </w:r>
      <w:r>
        <w:t xml:space="preserve"> </w:t>
      </w:r>
      <w:r>
        <w:t xml:space="preserve">(</w:t>
      </w:r>
      <w:hyperlink w:anchor="ref-Hancock2008">
        <w:r>
          <w:rPr>
            <w:rStyle w:val="Hyperlink"/>
          </w:rPr>
          <w:t xml:space="preserve">Hancock &amp; Buehl, 2008</w:t>
        </w:r>
      </w:hyperlink>
      <w:r>
        <w:t xml:space="preserve">)</w:t>
      </w:r>
      <w:r>
        <w:t xml:space="preserve">, neuroticism</w:t>
      </w:r>
      <w:r>
        <w:t xml:space="preserve"> </w:t>
      </w:r>
      <w:r>
        <w:t xml:space="preserve">(</w:t>
      </w:r>
      <w:hyperlink w:anchor="ref-Lai2023">
        <w:r>
          <w:rPr>
            <w:rStyle w:val="Hyperlink"/>
          </w:rPr>
          <w:t xml:space="preserve">Lai, 2023</w:t>
        </w:r>
      </w:hyperlink>
      <w:r>
        <w:t xml:space="preserve">)</w:t>
      </w:r>
      <w:r>
        <w:t xml:space="preserve">, self-regulation</w:t>
      </w:r>
      <w:r>
        <w:t xml:space="preserve"> </w:t>
      </w:r>
      <w:r>
        <w:t xml:space="preserve">(</w:t>
      </w:r>
      <w:hyperlink w:anchor="ref-Hosch2022">
        <w:r>
          <w:rPr>
            <w:rStyle w:val="Hyperlink"/>
          </w:rPr>
          <w:t xml:space="preserve">Hosch et al., 2022</w:t>
        </w:r>
      </w:hyperlink>
      <w:r>
        <w:t xml:space="preserve">)</w:t>
      </w:r>
      <w:r>
        <w:t xml:space="preserve">, underactivity/overactivity</w:t>
      </w:r>
      <w:r>
        <w:t xml:space="preserve"> </w:t>
      </w:r>
      <w:r>
        <w:t xml:space="preserve">(and their subdimensions;</w:t>
      </w:r>
      <w:r>
        <w:t xml:space="preserve"> </w:t>
      </w:r>
      <w:hyperlink w:anchor="ref-McDermott2013">
        <w:r>
          <w:rPr>
            <w:rStyle w:val="Hyperlink"/>
          </w:rPr>
          <w:t xml:space="preserve">McDermott et al., 2013</w:t>
        </w:r>
      </w:hyperlink>
      <w:r>
        <w:t xml:space="preserve">)</w:t>
      </w:r>
      <w:r>
        <w:t xml:space="preserve">, thought-disordered problems</w:t>
      </w:r>
      <w:r>
        <w:t xml:space="preserve"> </w:t>
      </w:r>
      <w:r>
        <w:t xml:space="preserve">(</w:t>
      </w:r>
      <w:hyperlink w:anchor="ref-Petersen2026a">
        <w:r>
          <w:rPr>
            <w:rStyle w:val="Hyperlink"/>
          </w:rPr>
          <w:t xml:space="preserve">Petersen, Demko, Lee, et al., 2026</w:t>
        </w:r>
      </w:hyperlink>
      <w:r>
        <w:t xml:space="preserve">)</w:t>
      </w:r>
      <w:r>
        <w:t xml:space="preserve">, internalizing problems</w:t>
      </w:r>
      <w:r>
        <w:t xml:space="preserve"> </w:t>
      </w:r>
      <w:r>
        <w:t xml:space="preserve">(</w:t>
      </w:r>
      <w:hyperlink w:anchor="ref-Harris2025">
        <w:r>
          <w:rPr>
            <w:rStyle w:val="Hyperlink"/>
          </w:rPr>
          <w:t xml:space="preserve">Harris et al., 2025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Tyrell2019">
        <w:r>
          <w:rPr>
            <w:rStyle w:val="Hyperlink"/>
          </w:rPr>
          <w:t xml:space="preserve">Tyrell et al., 2019</w:t>
        </w:r>
      </w:hyperlink>
      <w:r>
        <w:t xml:space="preserve">)</w:t>
      </w:r>
      <w:r>
        <w:t xml:space="preserve">, and externalizing problems</w:t>
      </w:r>
      <w:r>
        <w:t xml:space="preserve"> </w:t>
      </w:r>
      <w:r>
        <w:t xml:space="preserve">(</w:t>
      </w:r>
      <w:hyperlink w:anchor="ref-ChenMBR">
        <w:r>
          <w:rPr>
            <w:rStyle w:val="Hyperlink"/>
          </w:rPr>
          <w:t xml:space="preserve">S. M. Chen &amp; Bauer, in press a</w:t>
        </w:r>
      </w:hyperlink>
      <w:r>
        <w:t xml:space="preserve">,</w:t>
      </w:r>
      <w:r>
        <w:t xml:space="preserve"> </w:t>
      </w:r>
      <w:hyperlink w:anchor="ref-ChenPM">
        <w:r>
          <w:rPr>
            <w:rStyle w:val="Hyperlink"/>
          </w:rPr>
          <w:t xml:space="preserve">in press b</w:t>
        </w:r>
      </w:hyperlink>
      <w:r>
        <w:t xml:space="preserve">;</w:t>
      </w:r>
      <w:r>
        <w:t xml:space="preserve"> </w:t>
      </w:r>
      <w:hyperlink w:anchor="ref-Harris2025">
        <w:r>
          <w:rPr>
            <w:rStyle w:val="Hyperlink"/>
          </w:rPr>
          <w:t xml:space="preserve">Harris et al., 2025</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Petersen2021b">
        <w:r>
          <w:rPr>
            <w:rStyle w:val="Hyperlink"/>
          </w:rPr>
          <w:t xml:space="preserve">Petersen &amp; LeBeau, 2021</w:t>
        </w:r>
      </w:hyperlink>
      <w:r>
        <w:t xml:space="preserve">,</w:t>
      </w:r>
      <w:r>
        <w:t xml:space="preserve"> </w:t>
      </w:r>
      <w:hyperlink w:anchor="ref-Petersen2022">
        <w:r>
          <w:rPr>
            <w:rStyle w:val="Hyperlink"/>
          </w:rPr>
          <w:t xml:space="preserve">2022</w:t>
        </w:r>
      </w:hyperlink>
      <w:r>
        <w:t xml:space="preserve">)</w:t>
      </w:r>
      <w:r>
        <w:t xml:space="preserve">.</w:t>
      </w:r>
      <w:r>
        <w:t xml:space="preserve"> </w:t>
      </w:r>
      <w:r>
        <w:t xml:space="preserve">And even fewer of these studies accounted for heterotypic continuity by using different measures across ages</w:t>
      </w:r>
      <w:r>
        <w:t xml:space="preserve"> </w:t>
      </w:r>
      <w:r>
        <w:t xml:space="preserve">(</w:t>
      </w:r>
      <w:hyperlink w:anchor="ref-ChenPM">
        <w:r>
          <w:rPr>
            <w:rStyle w:val="Hyperlink"/>
          </w:rPr>
          <w:t xml:space="preserve">S. M. Chen &amp; Bauer, in press b</w:t>
        </w:r>
      </w:hyperlink>
      <w:r>
        <w:t xml:space="preserve">;</w:t>
      </w:r>
      <w:r>
        <w:t xml:space="preserve"> </w:t>
      </w:r>
      <w:hyperlink w:anchor="ref-Hancock2008">
        <w:r>
          <w:rPr>
            <w:rStyle w:val="Hyperlink"/>
          </w:rPr>
          <w:t xml:space="preserve">Hancock &amp; Buehl, 2008</w:t>
        </w:r>
      </w:hyperlink>
      <w:r>
        <w:t xml:space="preserve">;</w:t>
      </w:r>
      <w:r>
        <w:t xml:space="preserve"> </w:t>
      </w:r>
      <w:hyperlink w:anchor="ref-Harris2025">
        <w:r>
          <w:rPr>
            <w:rStyle w:val="Hyperlink"/>
          </w:rPr>
          <w:t xml:space="preserve">Harris et al., 2025</w:t>
        </w:r>
      </w:hyperlink>
      <w:r>
        <w:t xml:space="preserve">;</w:t>
      </w:r>
      <w:r>
        <w:t xml:space="preserve"> </w:t>
      </w:r>
      <w:hyperlink w:anchor="ref-Hosch2022">
        <w:r>
          <w:rPr>
            <w:rStyle w:val="Hyperlink"/>
          </w:rPr>
          <w:t xml:space="preserve">Hosch et al., 2022</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Petersen2022">
        <w:r>
          <w:rPr>
            <w:rStyle w:val="Hyperlink"/>
          </w:rPr>
          <w:t xml:space="preserve">Petersen &amp; LeBeau, 2022</w:t>
        </w:r>
      </w:hyperlink>
      <w:r>
        <w:t xml:space="preserve">;</w:t>
      </w:r>
      <w:r>
        <w:t xml:space="preserve"> </w:t>
      </w:r>
      <w:hyperlink w:anchor="ref-Tyrell2019">
        <w:r>
          <w:rPr>
            <w:rStyle w:val="Hyperlink"/>
          </w:rPr>
          <w:t xml:space="preserve">Tyrell et al., 2019</w:t>
        </w:r>
      </w:hyperlink>
      <w:r>
        <w:t xml:space="preserve">)</w:t>
      </w:r>
      <w:r>
        <w:t xml:space="preserve">.</w:t>
      </w:r>
    </w:p>
    <w:p>
      <w:pPr>
        <w:pStyle w:val="BodyText"/>
      </w:pPr>
      <w:r>
        <w:t xml:space="preserve">A failure to apply linking methods has consistently been shown to yield less accurate trajectories—at the person and group level</w:t>
      </w:r>
      <w:r>
        <w:t xml:space="preserve"> </w:t>
      </w:r>
      <w:r>
        <w:t xml:space="preserve">(</w:t>
      </w:r>
      <w:hyperlink w:anchor="ref-ChenMBR">
        <w:r>
          <w:rPr>
            <w:rStyle w:val="Hyperlink"/>
          </w:rPr>
          <w:t xml:space="preserve">S. M. Chen &amp; Bauer, in press a</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1a">
        <w:r>
          <w:rPr>
            <w:rStyle w:val="Hyperlink"/>
          </w:rPr>
          <w:t xml:space="preserve">Petersen et al., 2021</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Thus, it is imperative that studies link scores across age-differing measures of psychopathology.</w:t>
      </w:r>
      <w:r>
        <w:t xml:space="preserve"> </w:t>
      </w:r>
      <w:r>
        <w:t xml:space="preserve">However, psychopathology assessments do not include scoring tools for linking scores across age- (or rater-) differing versions.</w:t>
      </w:r>
      <w:r>
        <w:t xml:space="preserve"> </w:t>
      </w:r>
      <w:r>
        <w:t xml:space="preserve">The lack of scoring tools that link scores from age-differing psychopathology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r>
        <w:t xml:space="preserve"> </w:t>
      </w:r>
      <w:r>
        <w:t xml:space="preserve">Restricting the age range of study to when the same measure was assessed naturally prevents studying development across important developmental transitions, when changes in behavior manifestatation may be especially likely, such as puberty, school entry, and entry into parenthood.</w:t>
      </w:r>
    </w:p>
    <w:bookmarkEnd w:id="94"/>
    <w:bookmarkStart w:id="101"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 </w:t>
      </w:r>
      <w:r>
        <w:t xml:space="preserve">“sometimes,”</w:t>
      </w:r>
      <w:r>
        <w:t xml:space="preserve"> </w:t>
      </w:r>
      <w:r>
        <w:t xml:space="preserve">“often,”</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w:t>
      </w:r>
      <w:r>
        <w:t xml:space="preserve"> </w:t>
      </w:r>
      <w:r>
        <w:t xml:space="preserve">(i.e., greater reduction of uncertainty in estimates of a person’s construct level; though there are diminishing returns when using more than six response options;</w:t>
      </w:r>
      <w:r>
        <w:t xml:space="preserve"> </w:t>
      </w:r>
      <w:hyperlink w:anchor="ref-Culpepper2013">
        <w:r>
          <w:rPr>
            <w:rStyle w:val="Hyperlink"/>
          </w:rPr>
          <w:t xml:space="preserve">Culpepper, 2013</w:t>
        </w:r>
      </w:hyperlink>
      <w:r>
        <w:t xml:space="preserve">;</w:t>
      </w:r>
      <w:r>
        <w:t xml:space="preserve"> </w:t>
      </w:r>
      <w:hyperlink w:anchor="ref-Simms2019">
        <w:r>
          <w:rPr>
            <w:rStyle w:val="Hyperlink"/>
          </w:rPr>
          <w:t xml:space="preserve">Simms et al., 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98"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p>
    <w:p>
      <w:pPr>
        <w:pStyle w:val="FigureWithNote"/>
      </w:pPr>
      <w:r>
        <w:drawing>
          <wp:inline>
            <wp:extent cx="5943600" cy="3668050"/>
            <wp:effectExtent b="0" l="0" r="0" t="0"/>
            <wp:docPr descr="" title="" id="96" name="Picture"/>
            <a:graphic>
              <a:graphicData uri="http://schemas.openxmlformats.org/drawingml/2006/picture">
                <pic:pic>
                  <pic:nvPicPr>
                    <pic:cNvPr descr="Figures/Petersen2026_figure4.png" id="97" name="Picture"/>
                    <pic:cNvPicPr>
                      <a:picLocks noChangeArrowheads="1" noChangeAspect="1"/>
                    </pic:cNvPicPr>
                  </pic:nvPicPr>
                  <pic:blipFill>
                    <a:blip r:embed="rId95"/>
                    <a:stretch>
                      <a:fillRect/>
                    </a:stretch>
                  </pic:blipFill>
                  <pic:spPr bwMode="auto">
                    <a:xfrm>
                      <a:off x="0" y="0"/>
                      <a:ext cx="5943600" cy="3668050"/>
                    </a:xfrm>
                    <a:prstGeom prst="rect">
                      <a:avLst/>
                    </a:prstGeom>
                    <a:noFill/>
                    <a:ln w="9525">
                      <a:noFill/>
                      <a:headEnd/>
                      <a:tailEnd/>
                    </a:ln>
                  </pic:spPr>
                </pic:pic>
              </a:graphicData>
            </a:graphic>
          </wp:inline>
        </w:drawing>
      </w:r>
    </w:p>
    <w:bookmarkEnd w:id="98"/>
    <w:p>
      <w:pPr>
        <w:pStyle w:val="FigureNote"/>
      </w:pPr>
      <w:r>
        <w:rPr>
          <w:i/>
          <w:iCs/>
        </w:rPr>
        <w:t xml:space="preserve">Note</w:t>
      </w:r>
      <w:r>
        <w:t xml:space="preserve">.</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 Theta represents the person’s level on the latent externalizing problems factor. The figure demonstrates that items assessing absolute frequency yield more information (i.e., measurement precision) than dichotomized versions of the same items and the Likert-type response options of the Adult Self-Report.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2">
        <w:r>
          <w:rPr>
            <w:rStyle w:val="Hyperlink"/>
          </w:rPr>
          <w:t xml:space="preserve">https://doi.org/10.1037/pas0001441</w:t>
        </w:r>
      </w:hyperlink>
      <w:r>
        <w:t xml:space="preserve">).</w:t>
      </w:r>
    </w:p>
    <w:p>
      <w:pPr>
        <w:pStyle w:val="BodyText"/>
      </w:pPr>
      <w:r>
        <w:br/>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Kliem et al., 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Krueger et al., 2005</w:t>
        </w:r>
      </w:hyperlink>
      <w:r>
        <w:t xml:space="preserve">;</w:t>
      </w:r>
      <w:r>
        <w:t xml:space="preserve"> </w:t>
      </w:r>
      <w:hyperlink w:anchor="ref-Krueger2007">
        <w:r>
          <w:rPr>
            <w:rStyle w:val="Hyperlink"/>
          </w:rPr>
          <w:t xml:space="preserve">Krueger et al., 2007</w:t>
        </w:r>
      </w:hyperlink>
      <w:r>
        <w:t xml:space="preserve">;</w:t>
      </w:r>
      <w:r>
        <w:t xml:space="preserve"> </w:t>
      </w:r>
      <w:hyperlink w:anchor="ref-Krueger2021">
        <w:r>
          <w:rPr>
            <w:rStyle w:val="Hyperlink"/>
          </w:rPr>
          <w:t xml:space="preserve">Krueger et al., 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w:t>
      </w:r>
      <w:r>
        <w:t xml:space="preserve"> </w:t>
      </w:r>
      <w:r>
        <w:t xml:space="preserve">Doing so would help move the field away from a focus of symptoms (and absence of symptoms) and toward consideration of the full range of functioning, including thriving.</w:t>
      </w:r>
      <w:r>
        <w:t xml:space="preserve"> </w:t>
      </w:r>
      <w:r>
        <w:t xml:space="preserve">As they note, low scores on clinical measures are typically intended to assess absence of pathological functioning rather than the opposite end of the latent continuum—i.e., the presence of adaptive functioning.</w:t>
      </w:r>
      <w:r>
        <w:t xml:space="preserve"> </w:t>
      </w:r>
      <w:r>
        <w:t xml:space="preserve">For instance, it can be valuable to consider</w:t>
      </w:r>
      <w:r>
        <w:t xml:space="preserve"> </w:t>
      </w:r>
      <w:r>
        <w:t xml:space="preserve">“positive opposites”</w:t>
      </w:r>
      <w:r>
        <w:t xml:space="preserve">—i.e., positive behaviors that compete with and are (simultaneously) incompatible with the particular antisocial behavior.</w:t>
      </w:r>
      <w:r>
        <w:t xml:space="preserve"> </w:t>
      </w:r>
      <w:r>
        <w:t xml:space="preserve">For instance, in a study of externalizing behavior, it would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behaviors, which will be important to distinguish various forms of behavior—e.g., physical versus verbal versus destructive versus relational aggression—and their functions—e.g., proactive versus reactive.</w:t>
      </w:r>
    </w:p>
    <w:p>
      <w:pPr>
        <w:pStyle w:val="BodyText"/>
      </w:pPr>
      <w:r>
        <w:t xml:space="preserve">Based on our content analysis of over 270 measures of externalizing behavior, we identified a wide range of facets that would be important for measures of externalizing behavior to capture (see</w:t>
      </w:r>
      <w:r>
        <w:t xml:space="preserve"> </w:t>
      </w:r>
      <w:hyperlink w:anchor="tbl-externalizingfacets">
        <w:r>
          <w:rPr>
            <w:rStyle w:val="Hyperlink"/>
          </w:rPr>
          <w:t xml:space="preserve">Table 1</w:t>
        </w:r>
      </w:hyperlink>
      <w:r>
        <w:t xml:space="preserve">).</w:t>
      </w:r>
      <w:r>
        <w:t xml:space="preserve"> </w:t>
      </w:r>
      <w:r>
        <w:t xml:space="preserve">We also identified potential positive opposites of each facet.</w:t>
      </w:r>
    </w:p>
    <w:bookmarkStart w:id="99" w:name="tbl-externalizingfacets"/>
    <w:p>
      <w:pPr>
        <w:pStyle w:val="FigureTitle"/>
      </w:pPr>
      <w:r>
        <w:t xml:space="preserve">Table 1</w:t>
      </w:r>
    </w:p>
    <w:p>
      <w:pPr>
        <w:pStyle w:val="Caption"/>
      </w:pPr>
      <w:r>
        <w:t xml:space="preserve">Externalizing Facets Identified in Content Analysis of Externalizing Measures.</w:t>
      </w:r>
    </w:p>
    <w:tbl>
      <w:tblPr>
        <w:tblStyle w:val="Table"/>
        <w:tblW w:type="pct" w:w="4948"/>
        <w:tblLayout w:type="fixed"/>
        <w:tblLook w:firstRow="1" w:lastRow="0" w:firstColumn="0" w:lastColumn="0" w:noHBand="0" w:noVBand="0" w:val="0020"/>
      </w:tblPr>
      <w:tblGrid>
        <w:gridCol w:w="2954"/>
        <w:gridCol w:w="1846"/>
        <w:gridCol w:w="3036"/>
      </w:tblGrid>
      <w:tr>
        <w:trPr>
          <w:tblHeader w:val="on"/>
        </w:trPr>
        <w:tc>
          <w:tcPr/>
          <w:p>
            <w:pPr>
              <w:pStyle w:val="Compact"/>
              <w:jc w:val="left"/>
            </w:pPr>
            <w:r>
              <w:t xml:space="preserve">Facet</w:t>
            </w:r>
          </w:p>
        </w:tc>
        <w:tc>
          <w:tcPr/>
          <w:p>
            <w:pPr>
              <w:pStyle w:val="Compact"/>
              <w:jc w:val="left"/>
            </w:pPr>
            <w:r>
              <w:t xml:space="preserve">Definition</w:t>
            </w:r>
          </w:p>
        </w:tc>
        <w:tc>
          <w:tcPr/>
          <w:p>
            <w:pPr>
              <w:pStyle w:val="Compact"/>
              <w:jc w:val="left"/>
            </w:pPr>
            <w:r>
              <w:t xml:space="preserve">Potential Positive Opposite</w:t>
            </w:r>
          </w:p>
        </w:tc>
      </w:tr>
      <w:tr>
        <w:tc>
          <w:tcPr/>
          <w:p>
            <w:pPr>
              <w:pStyle w:val="Compact"/>
              <w:jc w:val="left"/>
            </w:pPr>
            <w:r>
              <w:t xml:space="preserve">Apathy/Indolence/Disengagement</w:t>
            </w:r>
          </w:p>
        </w:tc>
        <w:tc>
          <w:tcPr/>
          <w:p>
            <w:pPr>
              <w:pStyle w:val="Compact"/>
              <w:jc w:val="left"/>
            </w:pPr>
            <w:r>
              <w:t xml:space="preserve">Unconcerned about achievement, low</w:t>
            </w:r>
            <w:r>
              <w:t xml:space="preserve"> </w:t>
            </w:r>
            <w:r>
              <w:t xml:space="preserve">motivation, low concern about how one’s</w:t>
            </w:r>
            <w:r>
              <w:t xml:space="preserve"> </w:t>
            </w:r>
            <w:r>
              <w:t xml:space="preserve">abilities or actions are evaluated, specific</w:t>
            </w:r>
            <w:r>
              <w:t xml:space="preserve"> </w:t>
            </w:r>
            <w:r>
              <w:t xml:space="preserve">to contexts in which others have</w:t>
            </w:r>
            <w:r>
              <w:t xml:space="preserve"> </w:t>
            </w:r>
            <w:r>
              <w:t xml:space="preserve">expectations for performance (e.g., school</w:t>
            </w:r>
            <w:r>
              <w:t xml:space="preserve"> </w:t>
            </w:r>
            <w:r>
              <w:t xml:space="preserve">and work), specifically low effort rather</w:t>
            </w:r>
            <w:r>
              <w:t xml:space="preserve"> </w:t>
            </w:r>
            <w:r>
              <w:t xml:space="preserve">than performance</w:t>
            </w:r>
          </w:p>
        </w:tc>
        <w:tc>
          <w:tcPr/>
          <w:p>
            <w:pPr>
              <w:pStyle w:val="Compact"/>
              <w:jc w:val="left"/>
            </w:pPr>
            <w:r>
              <w:t xml:space="preserve">Diligence/Achievement motivation</w:t>
            </w:r>
          </w:p>
        </w:tc>
      </w:tr>
      <w:tr>
        <w:tc>
          <w:tcPr/>
          <w:p>
            <w:pPr>
              <w:pStyle w:val="Compact"/>
              <w:jc w:val="left"/>
            </w:pPr>
            <w:r>
              <w:t xml:space="preserve">Attention seeking/Exhibitionism</w:t>
            </w:r>
          </w:p>
        </w:tc>
        <w:tc>
          <w:tcPr/>
          <w:p>
            <w:pPr>
              <w:pStyle w:val="Compact"/>
              <w:jc w:val="left"/>
            </w:pPr>
            <w:r>
              <w:t xml:space="preserve">Exaggerated or dramatic expressions,</w:t>
            </w:r>
            <w:r>
              <w:t xml:space="preserve"> </w:t>
            </w:r>
            <w:r>
              <w:t xml:space="preserve">interrupting others, inappropriate or</w:t>
            </w:r>
            <w:r>
              <w:t xml:space="preserve"> </w:t>
            </w:r>
            <w:r>
              <w:t xml:space="preserve">provocative behaviors, provoking reactions</w:t>
            </w:r>
          </w:p>
        </w:tc>
        <w:tc>
          <w:tcPr/>
          <w:p>
            <w:pPr>
              <w:pStyle w:val="Compact"/>
              <w:jc w:val="left"/>
            </w:pPr>
            <w:r>
              <w:t xml:space="preserve">Humility/Appropriate self-expression</w:t>
            </w:r>
          </w:p>
        </w:tc>
      </w:tr>
      <w:tr>
        <w:tc>
          <w:tcPr/>
          <w:p>
            <w:pPr>
              <w:pStyle w:val="Compact"/>
              <w:jc w:val="left"/>
            </w:pPr>
            <w:r>
              <w:t xml:space="preserve">Behavioral addiction</w:t>
            </w:r>
          </w:p>
        </w:tc>
        <w:tc>
          <w:tcPr/>
          <w:p>
            <w:pPr>
              <w:pStyle w:val="Compact"/>
              <w:jc w:val="left"/>
            </w:pPr>
            <w:r>
              <w:t xml:space="preserve">Impulsive/compulsive engagement in rewarding</w:t>
            </w:r>
            <w:r>
              <w:t xml:space="preserve"> </w:t>
            </w:r>
            <w:r>
              <w:t xml:space="preserve">non-substance behaviors (e.g., gambling,</w:t>
            </w:r>
            <w:r>
              <w:t xml:space="preserve"> </w:t>
            </w:r>
            <w:r>
              <w:t xml:space="preserve">video games, risky sex, pornography, food,</w:t>
            </w:r>
            <w:r>
              <w:t xml:space="preserve"> </w:t>
            </w:r>
            <w:r>
              <w:t xml:space="preserve">the internet, mobile devices, shopping)</w:t>
            </w:r>
          </w:p>
        </w:tc>
        <w:tc>
          <w:tcPr/>
          <w:p>
            <w:pPr>
              <w:pStyle w:val="Compact"/>
              <w:jc w:val="left"/>
            </w:pPr>
            <w:r>
              <w:t xml:space="preserve">Self-regulated engagement</w:t>
            </w:r>
          </w:p>
        </w:tc>
      </w:tr>
      <w:tr>
        <w:tc>
          <w:tcPr/>
          <w:p>
            <w:pPr>
              <w:pStyle w:val="Compact"/>
              <w:jc w:val="left"/>
            </w:pPr>
            <w:r>
              <w:t xml:space="preserve">Blame externalization</w:t>
            </w:r>
          </w:p>
        </w:tc>
        <w:tc>
          <w:tcPr/>
          <w:p>
            <w:pPr>
              <w:pStyle w:val="Compact"/>
              <w:jc w:val="left"/>
            </w:pPr>
            <w:r>
              <w:t xml:space="preserve">Attribute cause of problems or failures to</w:t>
            </w:r>
            <w:r>
              <w:t xml:space="preserve"> </w:t>
            </w:r>
            <w:r>
              <w:t xml:space="preserve">external factors, falsely claiming</w:t>
            </w:r>
            <w:r>
              <w:t xml:space="preserve"> </w:t>
            </w:r>
            <w:r>
              <w:t xml:space="preserve">victimhood, blaming others</w:t>
            </w:r>
          </w:p>
        </w:tc>
        <w:tc>
          <w:tcPr/>
          <w:p>
            <w:pPr>
              <w:pStyle w:val="Compact"/>
              <w:jc w:val="left"/>
            </w:pPr>
            <w:r>
              <w:t xml:space="preserve">Personal responsibility/Accountability</w:t>
            </w:r>
          </w:p>
        </w:tc>
      </w:tr>
      <w:tr>
        <w:tc>
          <w:tcPr/>
          <w:p>
            <w:pPr>
              <w:pStyle w:val="Compact"/>
              <w:jc w:val="left"/>
            </w:pPr>
            <w:r>
              <w:t xml:space="preserve">Boredom proneness</w:t>
            </w:r>
          </w:p>
        </w:tc>
        <w:tc>
          <w:tcPr/>
          <w:p>
            <w:pPr>
              <w:pStyle w:val="Compact"/>
              <w:jc w:val="left"/>
            </w:pPr>
            <w:r>
              <w:t xml:space="preserve">Expressing boredom often, difficulty</w:t>
            </w:r>
            <w:r>
              <w:t xml:space="preserve"> </w:t>
            </w:r>
            <w:r>
              <w:t xml:space="preserve">maintaining interest, lack of engagement</w:t>
            </w:r>
          </w:p>
        </w:tc>
        <w:tc>
          <w:tcPr/>
          <w:p>
            <w:pPr>
              <w:pStyle w:val="Compact"/>
              <w:jc w:val="left"/>
            </w:pPr>
            <w:r>
              <w:t xml:space="preserve">Curiosity/Sustained engagement</w:t>
            </w:r>
          </w:p>
        </w:tc>
      </w:tr>
      <w:tr>
        <w:tc>
          <w:tcPr/>
          <w:p>
            <w:pPr>
              <w:pStyle w:val="Compact"/>
              <w:jc w:val="left"/>
            </w:pPr>
            <w:r>
              <w:t xml:space="preserve">Callous aggression</w:t>
            </w:r>
          </w:p>
        </w:tc>
        <w:tc>
          <w:tcPr/>
          <w:p>
            <w:pPr>
              <w:pStyle w:val="Compact"/>
              <w:jc w:val="left"/>
            </w:pPr>
            <w:r>
              <w:t xml:space="preserve">Inflicting harm without feeling remorse or</w:t>
            </w:r>
            <w:r>
              <w:t xml:space="preserve"> </w:t>
            </w:r>
            <w:r>
              <w:t xml:space="preserve">concern, usually proactive/intentional</w:t>
            </w:r>
          </w:p>
        </w:tc>
        <w:tc>
          <w:tcPr/>
          <w:p>
            <w:pPr>
              <w:pStyle w:val="Compact"/>
              <w:jc w:val="left"/>
            </w:pPr>
            <w:r>
              <w:t xml:space="preserve">Compassionate protection/Benevolence</w:t>
            </w:r>
          </w:p>
        </w:tc>
      </w:tr>
      <w:tr>
        <w:tc>
          <w:tcPr/>
          <w:p>
            <w:pPr>
              <w:pStyle w:val="Compact"/>
              <w:jc w:val="left"/>
            </w:pPr>
            <w:r>
              <w:t xml:space="preserve">Callousness/Disregard for others/Selfishness/Egocentricity</w:t>
            </w:r>
          </w:p>
        </w:tc>
        <w:tc>
          <w:tcPr/>
          <w:p>
            <w:pPr>
              <w:pStyle w:val="Compact"/>
              <w:jc w:val="left"/>
            </w:pPr>
            <w:r>
              <w:t xml:space="preserve">Emotional detachment, indifference to</w:t>
            </w:r>
            <w:r>
              <w:t xml:space="preserve"> </w:t>
            </w:r>
            <w:r>
              <w:t xml:space="preserve">well-being of others</w:t>
            </w:r>
          </w:p>
        </w:tc>
        <w:tc>
          <w:tcPr/>
          <w:p>
            <w:pPr>
              <w:pStyle w:val="Compact"/>
              <w:jc w:val="left"/>
            </w:pPr>
            <w:r>
              <w:t xml:space="preserve">Empathy/Compassion/Concern for others/Helping others/Sharing</w:t>
            </w:r>
          </w:p>
        </w:tc>
      </w:tr>
      <w:tr>
        <w:tc>
          <w:tcPr/>
          <w:p>
            <w:pPr>
              <w:pStyle w:val="Compact"/>
              <w:jc w:val="left"/>
            </w:pPr>
            <w:r>
              <w:t xml:space="preserve">Deceitfulness/Fraud/Lying/Cheating/Dishonesty/Sneakiness/Exploitation</w:t>
            </w:r>
          </w:p>
        </w:tc>
        <w:tc>
          <w:tcPr/>
          <w:p>
            <w:pPr>
              <w:pStyle w:val="Compact"/>
              <w:jc w:val="left"/>
            </w:pPr>
            <w:r>
              <w:t xml:space="preserve">Keeping the truth hidden, especially to get</w:t>
            </w:r>
            <w:r>
              <w:t xml:space="preserve"> </w:t>
            </w:r>
            <w:r>
              <w:t xml:space="preserve">an advantage (e.g., lying, withholding</w:t>
            </w:r>
            <w:r>
              <w:t xml:space="preserve"> </w:t>
            </w:r>
            <w:r>
              <w:t xml:space="preserve">information, manipulation, making false</w:t>
            </w:r>
            <w:r>
              <w:t xml:space="preserve"> </w:t>
            </w:r>
            <w:r>
              <w:t xml:space="preserve">promises)</w:t>
            </w:r>
          </w:p>
        </w:tc>
        <w:tc>
          <w:tcPr/>
          <w:p>
            <w:pPr>
              <w:pStyle w:val="Compact"/>
              <w:jc w:val="left"/>
            </w:pPr>
            <w:r>
              <w:t xml:space="preserve">Honesty/Integrity/Fairness</w:t>
            </w:r>
          </w:p>
        </w:tc>
      </w:tr>
      <w:tr>
        <w:tc>
          <w:tcPr/>
          <w:p>
            <w:pPr>
              <w:pStyle w:val="Compact"/>
              <w:jc w:val="left"/>
            </w:pPr>
            <w:r>
              <w:t xml:space="preserve">Deviant peer affiliation</w:t>
            </w:r>
          </w:p>
        </w:tc>
        <w:tc>
          <w:tcPr/>
          <w:p>
            <w:pPr>
              <w:pStyle w:val="Compact"/>
              <w:jc w:val="left"/>
            </w:pPr>
            <w:r>
              <w:t xml:space="preserve">Affiliating with peers who engage in deviant</w:t>
            </w:r>
            <w:r>
              <w:t xml:space="preserve"> </w:t>
            </w:r>
            <w:r>
              <w:t xml:space="preserve">or delinquent behaviors</w:t>
            </w:r>
          </w:p>
        </w:tc>
        <w:tc>
          <w:tcPr/>
          <w:p>
            <w:pPr>
              <w:pStyle w:val="Compact"/>
              <w:jc w:val="left"/>
            </w:pPr>
            <w:r>
              <w:t xml:space="preserve">Prosocial peer affiliations</w:t>
            </w:r>
          </w:p>
        </w:tc>
      </w:tr>
      <w:tr>
        <w:tc>
          <w:tcPr/>
          <w:p>
            <w:pPr>
              <w:pStyle w:val="Compact"/>
              <w:jc w:val="left"/>
            </w:pPr>
            <w:r>
              <w:t xml:space="preserve">Destructive aggression/Destruction of property</w:t>
            </w:r>
          </w:p>
        </w:tc>
        <w:tc>
          <w:tcPr/>
          <w:p>
            <w:pPr>
              <w:pStyle w:val="Compact"/>
              <w:jc w:val="left"/>
            </w:pPr>
            <w:r>
              <w:t xml:space="preserve">Destruction of property, self, or others,</w:t>
            </w:r>
            <w:r>
              <w:t xml:space="preserve"> </w:t>
            </w:r>
            <w:r>
              <w:t xml:space="preserve">objects</w:t>
            </w:r>
          </w:p>
        </w:tc>
        <w:tc>
          <w:tcPr/>
          <w:p>
            <w:pPr>
              <w:pStyle w:val="Compact"/>
              <w:jc w:val="left"/>
            </w:pPr>
            <w:r>
              <w:t xml:space="preserve">Constructiveness/Care for property</w:t>
            </w:r>
          </w:p>
        </w:tc>
      </w:tr>
      <w:tr>
        <w:tc>
          <w:tcPr/>
          <w:p>
            <w:pPr>
              <w:pStyle w:val="Compact"/>
              <w:jc w:val="left"/>
            </w:pPr>
            <w:r>
              <w:t xml:space="preserve">Distractibility/Inattention/Attention</w:t>
            </w:r>
            <w:r>
              <w:t xml:space="preserve"> </w:t>
            </w:r>
            <w:r>
              <w:t xml:space="preserve">dysregulation/Forgetfulness/Daydreaming</w:t>
            </w:r>
          </w:p>
        </w:tc>
        <w:tc>
          <w:tcPr/>
          <w:p>
            <w:pPr>
              <w:pStyle w:val="Compact"/>
              <w:jc w:val="left"/>
            </w:pPr>
            <w:r>
              <w:t xml:space="preserve">Difficulty maintaining focus, attention, or</w:t>
            </w:r>
            <w:r>
              <w:t xml:space="preserve"> </w:t>
            </w:r>
            <w:r>
              <w:t xml:space="preserve">concentration, frequent attention shifts</w:t>
            </w:r>
          </w:p>
        </w:tc>
        <w:tc>
          <w:tcPr/>
          <w:p>
            <w:pPr>
              <w:pStyle w:val="Compact"/>
              <w:jc w:val="left"/>
            </w:pPr>
            <w:r>
              <w:t xml:space="preserve">Attentional control/Sustained attention</w:t>
            </w:r>
          </w:p>
        </w:tc>
      </w:tr>
      <w:tr>
        <w:tc>
          <w:tcPr/>
          <w:p>
            <w:pPr>
              <w:pStyle w:val="Compact"/>
              <w:jc w:val="left"/>
            </w:pPr>
            <w:r>
              <w:t xml:space="preserve">Domineering/Bossiness</w:t>
            </w:r>
          </w:p>
        </w:tc>
        <w:tc>
          <w:tcPr/>
          <w:p>
            <w:pPr>
              <w:pStyle w:val="Compact"/>
              <w:jc w:val="left"/>
            </w:pPr>
            <w:r>
              <w:t xml:space="preserve">Asserting control, power, and authority in</w:t>
            </w:r>
            <w:r>
              <w:t xml:space="preserve"> </w:t>
            </w:r>
            <w:r>
              <w:t xml:space="preserve">an overbearing or oppressive manner</w:t>
            </w:r>
          </w:p>
        </w:tc>
        <w:tc>
          <w:tcPr/>
          <w:p>
            <w:pPr>
              <w:pStyle w:val="Compact"/>
              <w:jc w:val="left"/>
            </w:pPr>
            <w:r>
              <w:t xml:space="preserve">Collaborativeness</w:t>
            </w:r>
          </w:p>
        </w:tc>
      </w:tr>
      <w:tr>
        <w:tc>
          <w:tcPr/>
          <w:p>
            <w:pPr>
              <w:pStyle w:val="Compact"/>
              <w:jc w:val="left"/>
            </w:pPr>
            <w:r>
              <w:t xml:space="preserve">Excitement seeking/Risk taking/Sensation seeking</w:t>
            </w:r>
          </w:p>
        </w:tc>
        <w:tc>
          <w:tcPr/>
          <w:p>
            <w:pPr>
              <w:pStyle w:val="Compact"/>
              <w:jc w:val="left"/>
            </w:pPr>
            <w:r>
              <w:t xml:space="preserve">Tendency to impulsively pursue new and</w:t>
            </w:r>
            <w:r>
              <w:t xml:space="preserve"> </w:t>
            </w:r>
            <w:r>
              <w:t xml:space="preserve">different sensations, especially ones that</w:t>
            </w:r>
            <w:r>
              <w:t xml:space="preserve"> </w:t>
            </w:r>
            <w:r>
              <w:t xml:space="preserve">are intense, exhilarating, thrilling,</w:t>
            </w:r>
            <w:r>
              <w:t xml:space="preserve"> </w:t>
            </w:r>
            <w:r>
              <w:t xml:space="preserve">unsafe, etc. (e.g., risk taking, preference</w:t>
            </w:r>
            <w:r>
              <w:t xml:space="preserve"> </w:t>
            </w:r>
            <w:r>
              <w:t xml:space="preserve">for novelty, intensity)</w:t>
            </w:r>
          </w:p>
        </w:tc>
        <w:tc>
          <w:tcPr/>
          <w:p>
            <w:pPr>
              <w:pStyle w:val="Compact"/>
              <w:jc w:val="left"/>
            </w:pPr>
            <w:r>
              <w:t xml:space="preserve">Prudent exploration/Measured novelty seeking</w:t>
            </w:r>
          </w:p>
        </w:tc>
      </w:tr>
      <w:tr>
        <w:tc>
          <w:tcPr/>
          <w:p>
            <w:pPr>
              <w:pStyle w:val="Compact"/>
              <w:jc w:val="left"/>
            </w:pPr>
            <w:r>
              <w:t xml:space="preserve">Grandiosity/Overconfidence</w:t>
            </w:r>
          </w:p>
        </w:tc>
        <w:tc>
          <w:tcPr/>
          <w:p>
            <w:pPr>
              <w:pStyle w:val="Compact"/>
              <w:jc w:val="left"/>
            </w:pPr>
            <w:r>
              <w:t xml:space="preserve">Exaggerated sense of self-importance, sense</w:t>
            </w:r>
            <w:r>
              <w:t xml:space="preserve"> </w:t>
            </w:r>
            <w:r>
              <w:t xml:space="preserve">of superiority or specialness</w:t>
            </w:r>
          </w:p>
        </w:tc>
        <w:tc>
          <w:tcPr/>
          <w:p>
            <w:pPr>
              <w:pStyle w:val="Compact"/>
              <w:jc w:val="left"/>
            </w:pPr>
            <w:r>
              <w:t xml:space="preserve">Realistic self-confidence</w:t>
            </w:r>
          </w:p>
        </w:tc>
      </w:tr>
      <w:tr>
        <w:tc>
          <w:tcPr/>
          <w:p>
            <w:pPr>
              <w:pStyle w:val="Compact"/>
              <w:jc w:val="left"/>
            </w:pPr>
            <w:r>
              <w:t xml:space="preserve">Hostility/Rudeness</w:t>
            </w:r>
          </w:p>
        </w:tc>
        <w:tc>
          <w:tcPr/>
          <w:p>
            <w:pPr>
              <w:pStyle w:val="Compact"/>
              <w:jc w:val="left"/>
            </w:pPr>
            <w:r>
              <w:t xml:space="preserve">Hostile behavior, unfriendliness,</w:t>
            </w:r>
            <w:r>
              <w:t xml:space="preserve"> </w:t>
            </w:r>
            <w:r>
              <w:t xml:space="preserve">resentment, antagonism, ranging from mild</w:t>
            </w:r>
            <w:r>
              <w:t xml:space="preserve"> </w:t>
            </w:r>
            <w:r>
              <w:t xml:space="preserve">irritation to intense rage, interpret</w:t>
            </w:r>
            <w:r>
              <w:t xml:space="preserve"> </w:t>
            </w:r>
            <w:r>
              <w:t xml:space="preserve">others’ behavior as hostile</w:t>
            </w:r>
          </w:p>
        </w:tc>
        <w:tc>
          <w:tcPr/>
          <w:p>
            <w:pPr>
              <w:pStyle w:val="Compact"/>
              <w:jc w:val="left"/>
            </w:pPr>
            <w:r>
              <w:t xml:space="preserve">Warmth/Friendliness/Kindness</w:t>
            </w:r>
          </w:p>
        </w:tc>
      </w:tr>
      <w:tr>
        <w:tc>
          <w:tcPr/>
          <w:p>
            <w:pPr>
              <w:pStyle w:val="Compact"/>
              <w:jc w:val="left"/>
            </w:pPr>
            <w:r>
              <w:t xml:space="preserve">Hyperactivity</w:t>
            </w:r>
          </w:p>
        </w:tc>
        <w:tc>
          <w:tcPr/>
          <w:p>
            <w:pPr>
              <w:pStyle w:val="Compact"/>
              <w:jc w:val="left"/>
            </w:pPr>
            <w:r>
              <w:t xml:space="preserve">High levels of physical activity,</w:t>
            </w:r>
            <w:r>
              <w:t xml:space="preserve"> </w:t>
            </w:r>
            <w:r>
              <w:t xml:space="preserve">restlessness, difficulty engaging in quiet</w:t>
            </w:r>
            <w:r>
              <w:t xml:space="preserve"> </w:t>
            </w:r>
            <w:r>
              <w:t xml:space="preserve">activities</w:t>
            </w:r>
          </w:p>
        </w:tc>
        <w:tc>
          <w:tcPr/>
          <w:p>
            <w:pPr>
              <w:pStyle w:val="Compact"/>
              <w:jc w:val="left"/>
            </w:pPr>
            <w:r>
              <w:t xml:space="preserve">Behavioral regulation</w:t>
            </w:r>
          </w:p>
        </w:tc>
      </w:tr>
      <w:tr>
        <w:tc>
          <w:tcPr/>
          <w:p>
            <w:pPr>
              <w:pStyle w:val="Compact"/>
              <w:jc w:val="left"/>
            </w:pPr>
            <w:r>
              <w:t xml:space="preserve">Impulsivity/Disinhibition/Impatient urgency</w:t>
            </w:r>
          </w:p>
        </w:tc>
        <w:tc>
          <w:tcPr/>
          <w:p>
            <w:pPr>
              <w:pStyle w:val="Compact"/>
              <w:jc w:val="left"/>
            </w:pPr>
            <w:r>
              <w:t xml:space="preserve">Tendency to act without thinking,</w:t>
            </w:r>
            <w:r>
              <w:t xml:space="preserve"> </w:t>
            </w:r>
            <w:r>
              <w:t xml:space="preserve">disinhibited engagement</w:t>
            </w:r>
          </w:p>
        </w:tc>
        <w:tc>
          <w:tcPr/>
          <w:p>
            <w:pPr>
              <w:pStyle w:val="Compact"/>
              <w:jc w:val="left"/>
            </w:pPr>
            <w:r>
              <w:t xml:space="preserve">Planful control</w:t>
            </w:r>
          </w:p>
        </w:tc>
      </w:tr>
      <w:tr>
        <w:tc>
          <w:tcPr/>
          <w:p>
            <w:pPr>
              <w:pStyle w:val="Compact"/>
              <w:jc w:val="left"/>
            </w:pPr>
            <w:r>
              <w:t xml:space="preserve">Irresponsibility/Unreliability/Disorganization</w:t>
            </w:r>
          </w:p>
        </w:tc>
        <w:tc>
          <w:tcPr/>
          <w:p>
            <w:pPr>
              <w:pStyle w:val="Compact"/>
              <w:jc w:val="left"/>
            </w:pPr>
            <w:r>
              <w:t xml:space="preserve">Failing to meet obligations, avoiding</w:t>
            </w:r>
            <w:r>
              <w:t xml:space="preserve"> </w:t>
            </w:r>
            <w:r>
              <w:t xml:space="preserve">addressing difficulties, inconsistency, lack</w:t>
            </w:r>
            <w:r>
              <w:t xml:space="preserve"> </w:t>
            </w:r>
            <w:r>
              <w:t xml:space="preserve">of organization and planning</w:t>
            </w:r>
          </w:p>
        </w:tc>
        <w:tc>
          <w:tcPr/>
          <w:p>
            <w:pPr>
              <w:pStyle w:val="Compact"/>
              <w:jc w:val="left"/>
            </w:pPr>
            <w:r>
              <w:t xml:space="preserve">Responsibility/Conscientiousness/Dependability/Reliability/Organization</w:t>
            </w:r>
          </w:p>
        </w:tc>
      </w:tr>
      <w:tr>
        <w:tc>
          <w:tcPr/>
          <w:p>
            <w:pPr>
              <w:pStyle w:val="Compact"/>
              <w:jc w:val="left"/>
            </w:pPr>
            <w:r>
              <w:t xml:space="preserve">Manipulativeness/Psychological aggression</w:t>
            </w:r>
          </w:p>
        </w:tc>
        <w:tc>
          <w:tcPr/>
          <w:p>
            <w:pPr>
              <w:pStyle w:val="Compact"/>
              <w:jc w:val="left"/>
            </w:pPr>
            <w:r>
              <w:t xml:space="preserve">Tendency to influence or control others to</w:t>
            </w:r>
            <w:r>
              <w:t xml:space="preserve"> </w:t>
            </w:r>
            <w:r>
              <w:t xml:space="preserve">achieve one’s own goals or desires, e.g.,</w:t>
            </w:r>
            <w:r>
              <w:t xml:space="preserve"> </w:t>
            </w:r>
            <w:r>
              <w:t xml:space="preserve">playing the victim, flattery, gaslighting,</w:t>
            </w:r>
            <w:r>
              <w:t xml:space="preserve"> </w:t>
            </w:r>
            <w:r>
              <w:t xml:space="preserve">guilt-tripping, psychological aggression</w:t>
            </w:r>
          </w:p>
        </w:tc>
        <w:tc>
          <w:tcPr/>
          <w:p>
            <w:pPr>
              <w:pStyle w:val="Compact"/>
              <w:jc w:val="left"/>
            </w:pPr>
            <w:r>
              <w:t xml:space="preserve">Sincerity/Authenticity</w:t>
            </w:r>
          </w:p>
        </w:tc>
      </w:tr>
      <w:tr>
        <w:tc>
          <w:tcPr/>
          <w:p>
            <w:pPr>
              <w:pStyle w:val="Compact"/>
              <w:jc w:val="left"/>
            </w:pPr>
            <w:r>
              <w:t xml:space="preserve">Mistrust/Suspiciousness/Paranoia</w:t>
            </w:r>
          </w:p>
        </w:tc>
        <w:tc>
          <w:tcPr/>
          <w:p>
            <w:pPr>
              <w:pStyle w:val="Compact"/>
              <w:jc w:val="left"/>
            </w:pPr>
            <w:r>
              <w:t xml:space="preserve">Lack of confidence in the reliability,</w:t>
            </w:r>
            <w:r>
              <w:t xml:space="preserve"> </w:t>
            </w:r>
            <w:r>
              <w:t xml:space="preserve">intentions of others, difficulty forming</w:t>
            </w:r>
            <w:r>
              <w:t xml:space="preserve"> </w:t>
            </w:r>
            <w:r>
              <w:t xml:space="preserve">close relationships with others, difficulty</w:t>
            </w:r>
            <w:r>
              <w:t xml:space="preserve"> </w:t>
            </w:r>
            <w:r>
              <w:t xml:space="preserve">forgiving</w:t>
            </w:r>
          </w:p>
        </w:tc>
        <w:tc>
          <w:tcPr/>
          <w:p>
            <w:pPr>
              <w:pStyle w:val="Compact"/>
              <w:jc w:val="left"/>
            </w:pPr>
            <w:r>
              <w:t xml:space="preserve">Interpersonal trust (appropriately calibrated)</w:t>
            </w:r>
          </w:p>
        </w:tc>
      </w:tr>
      <w:tr>
        <w:tc>
          <w:tcPr/>
          <w:p>
            <w:pPr>
              <w:pStyle w:val="Compact"/>
              <w:jc w:val="left"/>
            </w:pPr>
            <w:r>
              <w:t xml:space="preserve">Oppositionality/Stubbornness</w:t>
            </w:r>
          </w:p>
        </w:tc>
        <w:tc>
          <w:tcPr/>
          <w:p>
            <w:pPr>
              <w:pStyle w:val="Compact"/>
              <w:jc w:val="left"/>
            </w:pPr>
            <w:r>
              <w:t xml:space="preserve">Persistent and defiant attitude, tendency to</w:t>
            </w:r>
            <w:r>
              <w:t xml:space="preserve"> </w:t>
            </w:r>
            <w:r>
              <w:t xml:space="preserve">challenge authority, refusal to comply,</w:t>
            </w:r>
            <w:r>
              <w:t xml:space="preserve"> </w:t>
            </w:r>
            <w:r>
              <w:t xml:space="preserve">argumentativeness (could include while</w:t>
            </w:r>
            <w:r>
              <w:t xml:space="preserve"> </w:t>
            </w:r>
            <w:r>
              <w:t xml:space="preserve">complying), etc.</w:t>
            </w:r>
          </w:p>
        </w:tc>
        <w:tc>
          <w:tcPr/>
          <w:p>
            <w:pPr>
              <w:pStyle w:val="Compact"/>
              <w:jc w:val="left"/>
            </w:pPr>
            <w:r>
              <w:t xml:space="preserve">Cooperativeness</w:t>
            </w:r>
          </w:p>
        </w:tc>
      </w:tr>
      <w:tr>
        <w:tc>
          <w:tcPr/>
          <w:p>
            <w:pPr>
              <w:pStyle w:val="Compact"/>
              <w:jc w:val="left"/>
            </w:pPr>
            <w:r>
              <w:t xml:space="preserve">Physical aggression</w:t>
            </w:r>
          </w:p>
        </w:tc>
        <w:tc>
          <w:tcPr/>
          <w:p>
            <w:pPr>
              <w:pStyle w:val="Compact"/>
              <w:jc w:val="left"/>
            </w:pPr>
            <w:r>
              <w:t xml:space="preserve">Use of physical force or violence to harm</w:t>
            </w:r>
            <w:r>
              <w:t xml:space="preserve"> </w:t>
            </w:r>
            <w:r>
              <w:t xml:space="preserve">others or their property</w:t>
            </w:r>
          </w:p>
        </w:tc>
        <w:tc>
          <w:tcPr/>
          <w:p>
            <w:pPr>
              <w:pStyle w:val="Compact"/>
              <w:jc w:val="left"/>
            </w:pPr>
            <w:r>
              <w:t xml:space="preserve">Respect for others’ bodies/Helping others</w:t>
            </w:r>
          </w:p>
        </w:tc>
      </w:tr>
      <w:tr>
        <w:tc>
          <w:tcPr/>
          <w:p>
            <w:pPr>
              <w:pStyle w:val="Compact"/>
              <w:jc w:val="left"/>
            </w:pPr>
            <w:r>
              <w:t xml:space="preserve">Punishment insensitivity</w:t>
            </w:r>
          </w:p>
        </w:tc>
        <w:tc>
          <w:tcPr/>
          <w:p>
            <w:pPr>
              <w:pStyle w:val="Compact"/>
              <w:jc w:val="left"/>
            </w:pPr>
            <w:r>
              <w:t xml:space="preserve">Does not change behavior after punishment,</w:t>
            </w:r>
            <w:r>
              <w:t xml:space="preserve"> </w:t>
            </w:r>
            <w:r>
              <w:t xml:space="preserve">high tolerance for negative outcomes</w:t>
            </w:r>
          </w:p>
        </w:tc>
        <w:tc>
          <w:tcPr/>
          <w:p>
            <w:pPr>
              <w:pStyle w:val="Compact"/>
              <w:jc w:val="left"/>
            </w:pPr>
            <w:r>
              <w:t xml:space="preserve">Responsive to consequences</w:t>
            </w:r>
          </w:p>
        </w:tc>
      </w:tr>
      <w:tr>
        <w:tc>
          <w:tcPr/>
          <w:p>
            <w:pPr>
              <w:pStyle w:val="Compact"/>
              <w:jc w:val="left"/>
            </w:pPr>
            <w:r>
              <w:t xml:space="preserve">Rebelliousness/Rule-breaking/Noncompliance</w:t>
            </w:r>
          </w:p>
        </w:tc>
        <w:tc>
          <w:tcPr/>
          <w:p>
            <w:pPr>
              <w:pStyle w:val="Compact"/>
              <w:jc w:val="left"/>
            </w:pPr>
            <w:r>
              <w:t xml:space="preserve">Doing things differently than one is asked</w:t>
            </w:r>
            <w:r>
              <w:t xml:space="preserve"> </w:t>
            </w:r>
            <w:r>
              <w:t xml:space="preserve">to do (e.g., breaking house rules)</w:t>
            </w:r>
          </w:p>
        </w:tc>
        <w:tc>
          <w:tcPr/>
          <w:p>
            <w:pPr>
              <w:pStyle w:val="Compact"/>
              <w:jc w:val="left"/>
            </w:pPr>
            <w:r>
              <w:t xml:space="preserve">Compliance/Civic responsibility</w:t>
            </w:r>
          </w:p>
        </w:tc>
      </w:tr>
      <w:tr>
        <w:tc>
          <w:tcPr/>
          <w:p>
            <w:pPr>
              <w:pStyle w:val="Compact"/>
              <w:jc w:val="left"/>
            </w:pPr>
            <w:r>
              <w:t xml:space="preserve">Relational aggression</w:t>
            </w:r>
          </w:p>
        </w:tc>
        <w:tc>
          <w:tcPr/>
          <w:p>
            <w:pPr>
              <w:pStyle w:val="Compact"/>
              <w:jc w:val="left"/>
            </w:pPr>
            <w:r>
              <w:t xml:space="preserve">Aggression intended to harm others through</w:t>
            </w:r>
            <w:r>
              <w:t xml:space="preserve"> </w:t>
            </w:r>
            <w:r>
              <w:t xml:space="preserve">deliberate manipulation of their social</w:t>
            </w:r>
            <w:r>
              <w:t xml:space="preserve"> </w:t>
            </w:r>
            <w:r>
              <w:t xml:space="preserve">standing and relationships (e.g., exclusion,</w:t>
            </w:r>
            <w:r>
              <w:t xml:space="preserve"> </w:t>
            </w:r>
            <w:r>
              <w:t xml:space="preserve">speaking negatively of another, etc.)</w:t>
            </w:r>
          </w:p>
        </w:tc>
        <w:tc>
          <w:tcPr/>
          <w:p>
            <w:pPr>
              <w:pStyle w:val="Compact"/>
              <w:jc w:val="left"/>
            </w:pPr>
            <w:r>
              <w:t xml:space="preserve">Inclusion</w:t>
            </w:r>
          </w:p>
        </w:tc>
      </w:tr>
      <w:tr>
        <w:tc>
          <w:tcPr/>
          <w:p>
            <w:pPr>
              <w:pStyle w:val="Compact"/>
              <w:jc w:val="left"/>
            </w:pPr>
            <w:r>
              <w:t xml:space="preserve">Sexual aggression</w:t>
            </w:r>
          </w:p>
        </w:tc>
        <w:tc>
          <w:tcPr/>
          <w:p>
            <w:pPr>
              <w:pStyle w:val="Compact"/>
              <w:jc w:val="left"/>
            </w:pPr>
            <w:r>
              <w:t xml:space="preserve">Engaging in sexual activity with someone who</w:t>
            </w:r>
            <w:r>
              <w:t xml:space="preserve"> </w:t>
            </w:r>
            <w:r>
              <w:t xml:space="preserve">does not or cannot consent to that behavior,</w:t>
            </w:r>
            <w:r>
              <w:t xml:space="preserve"> </w:t>
            </w:r>
            <w:r>
              <w:t xml:space="preserve">or threatening to do so (e.g., harassment)</w:t>
            </w:r>
          </w:p>
        </w:tc>
        <w:tc>
          <w:tcPr/>
          <w:p>
            <w:pPr>
              <w:pStyle w:val="Compact"/>
              <w:jc w:val="left"/>
            </w:pPr>
            <w:r>
              <w:t xml:space="preserve">Respect for consent</w:t>
            </w:r>
          </w:p>
        </w:tc>
      </w:tr>
      <w:tr>
        <w:tc>
          <w:tcPr/>
          <w:p>
            <w:pPr>
              <w:pStyle w:val="Compact"/>
              <w:jc w:val="left"/>
            </w:pPr>
            <w:r>
              <w:t xml:space="preserve">Impulsive sexual behavior/Risky sexual behavior</w:t>
            </w:r>
          </w:p>
        </w:tc>
        <w:tc>
          <w:tcPr/>
          <w:p>
            <w:pPr>
              <w:pStyle w:val="Compact"/>
              <w:jc w:val="left"/>
            </w:pPr>
            <w:r>
              <w:t xml:space="preserve">Engaging in risky sexual activity (e.g., sex</w:t>
            </w:r>
            <w:r>
              <w:t xml:space="preserve"> </w:t>
            </w:r>
            <w:r>
              <w:t xml:space="preserve">without contraceptives)</w:t>
            </w:r>
          </w:p>
        </w:tc>
        <w:tc>
          <w:tcPr/>
          <w:p>
            <w:pPr>
              <w:pStyle w:val="Compact"/>
              <w:jc w:val="left"/>
            </w:pPr>
            <w:r>
              <w:t xml:space="preserve">Responsible sexual decision-making</w:t>
            </w:r>
          </w:p>
        </w:tc>
      </w:tr>
      <w:tr>
        <w:tc>
          <w:tcPr/>
          <w:p>
            <w:pPr>
              <w:pStyle w:val="Compact"/>
              <w:jc w:val="left"/>
            </w:pPr>
            <w:r>
              <w:t xml:space="preserve">(Harmful) Substance Use/Problems</w:t>
            </w:r>
          </w:p>
        </w:tc>
        <w:tc>
          <w:tcPr/>
          <w:p>
            <w:pPr>
              <w:pStyle w:val="Compact"/>
              <w:jc w:val="left"/>
            </w:pPr>
            <w:r>
              <w:t xml:space="preserve">Harmful use of any drugs (e.g., alcohol,</w:t>
            </w:r>
            <w:r>
              <w:t xml:space="preserve"> </w:t>
            </w:r>
            <w:r>
              <w:t xml:space="preserve">tobacco, illegal drugs)</w:t>
            </w:r>
          </w:p>
        </w:tc>
        <w:tc>
          <w:tcPr/>
          <w:p>
            <w:pPr>
              <w:pStyle w:val="Compact"/>
              <w:jc w:val="left"/>
            </w:pPr>
            <w:r>
              <w:t xml:space="preserve">Healthy choices around substance use</w:t>
            </w:r>
          </w:p>
        </w:tc>
      </w:tr>
      <w:tr>
        <w:tc>
          <w:tcPr/>
          <w:p>
            <w:pPr>
              <w:pStyle w:val="Compact"/>
              <w:jc w:val="left"/>
            </w:pPr>
            <w:r>
              <w:t xml:space="preserve">Theft/Stealing</w:t>
            </w:r>
          </w:p>
        </w:tc>
        <w:tc>
          <w:tcPr/>
          <w:p>
            <w:pPr>
              <w:pStyle w:val="Compact"/>
              <w:jc w:val="left"/>
            </w:pPr>
            <w:r>
              <w:t xml:space="preserve">Unauthorized taking of someone else’s</w:t>
            </w:r>
            <w:r>
              <w:t xml:space="preserve"> </w:t>
            </w:r>
            <w:r>
              <w:t xml:space="preserve">property without their knowledge or consent</w:t>
            </w:r>
          </w:p>
        </w:tc>
        <w:tc>
          <w:tcPr/>
          <w:p>
            <w:pPr>
              <w:pStyle w:val="Compact"/>
              <w:jc w:val="left"/>
            </w:pPr>
            <w:r>
              <w:t xml:space="preserve">Respect for people’s possessions</w:t>
            </w:r>
          </w:p>
        </w:tc>
      </w:tr>
      <w:tr>
        <w:tc>
          <w:tcPr/>
          <w:p>
            <w:pPr>
              <w:pStyle w:val="Compact"/>
              <w:jc w:val="left"/>
            </w:pPr>
            <w:r>
              <w:t xml:space="preserve">Verbal Aggression</w:t>
            </w:r>
          </w:p>
        </w:tc>
        <w:tc>
          <w:tcPr/>
          <w:p>
            <w:pPr>
              <w:pStyle w:val="Compact"/>
              <w:jc w:val="left"/>
            </w:pPr>
            <w:r>
              <w:t xml:space="preserve">Communication with an intention to harm an</w:t>
            </w:r>
            <w:r>
              <w:t xml:space="preserve"> </w:t>
            </w:r>
            <w:r>
              <w:t xml:space="preserve">individual through words, tone, or manner</w:t>
            </w:r>
          </w:p>
        </w:tc>
        <w:tc>
          <w:tcPr/>
          <w:p>
            <w:pPr>
              <w:pStyle w:val="Compact"/>
              <w:jc w:val="left"/>
            </w:pPr>
            <w:r>
              <w:t xml:space="preserve">Respectful communication</w:t>
            </w:r>
          </w:p>
        </w:tc>
      </w:tr>
    </w:tbl>
    <w:p>
      <w:pPr>
        <w:pStyle w:val="FigureNote"/>
      </w:pPr>
      <w:r>
        <w:rPr>
          <w:i/>
          <w:iCs/>
        </w:rPr>
        <w:t xml:space="preserve">Note</w:t>
      </w:r>
      <w:r>
        <w:t xml:space="preserve">. Transdiagnostic facets of psychopathology that frequently encompass externalizing problems were also identified and include irritability/reactive anger, unemotionality, sleep problems, social problems, learning problems, and low functional independence.</w:t>
      </w:r>
    </w:p>
    <w:bookmarkEnd w:id="99"/>
    <w:p>
      <w:pPr>
        <w:pStyle w:val="FigureWithNote"/>
      </w:pPr>
      <w:r>
        <w:rPr>
          <w:i/>
          <w:iCs/>
        </w:rPr>
        <w:t xml:space="preserve">Note</w:t>
      </w:r>
      <w:r>
        <w:t xml:space="preserve">. Transdiagnostic facets of psychopathology that frequently encompass externalizing problems were also identified and include irritability/reactive anger, unemotionality, sleep problems, social problems, learning problems, and low functional independence.</w:t>
      </w:r>
    </w:p>
    <w:p>
      <w:pPr>
        <w:pStyle w:val="FigureWithNote"/>
      </w:pPr>
      <w:r>
        <w:rPr>
          <w:vertAlign w:val="subscript"/>
        </w:rPr>
        <w:t xml:space="preserve">Source:</w:t>
      </w:r>
      <w:r>
        <w:rPr>
          <w:vertAlign w:val="subscript"/>
        </w:rPr>
        <w:t xml:space="preserve"> </w:t>
      </w:r>
      <w:hyperlink r:id="rId100">
        <w:r>
          <w:rPr>
            <w:rStyle w:val="Hyperlink"/>
            <w:vertAlign w:val="subscript"/>
          </w:rPr>
          <w:t xml:space="preserve">Analyses</w:t>
        </w:r>
      </w:hyperlink>
    </w:p>
    <w:p>
      <w:pPr>
        <w:pStyle w:val="BodyText"/>
      </w:pPr>
      <w:r>
        <w:t xml:space="preserve">Because existing measures do not capture the full range of individual differences, this naturally further limits the measures’ sensitivity to detect change (i.e., responsiveness), which is crucial for clinical utility and for longitudinal research.</w:t>
      </w:r>
      <w:r>
        <w:t xml:space="preserve"> </w:t>
      </w:r>
      <w:r>
        <w:t xml:space="preserve">Moreover, it is important for measures not to show restriction of range owing to ceiling or floor effects.</w:t>
      </w:r>
    </w:p>
    <w:bookmarkEnd w:id="101"/>
    <w:bookmarkStart w:id="102"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assessments of externalizing behavior—and of other forms of psychopathology—have key limitations.</w:t>
      </w:r>
      <w:r>
        <w:t xml:space="preserve"> </w:t>
      </w:r>
      <w:r>
        <w:t xml:space="preserve">To address this concern, the field will need to develop better assessments.</w:t>
      </w:r>
      <w:r>
        <w:t xml:space="preserve"> </w:t>
      </w:r>
      <w:r>
        <w:t xml:space="preserve">In addition, there are problems with how assessments are used to examine development—studies have primarily used problematic approaches including the common items approach or the upward/downward extension approach across ages, leading to inaccurate scores and resulting trajectories and developmental inferences.</w:t>
      </w:r>
      <w:r>
        <w:t xml:space="preserve"> </w:t>
      </w:r>
      <w:r>
        <w:t xml:space="preserve">Moreover, studies have largely failed to place scores on a comparable scale across development.</w:t>
      </w:r>
      <w:r>
        <w:t xml:space="preserve"> </w:t>
      </w:r>
      <w:r>
        <w:t xml:space="preserve">Researchers studying psychopathology development are doing their best to grapple with developmental equivalence in the ways they know how, such as by dropping items, using items outside the age range of validation, restricting the age range of analysis (or data collection) to the ages when the same measure was (or would be) used, using diagnostic categories, averaging scores, and age-norming.</w:t>
      </w:r>
      <w:r>
        <w:t xml:space="preserve"> </w:t>
      </w:r>
      <w:r>
        <w:t xml:space="preserve">However, it is important for the field to advance its awareness of stronger approaches for placing scores on a comparable scale across development.</w:t>
      </w:r>
      <w:r>
        <w:t xml:space="preserve"> </w:t>
      </w:r>
      <w:r>
        <w:t xml:space="preserve">To address these concerns, we propose a potential solution to account for heterotypic continuity and to allow charting individuals’ change across the lifespan: a developmental scaling framework.</w:t>
      </w:r>
    </w:p>
    <w:bookmarkEnd w:id="102"/>
    <w:bookmarkEnd w:id="103"/>
    <w:bookmarkEnd w:id="104"/>
    <w:bookmarkStart w:id="121"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09"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essential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8" w:name="fig-constructValidItemDesign"/>
    <w:p>
      <w:pPr>
        <w:pStyle w:val="FigureTitle"/>
      </w:pPr>
      <w:r>
        <w:t xml:space="preserve">Figure 8</w:t>
      </w:r>
    </w:p>
    <w:p>
      <w:pPr>
        <w:pStyle w:val="Caption"/>
      </w:pPr>
      <w:r>
        <w:t xml:space="preserve">Conceptual Depiction of a Construct-Valid Item Design from Infancy to Adulthood</w:t>
      </w:r>
    </w:p>
    <w:p>
      <w:pPr>
        <w:pStyle w:val="FigureWithNote"/>
      </w:pPr>
      <w:r>
        <w:drawing>
          <wp:inline>
            <wp:extent cx="5877848" cy="3260034"/>
            <wp:effectExtent b="0" l="0" r="0" t="0"/>
            <wp:docPr descr="" title="" id="106" name="Picture"/>
            <a:graphic>
              <a:graphicData uri="http://schemas.openxmlformats.org/drawingml/2006/picture">
                <pic:pic>
                  <pic:nvPicPr>
                    <pic:cNvPr descr="Figures/constructValidItemDesign.png" id="107" name="Picture"/>
                    <pic:cNvPicPr>
                      <a:picLocks noChangeArrowheads="1" noChangeAspect="1"/>
                    </pic:cNvPicPr>
                  </pic:nvPicPr>
                  <pic:blipFill>
                    <a:blip r:embed="rId105"/>
                    <a:stretch>
                      <a:fillRect/>
                    </a:stretch>
                  </pic:blipFill>
                  <pic:spPr bwMode="auto">
                    <a:xfrm>
                      <a:off x="0" y="0"/>
                      <a:ext cx="5877848" cy="3260034"/>
                    </a:xfrm>
                    <a:prstGeom prst="rect">
                      <a:avLst/>
                    </a:prstGeom>
                    <a:noFill/>
                    <a:ln w="9525">
                      <a:noFill/>
                      <a:headEnd/>
                      <a:tailEnd/>
                    </a:ln>
                  </pic:spPr>
                </pic:pic>
              </a:graphicData>
            </a:graphic>
          </wp:inline>
        </w:drawing>
      </w:r>
    </w:p>
    <w:bookmarkEnd w:id="108"/>
    <w:p>
      <w:pPr>
        <w:pStyle w:val="FigureNote"/>
      </w:pPr>
      <w:r>
        <w:rPr>
          <w:i/>
          <w:iCs/>
        </w:rPr>
        <w:t xml:space="preserve">Note</w:t>
      </w:r>
      <w:r>
        <w:t xml:space="preserve">. The age(s) at which an item set is assessed are represented by the letter</w:t>
      </w:r>
      <w:r>
        <w:t xml:space="preserve"> </w:t>
      </w:r>
      <w:r>
        <w:rPr>
          <w:rStyle w:val="VerbatimChar"/>
        </w:rPr>
        <w:t xml:space="preserve">x</w:t>
      </w:r>
      <w:r>
        <w:t xml:space="preserve"> </w:t>
      </w:r>
      <w:r>
        <w:t xml:space="preserve">and a colored box. Some items (</w:t>
      </w:r>
      <w:r>
        <w:t xml:space="preserve">“Core”</w:t>
      </w:r>
      <w:r>
        <w:t xml:space="preserve">, in green) represent the core of the phenotype and are assessed across all ages. Some items (in varying shades of brown) are age-specific and are assessed at only one or a few ages. However, some of the items assessed at a given age are shared with those assessed at adjacent ages, to facilitate linking the scores across ages. 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 Hypothetically, items could be assessed for as many or as few years as desired—as long as the items are construct valid for those ages and there enough age-common items between adjacent ages for linking scores across ages.</w:t>
      </w:r>
    </w:p>
    <w:p>
      <w:pPr>
        <w:pStyle w:val="BodyText"/>
      </w:pPr>
      <w:r>
        <w:br/>
      </w:r>
    </w:p>
    <w:bookmarkEnd w:id="109"/>
    <w:bookmarkStart w:id="120"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Harmonization is also used for integrative data analysis, to pool data from different measures in various studies</w:t>
      </w:r>
      <w:r>
        <w:t xml:space="preserve"> </w:t>
      </w:r>
      <w:r>
        <w:t xml:space="preserve">(</w:t>
      </w:r>
      <w:hyperlink w:anchor="ref-Curran2008">
        <w:r>
          <w:rPr>
            <w:rStyle w:val="Hyperlink"/>
          </w:rPr>
          <w:t xml:space="preserve">Curran et al., 2008</w:t>
        </w:r>
      </w:hyperlink>
      <w:r>
        <w:t xml:space="preserve">;</w:t>
      </w:r>
      <w:r>
        <w:t xml:space="preserve"> </w:t>
      </w:r>
      <w:hyperlink w:anchor="ref-McDaniel2023">
        <w:r>
          <w:rPr>
            <w:rStyle w:val="Hyperlink"/>
          </w:rPr>
          <w:t xml:space="preserve">McDaniel et al., 2023</w:t>
        </w:r>
      </w:hyperlink>
      <w:r>
        <w:t xml:space="preserve">)</w:t>
      </w:r>
      <w:r>
        <w:t xml:space="preserve">.</w:t>
      </w:r>
      <w:r>
        <w:t xml:space="preserve"> </w:t>
      </w:r>
      <w:r>
        <w:t xml:space="preserve">The aforementioned approaches to harmonization attempt to estimate latent variables—using either confirmatory factor analysis (CFA) or IRT—on a common scale across ages.</w:t>
      </w:r>
      <w:r>
        <w:t xml:space="preserve"> </w:t>
      </w:r>
      <w:r>
        <w:t xml:space="preserve">They do so by trying to align the item parameters for at least a subset of items.</w:t>
      </w:r>
      <w:r>
        <w:t xml:space="preserve"> </w:t>
      </w:r>
      <w:r>
        <w:t xml:space="preserve">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a child hits others would have a stronger factor loading on an externalizing factor than an item assessing the extent to which a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a child sets fires would be expected to have a lower intercept than an item assessing the extent to which a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various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bookmarkStart w:id="111" w:name="partial-invariance"/>
    <w:p>
      <w:pPr>
        <w:pStyle w:val="Heading3"/>
      </w:pPr>
      <w:r>
        <w:t xml:space="preserve">Partial Invariance</w:t>
      </w:r>
    </w:p>
    <w:p>
      <w:pPr>
        <w:pStyle w:val="FirstParagraph"/>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10"/>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 loadings and/or intercepts and which items show noninvariant factor loadings or intercepts.</w:t>
      </w:r>
      <w:r>
        <w:t xml:space="preserve"> </w:t>
      </w:r>
      <w:r>
        <w:t xml:space="preserve">The researcher then constrains the factor loadings across time for any items with invariant factor loadings, to serve as anchor items and establish an equivalent scale of the measures across time, and allows the factor loadings to differ across time for the items with noninvariant factor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p>
    <w:p>
      <w:pPr>
        <w:pStyle w:val="BodyText"/>
      </w:pP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 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factorial invariance or differential item functioning (DIF) as a function of multiple variables or continuous variables</w:t>
      </w:r>
      <w:r>
        <w:t xml:space="preserve"> </w:t>
      </w:r>
      <w:r>
        <w:t xml:space="preserve">(</w:t>
      </w:r>
      <w:hyperlink w:anchor="ref-ChenPM">
        <w:r>
          <w:rPr>
            <w:rStyle w:val="Hyperlink"/>
          </w:rPr>
          <w:t xml:space="preserve">S. M. Chen &amp; Bauer, in press b</w:t>
        </w:r>
      </w:hyperlink>
      <w:r>
        <w:t xml:space="preserve">)</w:t>
      </w:r>
      <w:r>
        <w:t xml:space="preserve">.</w:t>
      </w:r>
    </w:p>
    <w:bookmarkEnd w:id="111"/>
    <w:bookmarkStart w:id="112" w:name="alignment-optimization"/>
    <w:p>
      <w:pPr>
        <w:pStyle w:val="Heading3"/>
      </w:pPr>
      <w:r>
        <w:t xml:space="preserve">Alignment Optimization</w:t>
      </w:r>
    </w:p>
    <w:p>
      <w:pPr>
        <w:pStyle w:val="FirstParagraph"/>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bookmarkEnd w:id="112"/>
    <w:bookmarkStart w:id="113" w:name="moderated-nonlinear-factor-analysis"/>
    <w:p>
      <w:pPr>
        <w:pStyle w:val="Heading3"/>
      </w:pPr>
      <w:r>
        <w:t xml:space="preserve">Moderated Nonlinear Factor Analysis</w:t>
      </w:r>
    </w:p>
    <w:p>
      <w:pPr>
        <w:pStyle w:val="FirstParagraph"/>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 b</w:t>
        </w:r>
      </w:hyperlink>
      <w:r>
        <w:t xml:space="preserve">,</w:t>
      </w:r>
      <w:r>
        <w:t xml:space="preserve"> </w:t>
      </w:r>
      <w:hyperlink w:anchor="ref-ChenMBR">
        <w:r>
          <w:rPr>
            <w:rStyle w:val="Hyperlink"/>
          </w:rPr>
          <w:t xml:space="preserve">in press a</w:t>
        </w:r>
      </w:hyperlink>
      <w:r>
        <w:t xml:space="preserve">;</w:t>
      </w:r>
      <w:r>
        <w:t xml:space="preserve"> </w:t>
      </w:r>
      <w:hyperlink w:anchor="ref-Student2025">
        <w:r>
          <w:rPr>
            <w:rStyle w:val="Hyperlink"/>
          </w:rPr>
          <w:t xml:space="preserve">Student, 2025</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 b</w:t>
        </w:r>
      </w:hyperlink>
      <w:r>
        <w:t xml:space="preserve">,</w:t>
      </w:r>
      <w:r>
        <w:t xml:space="preserve"> </w:t>
      </w:r>
      <w:hyperlink w:anchor="ref-ChenMBR">
        <w:r>
          <w:rPr>
            <w:rStyle w:val="Hyperlink"/>
          </w:rPr>
          <w:t xml:space="preserve">in press a</w:t>
        </w:r>
      </w:hyperlink>
      <w:r>
        <w:t xml:space="preserve">)</w:t>
      </w:r>
      <w:r>
        <w:t xml:space="preserve">.</w:t>
      </w:r>
      <w:r>
        <w:t xml:space="preserve"> </w:t>
      </w:r>
      <w:r>
        <w:t xml:space="preserve">Using regularization, unimportant DIF effects are shrunken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In addition, Bayesian approaches are often better suited to handling small sample sizes and data with sparse responses</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Using a simulation, Chen and Bauer</w:t>
      </w:r>
      <w:r>
        <w:t xml:space="preserve"> </w:t>
      </w:r>
      <w:r>
        <w:t xml:space="preserve">(</w:t>
      </w:r>
      <w:hyperlink w:anchor="ref-ChenMBR">
        <w:r>
          <w:rPr>
            <w:rStyle w:val="Hyperlink"/>
          </w:rPr>
          <w:t xml:space="preserve">in press a</w:t>
        </w:r>
      </w:hyperlink>
      <w:r>
        <w:t xml:space="preserve">)</w:t>
      </w:r>
      <w:r>
        <w:t xml:space="preserve"> </w:t>
      </w:r>
      <w:r>
        <w:t xml:space="preserve">found that MNLFA estimated change more accurately than traditional first- or second-order growth curve models.</w:t>
      </w:r>
    </w:p>
    <w:bookmarkEnd w:id="113"/>
    <w:bookmarkStart w:id="119" w:name="item-response-theory"/>
    <w:p>
      <w:pPr>
        <w:pStyle w:val="Heading3"/>
      </w:pPr>
      <w:r>
        <w:t xml:space="preserve">Item Response Theory</w:t>
      </w:r>
    </w:p>
    <w:p>
      <w:pPr>
        <w:pStyle w:val="FirstParagraph"/>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developmental scaling is depicted in</w:t>
      </w:r>
      <w:r>
        <w:t xml:space="preserve"> </w:t>
      </w:r>
      <w:hyperlink w:anchor="fig-linking">
        <w:r>
          <w:rPr>
            <w:rStyle w:val="Hyperlink"/>
          </w:rPr>
          <w:t xml:space="preserve">Figure 9</w:t>
        </w:r>
      </w:hyperlink>
      <w:r>
        <w:t xml:space="preserve">.</w:t>
      </w:r>
      <w:r>
        <w:t xml:space="preserve"> </w:t>
      </w:r>
      <w:r>
        <w:t xml:space="preserve">The IRT approach to developmental scaling identifies scaling parameters that minimize the differences in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are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regularizing priors to identify anchor items without having to specify them in advance.</w:t>
      </w:r>
    </w:p>
    <w:bookmarkStart w:id="117" w:name="fig-linking"/>
    <w:p>
      <w:pPr>
        <w:pStyle w:val="FigureTitle"/>
      </w:pPr>
      <w:r>
        <w:t xml:space="preserve">Figure 9</w:t>
      </w:r>
    </w:p>
    <w:p>
      <w:pPr>
        <w:pStyle w:val="Caption"/>
      </w:pPr>
      <w:r>
        <w:t xml:space="preserve">Example of Linking Scores From Measures Across Ages Using the Item Response Theory Approach to Developmental Scaling</w:t>
      </w:r>
    </w:p>
    <w:p>
      <w:pPr>
        <w:pStyle w:val="FigureWithNote"/>
      </w:pPr>
      <w:r>
        <w:drawing>
          <wp:inline>
            <wp:extent cx="5503598" cy="3669065"/>
            <wp:effectExtent b="0" l="0" r="0" t="0"/>
            <wp:docPr descr="" title="" id="115" name="Picture"/>
            <a:graphic>
              <a:graphicData uri="http://schemas.openxmlformats.org/drawingml/2006/picture">
                <pic:pic>
                  <pic:nvPicPr>
                    <pic:cNvPr descr="Figures/Petersen2021_figure1.png" id="116" name="Picture"/>
                    <pic:cNvPicPr>
                      <a:picLocks noChangeArrowheads="1" noChangeAspect="1"/>
                    </pic:cNvPicPr>
                  </pic:nvPicPr>
                  <pic:blipFill>
                    <a:blip r:embed="rId114"/>
                    <a:stretch>
                      <a:fillRect/>
                    </a:stretch>
                  </pic:blipFill>
                  <pic:spPr bwMode="auto">
                    <a:xfrm>
                      <a:off x="0" y="0"/>
                      <a:ext cx="5503598" cy="3669065"/>
                    </a:xfrm>
                    <a:prstGeom prst="rect">
                      <a:avLst/>
                    </a:prstGeom>
                    <a:noFill/>
                    <a:ln w="9525">
                      <a:noFill/>
                      <a:headEnd/>
                      <a:tailEnd/>
                    </a:ln>
                  </pic:spPr>
                </pic:pic>
              </a:graphicData>
            </a:graphic>
          </wp:inline>
        </w:drawing>
      </w:r>
    </w:p>
    <w:bookmarkEnd w:id="117"/>
    <w:p>
      <w:pPr>
        <w:pStyle w:val="FigureNote"/>
      </w:pPr>
      <w:r>
        <w:rPr>
          <w:i/>
          <w:iCs/>
        </w:rPr>
        <w:t xml:space="preserve">Note</w:t>
      </w:r>
      <w:r>
        <w:t xml:space="preserve">. The figure illustrates the effect of linking the latent externalizing problems scores, θ, across ages, using developmental scaling. The left panel illustrates the test characteristic curves representing the model-implied proportion out of total possible scores across the latent externalizing problems score at age 4 and 5, before the linking process. The right panel illustrates the test characteristic curves after the linking process. The shading between the age 4 and age 5 test characteristic curves represents differences between the two test characteristic curves in terms of discrimination and/or severity, where larger differences reflect scores that are less comparable. Linking minimizes differences between the discrimination and severity of the age-common items. Discrimination is depicted by the steepness of the slope at the inflection point of the test characteristic curve. Severity is represented by the value on the x-axis at the inflection point of the test characteristic curve. The left panel indicates that the externalizing problem items showed higher severity (i.e., its inflection point is further right) and somewhat stronger discrimination (i.e., its slope is steeper) at age 5 than at age 4. 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 (Figure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8">
        <w:r>
          <w:rPr>
            <w:rStyle w:val="Hyperlink"/>
          </w:rPr>
          <w:t xml:space="preserve">https://doi.org/10.1037/edu0000461</w:t>
        </w:r>
      </w:hyperlink>
      <w:r>
        <w:t xml:space="preserve">).</w:t>
      </w:r>
    </w:p>
    <w:p>
      <w:pPr>
        <w:pStyle w:val="BodyText"/>
      </w:pPr>
      <w:r>
        <w:br/>
      </w:r>
    </w:p>
    <w:p>
      <w:pPr>
        <w:pStyle w:val="BodyText"/>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 b</w:t>
        </w:r>
      </w:hyperlink>
      <w:r>
        <w:t xml:space="preserve">)</w:t>
      </w:r>
      <w:r>
        <w:t xml:space="preserve">.</w:t>
      </w:r>
    </w:p>
    <w:bookmarkEnd w:id="119"/>
    <w:bookmarkEnd w:id="120"/>
    <w:bookmarkEnd w:id="121"/>
    <w:bookmarkStart w:id="137" w:name="other-key-challenges-to-address"/>
    <w:p>
      <w:pPr>
        <w:pStyle w:val="Heading1"/>
      </w:pPr>
      <w:r>
        <w:t xml:space="preserve">Other Key Challenges to Address</w:t>
      </w:r>
    </w:p>
    <w:p>
      <w:pPr>
        <w:pStyle w:val="FirstParagraph"/>
      </w:pPr>
      <w:r>
        <w:t xml:space="preserve">In addition to linking scores across time to be on the same scale, to study the development of psychopathology across the lifespan, there are additional key challenges to address, including considering and/or addressing potential confounds of change, factorial invariance, integration across multiple sources, and obsolescence of items.</w:t>
      </w:r>
    </w:p>
    <w:bookmarkStart w:id="132" w:name="sec-potential-confounds-of-change"/>
    <w:p>
      <w:pPr>
        <w:pStyle w:val="Heading2"/>
      </w:pPr>
      <w:r>
        <w:t xml:space="preserve">Potential Confounds of Change</w:t>
      </w:r>
    </w:p>
    <w:p>
      <w:pPr>
        <w:pStyle w:val="FirstParagraph"/>
      </w:pPr>
      <w:r>
        <w:t xml:space="preserve">It is important for longitudinal research to consider and, to the extent possible, account for potential confounds of change, such as practice effects, period and cohort effects, measurement error, selective attrition, and changes in the meaning of the scores</w:t>
      </w:r>
      <w:r>
        <w:t xml:space="preserve"> </w:t>
      </w:r>
      <w:r>
        <w:t xml:space="preserve">(</w:t>
      </w:r>
      <w:hyperlink w:anchor="ref-Hertzog2003">
        <w:r>
          <w:rPr>
            <w:rStyle w:val="Hyperlink"/>
          </w:rPr>
          <w:t xml:space="preserve">Hertzog &amp; Nesselroade, 2003</w:t>
        </w:r>
      </w:hyperlink>
      <w:r>
        <w:t xml:space="preserve">)</w:t>
      </w:r>
      <w:r>
        <w:t xml:space="preserve">.</w:t>
      </w:r>
      <w:r>
        <w:t xml:space="preserve"> </w:t>
      </w:r>
      <w:r>
        <w:t xml:space="preserve">By confound of change, we mean that such effects can make it appear that people have changed in their level on the construct when, in reality, they have not changed (or vice versa).</w:t>
      </w:r>
    </w:p>
    <w:bookmarkStart w:id="122" w:name="practiceretest-effects"/>
    <w:p>
      <w:pPr>
        <w:pStyle w:val="Heading3"/>
      </w:pPr>
      <w:r>
        <w:t xml:space="preserve">Practice/Retest Effects</w:t>
      </w:r>
    </w:p>
    <w:p>
      <w:pPr>
        <w:pStyle w:val="FirstParagraph"/>
      </w:pPr>
      <w:r>
        <w:t xml:space="preserve">Practice effects (also called retest effects) occur to the extent that a person’s score changes due to repeated assessment rather than due to changes in their construct level.</w:t>
      </w:r>
      <w:r>
        <w:t xml:space="preserve"> </w:t>
      </w:r>
      <w:r>
        <w:t xml:space="preserve">For instance, if researchers intend to study people’s intelligence across development and they use the same measure and stimuli at each measurement occasion, it is possible that people may perform better over time because they are learning the task and thus improving their score—even if their intelligence has not changed.</w:t>
      </w:r>
      <w:r>
        <w:t xml:space="preserve"> </w:t>
      </w:r>
      <w:r>
        <w:t xml:space="preserve">In a longitudinal study of externalizing problems using repeated surveys, retest effects might be most likely to be detected in the form of decreases for a person across ages, which may reflect fatigue in reporting</w:t>
      </w:r>
      <w:r>
        <w:t xml:space="preserve"> </w:t>
      </w:r>
      <w:r>
        <w:t xml:space="preserve">(</w:t>
      </w:r>
      <w:hyperlink w:anchor="ref-Averdijk2014">
        <w:r>
          <w:rPr>
            <w:rStyle w:val="Hyperlink"/>
          </w:rPr>
          <w:t xml:space="preserve">Averdijk, 2014</w:t>
        </w:r>
      </w:hyperlink>
      <w:r>
        <w:t xml:space="preserve">)</w:t>
      </w:r>
      <w:r>
        <w:t xml:space="preserve">.</w:t>
      </w:r>
      <w:r>
        <w:t xml:space="preserve"> </w:t>
      </w:r>
      <w:r>
        <w:t xml:space="preserve">Lower ratings for an individual across time may be especially likely if the surveys include branching logic such that the respondent learns that additional items appear whenever they endorse an item (and that those additional items would not have appeared had they not endorsed the item).</w:t>
      </w:r>
      <w:r>
        <w:t xml:space="preserve"> </w:t>
      </w:r>
      <w:r>
        <w:t xml:space="preserve">Ways to reduce retest effects include changing the measure and/or stimuli</w:t>
      </w:r>
      <w:r>
        <w:t xml:space="preserve"> </w:t>
      </w:r>
      <w:r>
        <w:t xml:space="preserve">(</w:t>
      </w:r>
      <w:hyperlink w:anchor="ref-Tyrell2019">
        <w:r>
          <w:rPr>
            <w:rStyle w:val="Hyperlink"/>
          </w:rPr>
          <w:t xml:space="preserve">Tyrell et al., 2019</w:t>
        </w:r>
      </w:hyperlink>
      <w:r>
        <w:t xml:space="preserve">)</w:t>
      </w:r>
      <w:r>
        <w:t xml:space="preserve"> </w:t>
      </w:r>
      <w:r>
        <w:t xml:space="preserve">and increasing the retest interval.</w:t>
      </w:r>
      <w:r>
        <w:t xml:space="preserve"> </w:t>
      </w:r>
      <w:r>
        <w:t xml:space="preserve">Thus, an added benefit of accounting for heterotypic continuity (by changing the measure across development to align with changes in the construct manifestation) is the reduction of retest effects.</w:t>
      </w:r>
      <w:r>
        <w:t xml:space="preserve"> </w:t>
      </w:r>
      <w:r>
        <w:t xml:space="preserve">A way to account for retest effects is through the use of accelerated longitudinal (i.e., cross-sequential) designs that can separately estimate the effects of age versus timepoint because, unlike in a single-cohort longitudinal design, age and timepoint are decoupled</w:t>
      </w:r>
      <w:r>
        <w:t xml:space="preserve"> </w:t>
      </w:r>
      <w:r>
        <w:t xml:space="preserve">(</w:t>
      </w:r>
      <w:hyperlink w:anchor="ref-Ferrer2004">
        <w:r>
          <w:rPr>
            <w:rStyle w:val="Hyperlink"/>
          </w:rPr>
          <w:t xml:space="preserve">Ferrer et al., 2004</w:t>
        </w:r>
      </w:hyperlink>
      <w:r>
        <w:t xml:space="preserve">)</w:t>
      </w:r>
      <w:r>
        <w:t xml:space="preserve">.</w:t>
      </w:r>
    </w:p>
    <w:bookmarkEnd w:id="122"/>
    <w:bookmarkStart w:id="128" w:name="period-and-cohort-effects"/>
    <w:p>
      <w:pPr>
        <w:pStyle w:val="Heading3"/>
      </w:pPr>
      <w:r>
        <w:t xml:space="preserve">Period and Cohort Effects</w:t>
      </w:r>
    </w:p>
    <w:p>
      <w:pPr>
        <w:pStyle w:val="FirstParagraph"/>
      </w:pPr>
      <w:r>
        <w:t xml:space="preserve">Researchers are commonly interested in how people develop as a function of age.</w:t>
      </w:r>
      <w:r>
        <w:t xml:space="preserve"> </w:t>
      </w:r>
      <w:r>
        <w:t xml:space="preserve">Age refers to a person’s chronological age at the time of measurement.</w:t>
      </w:r>
      <w:r>
        <w:t xml:space="preserve"> </w:t>
      </w:r>
      <w:r>
        <w:t xml:space="preserve">Age is a proxy for development—a stand-in for the myriad ways in which one’s biology and social roles—and one’s corresponding employment, income, and family structure—change as people age</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However, apparent age-related differences in a cross-sectional or longitudinal study could reflect period or cohort effects instead of development.</w:t>
      </w:r>
      <w:r>
        <w:t xml:space="preserve"> </w:t>
      </w:r>
      <w:r>
        <w:t xml:space="preserve">Thus, it is important to consider and, to the extent possible, account for period and cohort effects.</w:t>
      </w:r>
    </w:p>
    <w:p>
      <w:pPr>
        <w:pStyle w:val="BodyText"/>
      </w:pPr>
      <w:r>
        <w:t xml:space="preserve">Period refers to the historical time at which measurement occurs.</w:t>
      </w:r>
      <w:r>
        <w:t xml:space="preserve"> </w:t>
      </w:r>
      <w:r>
        <w:t xml:space="preserve">If people are assessed during a given time period (e.g., during a war, recession, pandemic, or stressor), their scores could be influenced by the historical time period.</w:t>
      </w:r>
      <w:r>
        <w:t xml:space="preserve"> </w:t>
      </w:r>
      <w:r>
        <w:t xml:space="preserve">The extent to which scores are attributable to the time period (e.g., the economic situation or prevailing standard of living) in which they are assessed is called a period effect.</w:t>
      </w:r>
    </w:p>
    <w:p>
      <w:pPr>
        <w:pStyle w:val="BodyText"/>
      </w:pPr>
      <w:r>
        <w:t xml:space="preserve">Cohort refers to a group of people who experience similar events or historical contexts at similar ages.</w:t>
      </w:r>
      <w:r>
        <w:t xml:space="preserve"> </w:t>
      </w:r>
      <w:r>
        <w:t xml:space="preserve">Cohort commonly refers to birth cohort, which represents the group of people who were born around the same time.</w:t>
      </w:r>
      <w:r>
        <w:t xml:space="preserve"> </w:t>
      </w:r>
      <w:r>
        <w:t xml:space="preserve">If a group of people were born around the same time (e.g., in 1940), their scores may differ from those of people born in other eras because they experienced different historical, social, educational, economic, or technological contexts during development.</w:t>
      </w:r>
      <w:r>
        <w:t xml:space="preserve"> </w:t>
      </w:r>
      <w:r>
        <w:t xml:space="preserve">The extent to which scores are attributable to an individual’s birth cohort is called a cohort effect—that is,</w:t>
      </w:r>
      <w:r>
        <w:t xml:space="preserve"> </w:t>
      </w:r>
      <w:r>
        <w:t xml:space="preserve">“the (enduring, constant) effects of having been a certain age at a certain point in historic time.”</w:t>
      </w:r>
      <w:r>
        <w:t xml:space="preserve"> </w:t>
      </w:r>
      <w:r>
        <w:t xml:space="preserve">(</w:t>
      </w:r>
      <w:hyperlink w:anchor="ref-Rohrer2025">
        <w:r>
          <w:rPr>
            <w:rStyle w:val="Hyperlink"/>
          </w:rPr>
          <w:t xml:space="preserve">Rohrer, 2025, p. 2</w:t>
        </w:r>
      </w:hyperlink>
      <w:r>
        <w:t xml:space="preserve">)</w:t>
      </w:r>
      <w:r>
        <w:t xml:space="preserve">.</w:t>
      </w:r>
      <w:r>
        <w:t xml:space="preserve"> </w:t>
      </w:r>
      <w:r>
        <w:t xml:space="preserve">Period and cohort—like age—are proxy variables for other, causal processes.</w:t>
      </w:r>
    </w:p>
    <w:p>
      <w:pPr>
        <w:pStyle w:val="BodyText"/>
      </w:pPr>
      <w:r>
        <w:t xml:space="preserve">Part of the challenge of estimating the unique contributions of age, period, and cohort is that they are deterministically related.</w:t>
      </w:r>
      <w:r>
        <w:t xml:space="preserve"> </w:t>
      </w:r>
      <w:r>
        <w:t xml:space="preserve">If you know two of these (e.g., age and period), you can determine the third (e.g., cohort).</w:t>
      </w:r>
      <w:r>
        <w:t xml:space="preserve"> </w:t>
      </w:r>
      <w:r>
        <w:t xml:space="preserve">That is,</w:t>
      </w:r>
      <w:r>
        <w:t xml:space="preserve"> </w:t>
      </w:r>
      <m:oMath>
        <m:r>
          <m:rPr>
            <m:nor/>
            <m:sty m:val="p"/>
          </m:rPr>
          <m:t>age</m:t>
        </m:r>
        <m:r>
          <m:rPr>
            <m:sty m:val="p"/>
          </m:rPr>
          <m:t>=</m:t>
        </m:r>
        <m:r>
          <m:rPr>
            <m:nor/>
            <m:sty m:val="p"/>
          </m:rPr>
          <m:t>period</m:t>
        </m:r>
        <m:r>
          <m:rPr>
            <m:sty m:val="p"/>
          </m:rPr>
          <m:t>−</m:t>
        </m:r>
        <m:r>
          <m:rPr>
            <m:nor/>
            <m:sty m:val="p"/>
          </m:rPr>
          <m:t>cohort</m:t>
        </m:r>
      </m:oMath>
      <w:r>
        <w:t xml:space="preserve">.</w:t>
      </w:r>
    </w:p>
    <w:p>
      <w:pPr>
        <w:pStyle w:val="BodyText"/>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r>
        <w:t xml:space="preserve"> </w:t>
      </w:r>
      <w:r>
        <w:t xml:space="preserve">In a cross-sectional study, any age-related differences are confounded with cohort differences.</w:t>
      </w:r>
      <w:r>
        <w:t xml:space="preserve"> </w:t>
      </w:r>
      <w:r>
        <w:t xml:space="preserve">Thus, age-related differences in a cross-sectional study may not reflect development.</w:t>
      </w:r>
      <w:r>
        <w:t xml:space="preserve"> </w:t>
      </w:r>
      <w:r>
        <w:t xml:space="preserve">In a single-cohort longitudinal design, any observed changes with age could be due to period effects (rather than developmental change associated with aging) or could be specific to that cohort.</w:t>
      </w:r>
      <w:r>
        <w:t xml:space="preserve"> </w:t>
      </w:r>
      <w:r>
        <w:t xml:space="preserve">To combat these limitations, studies may employ longitudinal sequential designs that incorporate multiple cohorts, such as time-sequential, cross-sequential, or cohort-sequential designs.</w:t>
      </w:r>
      <w:r>
        <w:t xml:space="preserve"> </w:t>
      </w:r>
      <w:r>
        <w:t xml:space="preserve">For instance, a cross-sequential study (also called accelerated longitudinal study) starts as a cross-sectional study with participants from multiple cohorts, and then follows the participants longitudinally.</w:t>
      </w:r>
      <w:r>
        <w:t xml:space="preserve"> </w:t>
      </w:r>
      <w:r>
        <w:t xml:space="preserve">In a cohort-sequential design, multiple cohorts enter the study at the same age (e.g., age 22) and are then followed longitudinally (typically across the same duration and ages), like starting a longitudinal study at the same age over and over again.</w:t>
      </w:r>
      <w:r>
        <w:t xml:space="preserve"> </w:t>
      </w:r>
      <w:r>
        <w:t xml:space="preserve">A time-sequential design is an extension of a time-lag design.</w:t>
      </w:r>
      <w:r>
        <w:t xml:space="preserve"> </w:t>
      </w:r>
      <w:r>
        <w:t xml:space="preserve">A time-lag design assesses multiple cohorts at the same age (e.g., age 12).</w:t>
      </w:r>
      <w:r>
        <w:t xml:space="preserve"> </w:t>
      </w:r>
      <w:r>
        <w:t xml:space="preserve">A time-sequential design adds age groups to a time-lag design, repeatedly assessing the same age range (e.g., ages 12–18), with some participants followed longitudinally.</w:t>
      </w:r>
    </w:p>
    <w:bookmarkStart w:id="126" w:name="fig-longitudinalDesigns"/>
    <w:p>
      <w:pPr>
        <w:pStyle w:val="FigureTitle"/>
      </w:pPr>
      <w:r>
        <w:t xml:space="preserve">Figure 10</w:t>
      </w:r>
    </w:p>
    <w:p>
      <w:pPr>
        <w:pStyle w:val="Caption"/>
      </w:pPr>
      <w:r>
        <w:t xml:space="preserve">Research Designs by Time of Measurement and Cohort</w:t>
      </w:r>
    </w:p>
    <w:p>
      <w:pPr>
        <w:pStyle w:val="FigureWithNote"/>
      </w:pPr>
      <w:r>
        <w:drawing>
          <wp:inline>
            <wp:extent cx="5943600" cy="6619717"/>
            <wp:effectExtent b="0" l="0" r="0" t="0"/>
            <wp:docPr descr="" title="" id="124" name="Picture"/>
            <a:graphic>
              <a:graphicData uri="http://schemas.openxmlformats.org/drawingml/2006/picture">
                <pic:pic>
                  <pic:nvPicPr>
                    <pic:cNvPr descr="Figures/longitudinalDesigns.png" id="125" name="Picture"/>
                    <pic:cNvPicPr>
                      <a:picLocks noChangeArrowheads="1" noChangeAspect="1"/>
                    </pic:cNvPicPr>
                  </pic:nvPicPr>
                  <pic:blipFill>
                    <a:blip r:embed="rId123"/>
                    <a:stretch>
                      <a:fillRect/>
                    </a:stretch>
                  </pic:blipFill>
                  <pic:spPr bwMode="auto">
                    <a:xfrm>
                      <a:off x="0" y="0"/>
                      <a:ext cx="5943600" cy="6619717"/>
                    </a:xfrm>
                    <a:prstGeom prst="rect">
                      <a:avLst/>
                    </a:prstGeom>
                    <a:noFill/>
                    <a:ln w="9525">
                      <a:noFill/>
                      <a:headEnd/>
                      <a:tailEnd/>
                    </a:ln>
                  </pic:spPr>
                </pic:pic>
              </a:graphicData>
            </a:graphic>
          </wp:inline>
        </w:drawing>
      </w:r>
    </w:p>
    <w:bookmarkEnd w:id="126"/>
    <w:p>
      <w:pPr>
        <w:pStyle w:val="FigureNote"/>
      </w:pPr>
      <w:r>
        <w:rPr>
          <w:i/>
          <w:iCs/>
        </w:rPr>
        <w:t xml:space="preserve">Note</w:t>
      </w:r>
      <w:r>
        <w:t xml:space="preserve">. Values in the cells are ages of the participants. Dashed line indicates different participants were assessed at each time of measurement. (Figure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27">
        <w:r>
          <w:rPr>
            <w:rStyle w:val="Hyperlink"/>
          </w:rPr>
          <w:t xml:space="preserve">https://doi.org/10.25820/work.007199</w:t>
        </w:r>
      </w:hyperlink>
      <w:r>
        <w:t xml:space="preserve">). Although the depictions of cohort-sequential and cross-sequential designs differ from the depictions by</w:t>
      </w:r>
      <w:r>
        <w:t xml:space="preserve"> </w:t>
      </w:r>
      <w:r>
        <w:t xml:space="preserve">Schaie (</w:t>
      </w:r>
      <w:hyperlink w:anchor="ref-Schaie2005">
        <w:r>
          <w:rPr>
            <w:rStyle w:val="Hyperlink"/>
          </w:rPr>
          <w:t xml:space="preserve">2005</w:t>
        </w:r>
      </w:hyperlink>
      <w:r>
        <w:t xml:space="preserve">)</w:t>
      </w:r>
      <w:r>
        <w:t xml:space="preserve"> </w:t>
      </w:r>
      <w:r>
        <w:t xml:space="preserve">(i.e., they are reversed), they are consistent with contemporary definitions of these designs</w:t>
      </w:r>
      <w:r>
        <w:t xml:space="preserve"> </w:t>
      </w:r>
      <w:r>
        <w:t xml:space="preserve">(</w:t>
      </w:r>
      <w:hyperlink w:anchor="ref-Little2024">
        <w:r>
          <w:rPr>
            <w:rStyle w:val="Hyperlink"/>
          </w:rPr>
          <w:t xml:space="preserve">Little, 2024</w:t>
        </w:r>
      </w:hyperlink>
      <w:r>
        <w:t xml:space="preserve">;</w:t>
      </w:r>
      <w:r>
        <w:t xml:space="preserve"> </w:t>
      </w:r>
      <w:hyperlink w:anchor="ref-Masche2004">
        <w:r>
          <w:rPr>
            <w:rStyle w:val="Hyperlink"/>
          </w:rPr>
          <w:t xml:space="preserve">Masche &amp; Dulmen, 2004</w:t>
        </w:r>
      </w:hyperlink>
      <w:r>
        <w:t xml:space="preserve">;</w:t>
      </w:r>
      <w:r>
        <w:t xml:space="preserve"> </w:t>
      </w:r>
      <w:hyperlink w:anchor="ref-Whitbourne2019">
        <w:r>
          <w:rPr>
            <w:rStyle w:val="Hyperlink"/>
          </w:rPr>
          <w:t xml:space="preserve">Whitbourne, 2019</w:t>
        </w:r>
      </w:hyperlink>
      <w:r>
        <w:t xml:space="preserve">)</w:t>
      </w:r>
      <w:r>
        <w:t xml:space="preserve">.</w:t>
      </w:r>
    </w:p>
    <w:p>
      <w:pPr>
        <w:pStyle w:val="BodyText"/>
      </w:pPr>
      <w:r>
        <w:br/>
      </w:r>
    </w:p>
    <w:p>
      <w:pPr>
        <w:pStyle w:val="BodyText"/>
      </w:pPr>
      <w:r>
        <w:t xml:space="preserve">Longitudinal sequential designs provide greater leverage for distinguishing age, period, and cohort influences by collecting information from multiple cohorts at multiple periods and ages.</w:t>
      </w:r>
      <w:r>
        <w:t xml:space="preserve"> </w:t>
      </w:r>
      <w:r>
        <w:t xml:space="preserve">Nevertheless, they do not eliminate the confounding between age, period, and cohort</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No research design can fully disentangle age, period, and cohort effects.</w:t>
      </w:r>
      <w:r>
        <w:t xml:space="preserve"> </w:t>
      </w:r>
      <w:r>
        <w:t xml:space="preserve">Confidence that observed age-related differences reflect developmental change increases when there is converging evidence across multiple research designs.</w:t>
      </w:r>
      <w:r>
        <w:t xml:space="preserve"> </w:t>
      </w:r>
      <w:r>
        <w:t xml:space="preserve">However, in a given study, there may be ways to account for period or cohort effects.</w:t>
      </w:r>
      <w:r>
        <w:t xml:space="preserve"> </w:t>
      </w:r>
      <w:r>
        <w:t xml:space="preserve">For instance, in an accelerated longitudinal study, it would be valuable to evaluate the extent to which the differing cohorts are comparable—i.e., that they show similar scores at the same ages.</w:t>
      </w:r>
      <w:r>
        <w:t xml:space="preserve"> </w:t>
      </w:r>
      <w:r>
        <w:t xml:space="preserve">Moreover, there is an entire set of analytic approaches, known as age-period-cohort analysis</w:t>
      </w:r>
      <w:r>
        <w:t xml:space="preserve"> </w:t>
      </w:r>
      <w:r>
        <w:t xml:space="preserve">(</w:t>
      </w:r>
      <w:hyperlink w:anchor="ref-Yang2013">
        <w:r>
          <w:rPr>
            <w:rStyle w:val="Hyperlink"/>
          </w:rPr>
          <w:t xml:space="preserve">Yang &amp; Land, 2013</w:t>
        </w:r>
      </w:hyperlink>
      <w:r>
        <w:t xml:space="preserve">)</w:t>
      </w:r>
      <w:r>
        <w:t xml:space="preserve">, whose goal is to disentangle the effects of age, period, and cohort.</w:t>
      </w:r>
      <w:r>
        <w:t xml:space="preserve"> </w:t>
      </w:r>
      <w:r>
        <w:t xml:space="preserve">Rohrer (</w:t>
      </w:r>
      <w:hyperlink w:anchor="ref-Rohrer2025">
        <w:r>
          <w:rPr>
            <w:rStyle w:val="Hyperlink"/>
          </w:rPr>
          <w:t xml:space="preserve">2025</w:t>
        </w:r>
      </w:hyperlink>
      <w:r>
        <w:t xml:space="preserve">)</w:t>
      </w:r>
      <w:r>
        <w:t xml:space="preserve"> </w:t>
      </w:r>
      <w:r>
        <w:t xml:space="preserve">provides additional suggestions for considering age, period, and cohort effects.</w:t>
      </w:r>
    </w:p>
    <w:bookmarkEnd w:id="128"/>
    <w:bookmarkStart w:id="129" w:name="measurement-error"/>
    <w:p>
      <w:pPr>
        <w:pStyle w:val="Heading3"/>
      </w:pPr>
      <w:r>
        <w:t xml:space="preserve">Measurement Error</w:t>
      </w:r>
    </w:p>
    <w:p>
      <w:pPr>
        <w:pStyle w:val="FirstParagraph"/>
      </w:pPr>
      <w:r>
        <w:t xml:space="preserve">Measurement error is another potential confound of change that can make it look like change has occurred when, in reality, change has not occurred.</w:t>
      </w:r>
      <w:r>
        <w:t xml:space="preserve"> </w:t>
      </w:r>
      <w:r>
        <w:t xml:space="preserve">Consider the difference between scores at two measurement occasions, a so called</w:t>
      </w:r>
      <w:r>
        <w:t xml:space="preserve"> </w:t>
      </w:r>
      <w:r>
        <w:t xml:space="preserve">“difference score,”</w:t>
      </w:r>
      <w:r>
        <w:t xml:space="preserve"> </w:t>
      </w:r>
      <w:r>
        <w:t xml:space="preserve">which is a common way of examining change.</w:t>
      </w:r>
      <w:r>
        <w:t xml:space="preserve"> </w:t>
      </w:r>
      <w:r>
        <w:t xml:space="preserve">Difference scores are notoriously unreliable.</w:t>
      </w:r>
      <w:r>
        <w:t xml:space="preserve"> </w:t>
      </w:r>
      <w:r>
        <w:t xml:space="preserve">Difference scores tend to be lower in reliability than each of the indices that comprise it, especially when the two indexes are correlated because differences depend on the reliability of both indices in the subtraction</w:t>
      </w:r>
      <w:r>
        <w:t xml:space="preserve"> </w:t>
      </w:r>
      <w:r>
        <w:t xml:space="preserve">(</w:t>
      </w:r>
      <w:hyperlink w:anchor="ref-Revelle2019">
        <w:r>
          <w:rPr>
            <w:rStyle w:val="Hyperlink"/>
          </w:rPr>
          <w:t xml:space="preserve">Revelle &amp; Condon, 2019</w:t>
        </w:r>
      </w:hyperlink>
      <w:r>
        <w:t xml:space="preserve">)</w:t>
      </w:r>
      <w:r>
        <w:t xml:space="preserve">.</w:t>
      </w:r>
      <w:r>
        <w:t xml:space="preserve"> </w:t>
      </w:r>
      <w:r>
        <w:t xml:space="preserve">To be reliable, difference scores require high reliability of the individual indices compared to the correlation between them.</w:t>
      </w:r>
      <w:r>
        <w:t xml:space="preserve"> </w:t>
      </w:r>
      <w:r>
        <w:t xml:space="preserve">That is, the more two things are the same thing, the more likely that subtracting one from the other leaves measurement error rather than construct variance.</w:t>
      </w:r>
      <w:r>
        <w:t xml:space="preserve"> </w:t>
      </w:r>
      <w:r>
        <w:t xml:space="preserve">Ways of accounting for (random) measurement error include (a) combining multiple measures in estimation of a latent variable and (b) using growth curve models with at least three timepoints to estimate model-implied trajectories and reduce the influence of occasion-specific random error.</w:t>
      </w:r>
    </w:p>
    <w:p>
      <w:pPr>
        <w:pStyle w:val="BodyText"/>
      </w:pPr>
      <w:r>
        <w:t xml:space="preserve">In general, the inference of change is strengthened to the extent that: (a) the magnitude of the difference between the scores at the timepoints is large (i.e., a large effect size), (b) the measurement error (unreliability) at each timepoint is small, (c) the measure has the same meaning and is on a comparable scale at each timepoint, and (d) evidence suggests that the differences across time are not likely to be due to potential confounds of change such as practice effects, cohort effects, period effects, or selective attrition.</w:t>
      </w:r>
    </w:p>
    <w:bookmarkEnd w:id="129"/>
    <w:bookmarkStart w:id="130" w:name="selective-missingness-and-attrition"/>
    <w:p>
      <w:pPr>
        <w:pStyle w:val="Heading3"/>
      </w:pPr>
      <w:r>
        <w:t xml:space="preserve">Selective Missingness and Attrition</w:t>
      </w:r>
    </w:p>
    <w:p>
      <w:pPr>
        <w:pStyle w:val="FirstParagraph"/>
      </w:pPr>
      <w:r>
        <w:t xml:space="preserve">Another potential confound of change is selective (or systematic) missingness or attrition.</w:t>
      </w:r>
      <w:r>
        <w:t xml:space="preserve"> </w:t>
      </w:r>
      <w:r>
        <w:t xml:space="preserve">If people who drop out of a longitudinal study differ in systematic ways from those who are retained, inferences about growth patterns and about associations with growth parameters can be biased.</w:t>
      </w:r>
      <w:r>
        <w:t xml:space="preserve"> </w:t>
      </w:r>
      <w:r>
        <w:t xml:space="preserve">Consider an intervention study with two groups: a treatment group that received medication and a control group that received a placebo.</w:t>
      </w:r>
      <w:r>
        <w:t xml:space="preserve"> </w:t>
      </w:r>
      <w:r>
        <w:t xml:space="preserve">The control group showed a 30% reduction in externalizing problems, on average.</w:t>
      </w:r>
      <w:r>
        <w:t xml:space="preserve"> </w:t>
      </w:r>
      <w:r>
        <w:t xml:space="preserve">In the treatment group, some individuals showed a reduction in externalizing problems whereas others dropped out of the study due to side effects or worsening behavior.</w:t>
      </w:r>
      <w:r>
        <w:t xml:space="preserve"> </w:t>
      </w:r>
      <w:r>
        <w:t xml:space="preserve">If we analyzed only those who were followed until the end of the study, it might appear that the treatment was effective merely because we were excluding individuals for whom the treatment was harmful.</w:t>
      </w:r>
      <w:r>
        <w:t xml:space="preserve"> </w:t>
      </w:r>
      <w:r>
        <w:t xml:space="preserve">Thus, it is important to report the extent of missingness, whether missingness is systematically related to demographic and study variables, and to leverage modern approaches for handling missing data so that one does not exclude participants in the analysis merely because they have missing data</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Multiple imputation and full information maximum likelihood are useful if data are missing at random or completely at random</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Enders</w:t>
      </w:r>
      <w:r>
        <w:t xml:space="preserve"> </w:t>
      </w:r>
      <w:r>
        <w:t xml:space="preserve">(</w:t>
      </w:r>
      <w:hyperlink w:anchor="ref-Enders2022">
        <w:r>
          <w:rPr>
            <w:rStyle w:val="Hyperlink"/>
          </w:rPr>
          <w:t xml:space="preserve">2022</w:t>
        </w:r>
      </w:hyperlink>
      <w:r>
        <w:t xml:space="preserve">,</w:t>
      </w:r>
      <w:r>
        <w:t xml:space="preserve"> </w:t>
      </w:r>
      <w:hyperlink w:anchor="ref-Enders2025">
        <w:r>
          <w:rPr>
            <w:rStyle w:val="Hyperlink"/>
          </w:rPr>
          <w:t xml:space="preserve">2025</w:t>
        </w:r>
      </w:hyperlink>
      <w:r>
        <w:t xml:space="preserve">)</w:t>
      </w:r>
      <w:r>
        <w:t xml:space="preserve"> </w:t>
      </w:r>
      <w:r>
        <w:t xml:space="preserve">provides contemporary guidelines for handling missing data, including when data are missing not at random using selection models and pattern mixture models—including in longitudinal studies</w:t>
      </w:r>
      <w:r>
        <w:t xml:space="preserve"> </w:t>
      </w:r>
      <w:r>
        <w:t xml:space="preserve">(</w:t>
      </w:r>
      <w:hyperlink w:anchor="ref-Enders2022">
        <w:r>
          <w:rPr>
            <w:rStyle w:val="Hyperlink"/>
          </w:rPr>
          <w:t xml:space="preserve">Enders, 2022</w:t>
        </w:r>
      </w:hyperlink>
      <w:r>
        <w:t xml:space="preserve">)</w:t>
      </w:r>
      <w:r>
        <w:t xml:space="preserve">.</w:t>
      </w:r>
      <w:r>
        <w:t xml:space="preserve"> </w:t>
      </w:r>
      <w:r>
        <w:t xml:space="preserve">Nicholson et al. (</w:t>
      </w:r>
      <w:hyperlink w:anchor="ref-Nicholson2017">
        <w:r>
          <w:rPr>
            <w:rStyle w:val="Hyperlink"/>
          </w:rPr>
          <w:t xml:space="preserve">2017</w:t>
        </w:r>
      </w:hyperlink>
      <w:r>
        <w:t xml:space="preserve">)</w:t>
      </w:r>
      <w:r>
        <w:t xml:space="preserve"> </w:t>
      </w:r>
      <w:r>
        <w:t xml:space="preserve">provides recommendations for reporting about attrition and missingness in longitudinal studies.</w:t>
      </w:r>
    </w:p>
    <w:bookmarkEnd w:id="130"/>
    <w:bookmarkStart w:id="131" w:name="change-in-meaning-of-the-scores"/>
    <w:p>
      <w:pPr>
        <w:pStyle w:val="Heading3"/>
      </w:pPr>
      <w:r>
        <w:t xml:space="preserve">Change in Meaning of the Scores</w:t>
      </w:r>
    </w:p>
    <w:p>
      <w:pPr>
        <w:pStyle w:val="FirstParagraph"/>
      </w:pPr>
      <w:r>
        <w:t xml:space="preserve">Another potential confound of change is if the same score has different meaning (with respect to the construct) at different points in development.</w:t>
      </w:r>
      <w:r>
        <w:t xml:space="preserve"> </w:t>
      </w:r>
      <w:r>
        <w:t xml:space="preserve">That is, the scores are not on the same number line across time—they do not have the same scale or location across ages.</w:t>
      </w:r>
      <w:r>
        <w:t xml:space="preserve"> </w:t>
      </w:r>
      <w:r>
        <w:t xml:space="preserve">If scores do not have the same scale or location across ages, any inferences about change (or lack thereof) could be incorrect.</w:t>
      </w:r>
      <w:r>
        <w:t xml:space="preserve"> </w:t>
      </w:r>
      <w:r>
        <w:t xml:space="preserve">Consider, for example, if a behavior such as physical aggression becomes more severe (i.e., higher difficulty) with age.</w:t>
      </w:r>
      <w:r>
        <w:t xml:space="preserve"> </w:t>
      </w:r>
      <w:r>
        <w:t xml:space="preserve">In this example, the same score—i.e., endorsement of physical aggression—would reflect a higher level of externalizing behavior in adulthood compared to early childhood.</w:t>
      </w:r>
      <w:r>
        <w:t xml:space="preserve"> </w:t>
      </w:r>
      <w:r>
        <w:t xml:space="preserve">Or, consider if a behavior such as disobedience becomes less construct-valid (i.e., lower discrimination) with age.</w:t>
      </w:r>
      <w:r>
        <w:t xml:space="preserve"> </w:t>
      </w:r>
      <w:r>
        <w:t xml:space="preserve">In this example, the same score difference—i.e., between endorsement (1) versus non-endorsement (0) of disobedience to authority—would reflect a greater difference in the level of externalizing behavior in early childhood compared to adulthood.</w:t>
      </w:r>
      <w:r>
        <w:t xml:space="preserve"> </w:t>
      </w:r>
      <w:r>
        <w:t xml:space="preserve">Thus, it is important to consider and account for changes in the meaning of scores across development.</w:t>
      </w:r>
      <w:r>
        <w:t xml:space="preserve"> </w:t>
      </w:r>
      <w:r>
        <w:t xml:space="preserve">If a measure changes in the construct it assesses, this is called construct shift.</w:t>
      </w:r>
      <w:r>
        <w:t xml:space="preserve"> </w:t>
      </w:r>
      <w:r>
        <w:t xml:space="preserve">Next, we describe longitudinal factorial invariance as a way to evaluate—and account for—the possibility that scores have changed in meaning across ages.</w:t>
      </w:r>
    </w:p>
    <w:bookmarkEnd w:id="131"/>
    <w:bookmarkEnd w:id="132"/>
    <w:bookmarkStart w:id="134"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33"/>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may be necessary to find ways to accommodate or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may be too strong.</w:t>
      </w:r>
      <w:r>
        <w:t xml:space="preserve"> </w:t>
      </w:r>
      <w:r>
        <w:t xml:space="preserve">Researchers have argued that, in many cases, establishing factorial invariance may be unnecessary to compare latent means</w:t>
      </w:r>
      <w:r>
        <w:t xml:space="preserve"> </w:t>
      </w:r>
      <w:r>
        <w:t xml:space="preserve">(</w:t>
      </w:r>
      <w:hyperlink w:anchor="ref-DeLosReyes2025">
        <w:r>
          <w:rPr>
            <w:rStyle w:val="Hyperlink"/>
          </w:rPr>
          <w:t xml:space="preserve">De Los Reyes et al., 2025</w:t>
        </w:r>
      </w:hyperlink>
      <w:r>
        <w:t xml:space="preserve">;</w:t>
      </w:r>
      <w:r>
        <w:t xml:space="preserve"> </w:t>
      </w:r>
      <w:hyperlink w:anchor="ref-Funder2024">
        <w:r>
          <w:rPr>
            <w:rStyle w:val="Hyperlink"/>
          </w:rPr>
          <w:t xml:space="preserve">Funder &amp; Gardiner, 2024</w:t>
        </w:r>
      </w:hyperlink>
      <w:r>
        <w:t xml:space="preserve">;</w:t>
      </w:r>
      <w:r>
        <w:t xml:space="preserve"> </w:t>
      </w:r>
      <w:hyperlink w:anchor="ref-QuantitudeS3E18">
        <w:r>
          <w:rPr>
            <w:rStyle w:val="Hyperlink"/>
          </w:rPr>
          <w:t xml:space="preserve">Hancock &amp; Curran, 2022</w:t>
        </w:r>
      </w:hyperlink>
      <w:r>
        <w:t xml:space="preserve">;</w:t>
      </w:r>
      <w:r>
        <w:t xml:space="preserve"> </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 </w:t>
      </w:r>
      <w:hyperlink w:anchor="ref-Robitzsch2023">
        <w:r>
          <w:rPr>
            <w:rStyle w:val="Hyperlink"/>
          </w:rPr>
          <w:t xml:space="preserve">Robitzsch &amp; Lüdtke, 2023</w:t>
        </w:r>
      </w:hyperlink>
      <w:r>
        <w:t xml:space="preserve">;</w:t>
      </w:r>
      <w:r>
        <w:t xml:space="preserve"> </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Indeed, failed longitudinal invariance can be an artifact of differing means across groups/time rather than bias or differences in the functioning of the measure</w:t>
      </w:r>
      <w:r>
        <w:t xml:space="preserve"> </w:t>
      </w:r>
      <w:r>
        <w:t xml:space="preserve">(</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p>
    <w:p>
      <w:pPr>
        <w:pStyle w:val="BodyText"/>
      </w:pPr>
      <w:r>
        <w:t xml:space="preserve">When a construct demonstrates heterotypic continuity, longitudinal factorial invariance would not necessarily be expected because the construct’s factor structure, by definition, changes with development</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That is, noninvariances across development can be expected by theory</w:t>
      </w:r>
      <w:r>
        <w:t xml:space="preserve"> </w:t>
      </w:r>
      <w:r>
        <w:t xml:space="preserve">(</w:t>
      </w:r>
      <w:hyperlink w:anchor="ref-Sterner2026">
        <w:r>
          <w:rPr>
            <w:rStyle w:val="Hyperlink"/>
          </w:rPr>
          <w:t xml:space="preserve">Sterner et al., 2026</w:t>
        </w:r>
      </w:hyperlink>
      <w:r>
        <w:t xml:space="preserve">)</w:t>
      </w:r>
      <w:r>
        <w:t xml:space="preserve">.</w:t>
      </w:r>
      <w:r>
        <w:t xml:space="preserve"> </w:t>
      </w:r>
      <w:r>
        <w:t xml:space="preserve">As a result, 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As noted by Millsap</w:t>
      </w:r>
      <w:r>
        <w:t xml:space="preserve"> </w:t>
      </w:r>
      <w:r>
        <w:t xml:space="preserve">(</w:t>
      </w:r>
      <w:hyperlink w:anchor="ref-Millsap2011">
        <w:r>
          <w:rPr>
            <w:rStyle w:val="Hyperlink"/>
          </w:rPr>
          <w:t xml:space="preserve">2011, p. 1</w:t>
        </w:r>
      </w:hyperlink>
      <w:r>
        <w:t xml:space="preserve">)</w:t>
      </w:r>
      <w:r>
        <w:t xml:space="preserve">,</w:t>
      </w:r>
      <w:r>
        <w:t xml:space="preserve"> </w:t>
      </w:r>
      <w:r>
        <w:t xml:space="preserve">“Measurement invariance is built on the notion that a measuring device should function in the same way across varied conditions,</w:t>
      </w:r>
      <w:r>
        <w:t xml:space="preserve"> </w:t>
      </w:r>
      <w:r>
        <w:rPr>
          <w:i/>
          <w:iCs/>
        </w:rPr>
        <w:t xml:space="preserve">so long as those varied conditions are irrelevant to the attribute being measured</w:t>
      </w:r>
      <w:r>
        <w:t xml:space="preserve">”</w:t>
      </w:r>
      <w:r>
        <w:t xml:space="preserve"> </w:t>
      </w:r>
      <w:r>
        <w:t xml:space="preserve">(emphasis added).</w:t>
      </w:r>
      <w:r>
        <w:t xml:space="preserve"> </w:t>
      </w:r>
      <w:r>
        <w:t xml:space="preserve">However, age/development would not be considered irrelevant to psychopathology.</w:t>
      </w:r>
      <w:r>
        <w:t xml:space="preserve"> </w:t>
      </w:r>
      <w:r>
        <w:t xml:space="preserve">As described earlier, externalizing (antisocial) behavior is considered to demonstrate heterotypic continuity; therefore, longitudinal factorial</w:t>
      </w:r>
      <w:r>
        <w:t xml:space="preserve"> </w:t>
      </w:r>
      <w:r>
        <w:rPr>
          <w:i/>
          <w:iCs/>
        </w:rPr>
        <w:t xml:space="preserve">noninvariance</w:t>
      </w:r>
      <w:r>
        <w:t xml:space="preserve"> </w:t>
      </w:r>
      <w:r>
        <w:t xml:space="preserve">for measures assessing the development of externalizing behavior may be expected.</w:t>
      </w:r>
    </w:p>
    <w:p>
      <w:pPr>
        <w:pStyle w:val="BodyText"/>
      </w:pPr>
      <w:r>
        <w:t xml:space="preserve">As noted by De Los Reyes et al.</w:t>
      </w:r>
      <w:r>
        <w:t xml:space="preserve"> </w:t>
      </w:r>
      <w:r>
        <w:t xml:space="preserve">(</w:t>
      </w:r>
      <w:hyperlink w:anchor="ref-DeLosReyes2025">
        <w:r>
          <w:rPr>
            <w:rStyle w:val="Hyperlink"/>
          </w:rPr>
          <w:t xml:space="preserve">2025, p. 301</w:t>
        </w:r>
      </w:hyperlink>
      <w:r>
        <w:t xml:space="preserve">)</w:t>
      </w:r>
      <w:r>
        <w:t xml:space="preserve">,</w:t>
      </w:r>
      <w:r>
        <w:t xml:space="preserve"> </w:t>
      </w:r>
      <w:r>
        <w:t xml:space="preserve">“developmental variations in antisocial behavior are unlikely to reflect confounds or biases in measurement.”</w:t>
      </w:r>
      <w:r>
        <w:t xml:space="preserve"> </w:t>
      </w:r>
      <w:r>
        <w:t xml:space="preserve">De Los Reyes and colleagues characterize such tests of invariance across development—in which the conditions (age) are relevant to the construct of interest—as a questionable research practice, noting,</w:t>
      </w:r>
      <w:r>
        <w:t xml:space="preserve"> </w:t>
      </w:r>
      <w:r>
        <w:t xml:space="preserve">“To be justified in testing measurement invariance [across ages], one would have to assume that when systematic differences manifest between ratings…for younger versus older youth, they cannot possibly reflect anything valid.</w:t>
      </w:r>
      <w:r>
        <w:t xml:space="preserve"> </w:t>
      </w:r>
      <w:r>
        <w:t xml:space="preserve">For a scholar to make such an assumption, they must again ignore decades of theory and research in developmental psychopathology.”</w:t>
      </w:r>
      <w:r>
        <w:t xml:space="preserve"> </w:t>
      </w:r>
      <w:r>
        <w:t xml:space="preserve">(p. 308).</w:t>
      </w:r>
      <w:r>
        <w:t xml:space="preserve"> </w:t>
      </w:r>
      <w:r>
        <w:t xml:space="preserve">Moreover, removing noninvariant items is not recommended if the item retains construct validity</w:t>
      </w:r>
      <w:r>
        <w:t xml:space="preserve"> </w:t>
      </w:r>
      <w:r>
        <w:t xml:space="preserve">(</w:t>
      </w:r>
      <w:hyperlink w:anchor="ref-DeLosReyes2025">
        <w:r>
          <w:rPr>
            <w:rStyle w:val="Hyperlink"/>
          </w:rPr>
          <w:t xml:space="preserve">De Los Reyes et al., 2025</w:t>
        </w:r>
      </w:hyperlink>
      <w:r>
        <w:t xml:space="preserve">;</w:t>
      </w:r>
      <w:r>
        <w:t xml:space="preserve"> </w:t>
      </w:r>
      <w:hyperlink w:anchor="ref-Knight2010">
        <w:r>
          <w:rPr>
            <w:rStyle w:val="Hyperlink"/>
          </w:rPr>
          <w:t xml:space="preserve">Knight &amp; Zerr, 2010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a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r>
        <w:t xml:space="preserve"> </w:t>
      </w:r>
      <w:r>
        <w:t xml:space="preserve">Robitzsch and Lüdtke</w:t>
      </w:r>
      <w:r>
        <w:t xml:space="preserve"> </w:t>
      </w:r>
      <w:r>
        <w:t xml:space="preserve">(</w:t>
      </w:r>
      <w:hyperlink w:anchor="ref-Robitzsch2023">
        <w:r>
          <w:rPr>
            <w:rStyle w:val="Hyperlink"/>
          </w:rPr>
          <w:t xml:space="preserve">2023, p. 859</w:t>
        </w:r>
      </w:hyperlink>
      <w:r>
        <w:t xml:space="preserve">)</w:t>
      </w:r>
      <w:r>
        <w:t xml:space="preserve"> </w:t>
      </w:r>
      <w:r>
        <w:t xml:space="preserve">argue that establishing factorial invariance is neither necessary nor sufficient for comparing latent means, and they note that</w:t>
      </w:r>
      <w:r>
        <w:t xml:space="preserve"> </w:t>
      </w:r>
      <w:r>
        <w:t xml:space="preserve">“there is no support for preferring the partial invariance approach over competing approaches, such as invariance alignment, robust linking, or Bayesian approximate invariance.”</w:t>
      </w:r>
    </w:p>
    <w:bookmarkEnd w:id="134"/>
    <w:bookmarkStart w:id="135" w:name="integration-across-multiple-sources"/>
    <w:p>
      <w:pPr>
        <w:pStyle w:val="Heading2"/>
      </w:pPr>
      <w:r>
        <w:t xml:space="preserve">Integration Across Multiple Sources</w:t>
      </w:r>
    </w:p>
    <w:p>
      <w:pPr>
        <w:pStyle w:val="FirstParagraph"/>
      </w:pPr>
      <w:r>
        <w:t xml:space="preserve">The most accurate informant(s) for a person can change with development, so it may be necessary to include different informants across time.</w:t>
      </w:r>
      <w:r>
        <w:t xml:space="preserve"> </w:t>
      </w:r>
      <w:r>
        <w:t xml:space="preserve">There is widespread agreement that including multiple sources of data—e.g.. multiple informants or multiple measurement methods—is preferable.</w:t>
      </w:r>
      <w:r>
        <w:t xml:space="preserve"> </w:t>
      </w:r>
      <w:r>
        <w:t xml:space="preserve">However, there is less agreement about how to use multiple sources of data</w:t>
      </w:r>
      <w:r>
        <w:t xml:space="preserve"> </w:t>
      </w:r>
      <w:r>
        <w:t xml:space="preserve">(</w:t>
      </w:r>
      <w:hyperlink w:anchor="ref-Bauer2013">
        <w:r>
          <w:rPr>
            <w:rStyle w:val="Hyperlink"/>
          </w:rPr>
          <w:t xml:space="preserve">Bauer et al., 2013</w:t>
        </w:r>
      </w:hyperlink>
      <w:r>
        <w:t xml:space="preserve">)</w:t>
      </w:r>
      <w:r>
        <w:t xml:space="preserve">, particularly because informants often show low correspondence with one another when rating the same person.</w:t>
      </w:r>
      <w:r>
        <w:t xml:space="preserve"> </w:t>
      </w:r>
      <w:r>
        <w:t xml:space="preserve">Some of these discrepancies may be confounded by the person behaving differently in different contexts or with different people.</w:t>
      </w:r>
      <w:r>
        <w:t xml:space="preserve"> </w:t>
      </w:r>
      <w:r>
        <w:t xml:space="preserve">The inclusion of multiple measurement methods can help account for measurement error given the considerable variance that is attributable to method bias</w:t>
      </w:r>
      <w:r>
        <w:t xml:space="preserve"> </w:t>
      </w:r>
      <w:r>
        <w:t xml:space="preserve">(</w:t>
      </w:r>
      <w:hyperlink w:anchor="ref-Podsakoff2012">
        <w:r>
          <w:rPr>
            <w:rStyle w:val="Hyperlink"/>
          </w:rPr>
          <w:t xml:space="preserve">Podsakoff et al., 2012</w:t>
        </w:r>
      </w:hyperlink>
      <w:r>
        <w:t xml:space="preserve">)</w:t>
      </w:r>
      <w:r>
        <w:t xml:space="preserve">.</w:t>
      </w:r>
      <w:r>
        <w:t xml:space="preserve"> </w:t>
      </w:r>
      <w:r>
        <w:t xml:space="preserve">The inclusion of multiple informants can be relevant for informing about the pervasiveness of a person’s behavior across contexts (e.g., home, school).</w:t>
      </w:r>
    </w:p>
    <w:p>
      <w:pPr>
        <w:pStyle w:val="BodyText"/>
      </w:pPr>
      <w:r>
        <w:t xml:space="preserve">When including multiple or different informants across development, it is important to consider how to leverage the multi-informant ratings.</w:t>
      </w:r>
      <w:r>
        <w:t xml:space="preserve"> </w:t>
      </w:r>
      <w:r>
        <w:t xml:space="preserve">Some researchers advocate for integrating scores using principal component approaches</w:t>
      </w:r>
      <w:r>
        <w:t xml:space="preserve"> </w:t>
      </w:r>
      <w:r>
        <w:t xml:space="preserve">(while disentangling variance attributable to trait, perspective, and context;</w:t>
      </w:r>
      <w:r>
        <w:t xml:space="preserve"> </w:t>
      </w:r>
      <w:hyperlink w:anchor="ref-Kraemer2003">
        <w:r>
          <w:rPr>
            <w:rStyle w:val="Hyperlink"/>
          </w:rPr>
          <w:t xml:space="preserve">Kraemer et al., 2003</w:t>
        </w:r>
      </w:hyperlink>
      <w:r>
        <w:t xml:space="preserve">)</w:t>
      </w:r>
      <w:r>
        <w:t xml:space="preserve"> </w:t>
      </w:r>
      <w:r>
        <w:t xml:space="preserve">or latent variable approaches</w:t>
      </w:r>
      <w:r>
        <w:t xml:space="preserve"> </w:t>
      </w:r>
      <w:r>
        <w:t xml:space="preserve">(e.g.,</w:t>
      </w:r>
      <w:r>
        <w:t xml:space="preserve"> </w:t>
      </w:r>
      <w:hyperlink w:anchor="ref-Bauer2013">
        <w:r>
          <w:rPr>
            <w:rStyle w:val="Hyperlink"/>
          </w:rPr>
          <w:t xml:space="preserve">Bauer et al., 2013</w:t>
        </w:r>
      </w:hyperlink>
      <w:r>
        <w:t xml:space="preserve">)</w:t>
      </w:r>
      <w:r>
        <w:t xml:space="preserve">, and others advocate for keeping different informants’ ratings separate without integrating them</w:t>
      </w:r>
      <w:r>
        <w:t xml:space="preserve"> </w:t>
      </w:r>
      <w:r>
        <w:t xml:space="preserve">(but including them in the same model;</w:t>
      </w:r>
      <w:r>
        <w:t xml:space="preserve"> </w:t>
      </w:r>
      <w:hyperlink w:anchor="ref-Aitken2023">
        <w:r>
          <w:rPr>
            <w:rStyle w:val="Hyperlink"/>
          </w:rPr>
          <w:t xml:space="preserve">Aitken et al., 2023</w:t>
        </w:r>
      </w:hyperlink>
      <w:r>
        <w:t xml:space="preserve">)</w:t>
      </w:r>
      <w:r>
        <w:t xml:space="preserve">.</w:t>
      </w:r>
      <w:r>
        <w:t xml:space="preserve"> </w:t>
      </w:r>
      <w:r>
        <w:t xml:space="preserve">As an example of a latent variable modeling approach,</w:t>
      </w:r>
      <w:r>
        <w:t xml:space="preserve"> </w:t>
      </w:r>
      <w:r>
        <w:t xml:space="preserve">Bauer et al. (</w:t>
      </w:r>
      <w:hyperlink w:anchor="ref-Bauer2013">
        <w:r>
          <w:rPr>
            <w:rStyle w:val="Hyperlink"/>
          </w:rPr>
          <w:t xml:space="preserve">2013</w:t>
        </w:r>
      </w:hyperlink>
      <w:r>
        <w:t xml:space="preserve">)</w:t>
      </w:r>
      <w:r>
        <w:t xml:space="preserve"> </w:t>
      </w:r>
      <w:r>
        <w:t xml:space="preserve">demonstrate a trifactor model that attempts to disentangle construct variance from the method effects tied to the specific item and the informant.</w:t>
      </w:r>
      <w:r>
        <w:t xml:space="preserve"> </w:t>
      </w:r>
      <w:r>
        <w:t xml:space="preserve">De Los Reyes et al. (</w:t>
      </w:r>
      <w:hyperlink w:anchor="ref-DeLosReyes2013">
        <w:r>
          <w:rPr>
            <w:rStyle w:val="Hyperlink"/>
          </w:rPr>
          <w:t xml:space="preserve">2013</w:t>
        </w:r>
      </w:hyperlink>
      <w:r>
        <w:t xml:space="preserve">)</w:t>
      </w:r>
      <w:r>
        <w:t xml:space="preserve"> </w:t>
      </w:r>
      <w:r>
        <w:t xml:space="preserve">provide the Operations Triad Model as a framework for using and interpreting reports from multiple informants</w:t>
      </w:r>
      <w:r>
        <w:t xml:space="preserve"> </w:t>
      </w:r>
      <w:r>
        <w:t xml:space="preserve">(for more information, see</w:t>
      </w:r>
      <w:r>
        <w:t xml:space="preserve"> </w:t>
      </w:r>
      <w:hyperlink w:anchor="ref-Makol2025">
        <w:r>
          <w:rPr>
            <w:rStyle w:val="Hyperlink"/>
          </w:rPr>
          <w:t xml:space="preserve">Makol et al., 2025</w:t>
        </w:r>
      </w:hyperlink>
      <w:r>
        <w:t xml:space="preserve">)</w:t>
      </w:r>
      <w:r>
        <w:t xml:space="preserve">.</w:t>
      </w:r>
      <w:r>
        <w:t xml:space="preserve"> </w:t>
      </w:r>
      <w:r>
        <w:t xml:space="preserve">In sum, finding ways to leverage the information from multiple informants will be crucial for studying the development of psychopathology across the lifespan</w:t>
      </w:r>
      <w:r>
        <w:t xml:space="preserve"> </w:t>
      </w:r>
      <w:r>
        <w:t xml:space="preserve">(</w:t>
      </w:r>
      <w:hyperlink w:anchor="ref-DeLosReyes2026">
        <w:r>
          <w:rPr>
            <w:rStyle w:val="Hyperlink"/>
          </w:rPr>
          <w:t xml:space="preserve">De Los Reyes, 2026</w:t>
        </w:r>
      </w:hyperlink>
      <w:r>
        <w:t xml:space="preserve">)</w:t>
      </w:r>
      <w:r>
        <w:t xml:space="preserve">.</w:t>
      </w:r>
    </w:p>
    <w:bookmarkEnd w:id="135"/>
    <w:bookmarkStart w:id="136" w:name="obsolescence-of-items-and-measures"/>
    <w:p>
      <w:pPr>
        <w:pStyle w:val="Heading2"/>
      </w:pPr>
      <w:r>
        <w:t xml:space="preserve">Obsolescence of Items and Measures</w:t>
      </w:r>
    </w:p>
    <w:p>
      <w:pPr>
        <w:pStyle w:val="FirstParagraph"/>
      </w:pPr>
      <w:r>
        <w:t xml:space="preserve">Another challenge is that questionnaire items—whether the particular wording or the behavior itself—can become obsolete and irrelevant with secular changes.</w:t>
      </w:r>
      <w:r>
        <w:t xml:space="preserve"> </w:t>
      </w:r>
      <w:r>
        <w:t xml:space="preserve">For instance, due to technological changes, items focused on television use—without considering other forms of screen use—may miss important contemporary screen-related use.</w:t>
      </w:r>
      <w:r>
        <w:t xml:space="preserve"> </w:t>
      </w:r>
      <w:r>
        <w:t xml:space="preserve">Additionally, ways people use substances change over historical time.</w:t>
      </w:r>
      <w:r>
        <w:t xml:space="preserve"> </w:t>
      </w:r>
      <w:r>
        <w:t xml:space="preserve">For instance, vaping is a more contemporary way that many adolescents use nicotine.</w:t>
      </w:r>
      <w:r>
        <w:t xml:space="preserve"> </w:t>
      </w:r>
      <w:r>
        <w:t xml:space="preserve">The ways in which aggressive behavior manifests also change across historical time.</w:t>
      </w:r>
      <w:r>
        <w:t xml:space="preserve"> </w:t>
      </w:r>
      <w:r>
        <w:t xml:space="preserve">Items focused on physical aggression would miss important contemporary manifestations of aggression, including cyberaggression, cyberbullying, online harassment, and aggression on social media (e.g., exclusion).</w:t>
      </w:r>
      <w:r>
        <w:t xml:space="preserve"> </w:t>
      </w:r>
      <w:r>
        <w:t xml:space="preserve">In sum, it is important to keep items relevant for current use, and that naturally means changing item content and/or wording across historical time, a further reason linking of scores (given differing item content) is crucial.</w:t>
      </w:r>
    </w:p>
    <w:bookmarkEnd w:id="136"/>
    <w:bookmarkEnd w:id="137"/>
    <w:bookmarkStart w:id="138" w:name="conclusion"/>
    <w:p>
      <w:pPr>
        <w:pStyle w:val="Heading1"/>
      </w:pPr>
      <w:r>
        <w:t xml:space="preserve">Conclusion</w:t>
      </w:r>
    </w:p>
    <w:p>
      <w:pPr>
        <w:pStyle w:val="FirstParagraph"/>
      </w:pPr>
      <w:r>
        <w:t xml:space="preserve">Due to a variety of challenges—both conceptual and methodological—that we discuss, the field has not adequately studied individuals’ development of psychopathology across the lifespan, instead taking a piecewise approach to development that limits our understanding of lifespan development and the origins of psychopathology.</w:t>
      </w:r>
      <w:r>
        <w:t xml:space="preserve"> </w:t>
      </w:r>
      <w:r>
        <w:t xml:space="preserve">To address these challenges, we discuss the importance of defining psychopathology constructs from a developmental perspective, developing new assessments that (a) capture changes in behavioral manifestation of psychopathology, (b) apply scoring systems that allow charting individuals’ change over time in the face of changing behavioral manifestation, and (c) capture the full range of individual differences.</w:t>
      </w:r>
      <w:r>
        <w:t xml:space="preserve"> </w:t>
      </w:r>
      <w:r>
        <w:t xml:space="preserve">We introduce a developmental scaling framework to help address these challenges.</w:t>
      </w:r>
      <w:r>
        <w:t xml:space="preserve"> </w:t>
      </w: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paper focuses on development of psychopathology, the principles discussed likely apply to many other developmental domains.</w:t>
      </w:r>
    </w:p>
    <w:bookmarkEnd w:id="138"/>
    <w:bookmarkStart w:id="461" w:name="references"/>
    <w:p>
      <w:pPr>
        <w:pStyle w:val="Heading1"/>
      </w:pPr>
      <w:r>
        <w:t xml:space="preserve">References</w:t>
      </w:r>
    </w:p>
    <w:bookmarkStart w:id="460" w:name="refs"/>
    <w:bookmarkStart w:id="139"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w:t>
      </w:r>
      <w:r>
        <w:t xml:space="preserve"> </w:t>
      </w:r>
      <w:r>
        <w:t xml:space="preserve">Inter-individual</w:t>
      </w:r>
      <w:r>
        <w:t xml:space="preserve"> </w:t>
      </w:r>
      <w:r>
        <w:t xml:space="preserve">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0">
        <w:r>
          <w:rPr>
            <w:rStyle w:val="Hyperlink"/>
          </w:rPr>
          <w:t xml:space="preserve">https://doi.org/10.1016/j.arr.2026.103102</w:t>
        </w:r>
      </w:hyperlink>
    </w:p>
    <w:bookmarkEnd w:id="139"/>
    <w:bookmarkStart w:id="141"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2: Testing and assessment in clinical and counseling psychology</w:t>
      </w:r>
      <w:r>
        <w:t xml:space="preserve"> </w:t>
      </w:r>
      <w:r>
        <w:t xml:space="preserve">(pp. 119–132). American Psychological Association.</w:t>
      </w:r>
      <w:r>
        <w:t xml:space="preserve"> </w:t>
      </w:r>
      <w:hyperlink r:id="rId140">
        <w:r>
          <w:rPr>
            <w:rStyle w:val="Hyperlink"/>
          </w:rPr>
          <w:t xml:space="preserve">https://doi.org/10.1037/14048-008</w:t>
        </w:r>
      </w:hyperlink>
    </w:p>
    <w:bookmarkEnd w:id="141"/>
    <w:bookmarkStart w:id="143" w:name="ref-Aiken2018"/>
    <w:p>
      <w:pPr>
        <w:pStyle w:val="Bibliography"/>
      </w:pPr>
      <w:r>
        <w:t xml:space="preserve">Aiken, A., Clare, P. J., Wadolowski, M., Hutchinson, D., Najman, J. M., Slade, T., Bruno, R., McBride, N., Kypri, K., &amp; Mattick, R. P. (2018). Age of alcohol initiation and progression to binge drinking in adolescence:</w:t>
      </w:r>
      <w:r>
        <w:t xml:space="preserve"> </w:t>
      </w:r>
      <w:r>
        <w:t xml:space="preserve">A</w:t>
      </w:r>
      <w:r>
        <w:t xml:space="preserve"> </w:t>
      </w:r>
      <w:r>
        <w:t xml:space="preserve">prospective cohort study.</w:t>
      </w:r>
      <w:r>
        <w:t xml:space="preserve"> </w:t>
      </w:r>
      <w:r>
        <w:rPr>
          <w:i/>
          <w:iCs/>
        </w:rPr>
        <w:t xml:space="preserve">Alcoholism: Clinical and Experimental Research</w:t>
      </w:r>
      <w:r>
        <w:t xml:space="preserve">,</w:t>
      </w:r>
      <w:r>
        <w:t xml:space="preserve"> </w:t>
      </w:r>
      <w:r>
        <w:rPr>
          <w:i/>
          <w:iCs/>
        </w:rPr>
        <w:t xml:space="preserve">42</w:t>
      </w:r>
      <w:r>
        <w:t xml:space="preserve">(1), 100–110.</w:t>
      </w:r>
      <w:r>
        <w:t xml:space="preserve"> </w:t>
      </w:r>
      <w:hyperlink r:id="rId142">
        <w:r>
          <w:rPr>
            <w:rStyle w:val="Hyperlink"/>
          </w:rPr>
          <w:t xml:space="preserve">https://doi.org/10.1111/acer.13525</w:t>
        </w:r>
      </w:hyperlink>
    </w:p>
    <w:bookmarkEnd w:id="143"/>
    <w:bookmarkStart w:id="145" w:name="ref-Aitken2023"/>
    <w:p>
      <w:pPr>
        <w:pStyle w:val="Bibliography"/>
      </w:pPr>
      <w:r>
        <w:t xml:space="preserve">Aitken, M., Plamondon, A., Krzeczkowski, J., Kil, H., &amp; Andrade, B. F. (2023). Systematic integration of multi-informant externalizing ratings in clinical settings.</w:t>
      </w:r>
      <w:r>
        <w:t xml:space="preserve"> </w:t>
      </w:r>
      <w:r>
        <w:rPr>
          <w:i/>
          <w:iCs/>
        </w:rPr>
        <w:t xml:space="preserve">Research on Child and Adolescent Psychopathology</w:t>
      </w:r>
      <w:r>
        <w:t xml:space="preserve">.</w:t>
      </w:r>
      <w:r>
        <w:t xml:space="preserve"> </w:t>
      </w:r>
      <w:hyperlink r:id="rId144">
        <w:r>
          <w:rPr>
            <w:rStyle w:val="Hyperlink"/>
          </w:rPr>
          <w:t xml:space="preserve">https://doi.org/10.1007/s10802-023-01119-z</w:t>
        </w:r>
      </w:hyperlink>
    </w:p>
    <w:bookmarkEnd w:id="145"/>
    <w:bookmarkStart w:id="146"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46"/>
    <w:bookmarkStart w:id="148" w:name="ref-Applegate2026"/>
    <w:p>
      <w:pPr>
        <w:pStyle w:val="Bibliography"/>
      </w:pPr>
      <w:r>
        <w:t xml:space="preserve">Applegate, B., &amp; Lahey, B. B. (2026). Mapping persistence and change in psychological problems during the transition to adolescence:</w:t>
      </w:r>
      <w:r>
        <w:t xml:space="preserve"> </w:t>
      </w:r>
      <w:r>
        <w:t xml:space="preserve">Adding</w:t>
      </w:r>
      <w:r>
        <w:t xml:space="preserve">, subtracting, shifting, and persisting.</w:t>
      </w:r>
      <w:r>
        <w:t xml:space="preserve"> </w:t>
      </w:r>
      <w:r>
        <w:rPr>
          <w:i/>
          <w:iCs/>
        </w:rPr>
        <w:t xml:space="preserve">JCPP Advances</w:t>
      </w:r>
      <w:r>
        <w:t xml:space="preserve">,</w:t>
      </w:r>
      <w:r>
        <w:t xml:space="preserve"> </w:t>
      </w:r>
      <w:r>
        <w:rPr>
          <w:i/>
          <w:iCs/>
        </w:rPr>
        <w:t xml:space="preserve">6</w:t>
      </w:r>
      <w:r>
        <w:t xml:space="preserve">(2), e70043.</w:t>
      </w:r>
      <w:r>
        <w:t xml:space="preserve"> </w:t>
      </w:r>
      <w:hyperlink r:id="rId147">
        <w:r>
          <w:rPr>
            <w:rStyle w:val="Hyperlink"/>
          </w:rPr>
          <w:t xml:space="preserve">https://doi.org/10.1002/jcv2.70043</w:t>
        </w:r>
      </w:hyperlink>
    </w:p>
    <w:bookmarkEnd w:id="148"/>
    <w:bookmarkStart w:id="150" w:name="ref-Averdijk2014"/>
    <w:p>
      <w:pPr>
        <w:pStyle w:val="Bibliography"/>
      </w:pPr>
      <w:r>
        <w:t xml:space="preserve">Averdijk, M. (2014). Methodological challenges in the study of age−victimization patterns.</w:t>
      </w:r>
      <w:r>
        <w:t xml:space="preserve"> </w:t>
      </w:r>
      <w:r>
        <w:t xml:space="preserve">Can</w:t>
      </w:r>
      <w:r>
        <w:t xml:space="preserve"> </w:t>
      </w:r>
      <w:r>
        <w:t xml:space="preserve">we use the accelerated design of the</w:t>
      </w:r>
      <w:r>
        <w:t xml:space="preserve"> </w:t>
      </w:r>
      <w:r>
        <w:t xml:space="preserve">NCVS</w:t>
      </w:r>
      <w:r>
        <w:t xml:space="preserve"> </w:t>
      </w:r>
      <w:r>
        <w:t xml:space="preserve">to reconstruct victim careers?</w:t>
      </w:r>
      <w:r>
        <w:t xml:space="preserve"> </w:t>
      </w:r>
      <w:r>
        <w:rPr>
          <w:i/>
          <w:iCs/>
        </w:rPr>
        <w:t xml:space="preserve">International Review of Victimology</w:t>
      </w:r>
      <w:r>
        <w:t xml:space="preserve">,</w:t>
      </w:r>
      <w:r>
        <w:t xml:space="preserve"> </w:t>
      </w:r>
      <w:r>
        <w:rPr>
          <w:i/>
          <w:iCs/>
        </w:rPr>
        <w:t xml:space="preserve">20</w:t>
      </w:r>
      <w:r>
        <w:t xml:space="preserve">(3), 265–288.</w:t>
      </w:r>
      <w:r>
        <w:t xml:space="preserve"> </w:t>
      </w:r>
      <w:hyperlink r:id="rId149">
        <w:r>
          <w:rPr>
            <w:rStyle w:val="Hyperlink"/>
          </w:rPr>
          <w:t xml:space="preserve">https://doi.org/10.1177/0269758014537147</w:t>
        </w:r>
      </w:hyperlink>
    </w:p>
    <w:bookmarkEnd w:id="150"/>
    <w:bookmarkStart w:id="152"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51">
        <w:r>
          <w:rPr>
            <w:rStyle w:val="Hyperlink"/>
          </w:rPr>
          <w:t xml:space="preserve">https://doi.org/10.1016/j.jpsychires.2013.08.016</w:t>
        </w:r>
      </w:hyperlink>
    </w:p>
    <w:bookmarkEnd w:id="152"/>
    <w:bookmarkStart w:id="154" w:name="ref-Bates2014"/>
    <w:p>
      <w:pPr>
        <w:pStyle w:val="Bibliography"/>
      </w:pPr>
      <w:r>
        <w:t xml:space="preserve">Bates, J. E., Schermerhorn, A. C., &amp; Petersen, I. T. (2014). Temperament concepts in developmental psychopathology. In K. Rudolph &amp; M. Lewis (Eds.),</w:t>
      </w:r>
      <w:r>
        <w:t xml:space="preserve"> </w:t>
      </w:r>
      <w:r>
        <w:rPr>
          <w:i/>
          <w:iCs/>
        </w:rPr>
        <w:t xml:space="preserve">Handbook of developmental psychopathology</w:t>
      </w:r>
      <w:r>
        <w:t xml:space="preserve"> </w:t>
      </w:r>
      <w:r>
        <w:t xml:space="preserve">(3rd ed., pp. 311–329). Springer.</w:t>
      </w:r>
      <w:r>
        <w:t xml:space="preserve"> </w:t>
      </w:r>
      <w:hyperlink r:id="rId153">
        <w:r>
          <w:rPr>
            <w:rStyle w:val="Hyperlink"/>
          </w:rPr>
          <w:t xml:space="preserve">https://doi.org/10.1007/978-1-4614-9608-3_16</w:t>
        </w:r>
      </w:hyperlink>
    </w:p>
    <w:bookmarkEnd w:id="154"/>
    <w:bookmarkStart w:id="156"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55">
        <w:r>
          <w:rPr>
            <w:rStyle w:val="Hyperlink"/>
          </w:rPr>
          <w:t xml:space="preserve">https://doi.org/10.1037/met0000077</w:t>
        </w:r>
      </w:hyperlink>
    </w:p>
    <w:bookmarkEnd w:id="156"/>
    <w:bookmarkStart w:id="158" w:name="ref-Bauer2013"/>
    <w:p>
      <w:pPr>
        <w:pStyle w:val="Bibliography"/>
      </w:pPr>
      <w:r>
        <w:t xml:space="preserve">Bauer, D. J., Howard, A. L., Baldasaro, R. E., Curran, P. J., Hussong, A. M., Chassin, L., &amp; Zucker, R. A. (2013). A trifactor model for integrating ratings across multiple informants.</w:t>
      </w:r>
      <w:r>
        <w:t xml:space="preserve"> </w:t>
      </w:r>
      <w:r>
        <w:rPr>
          <w:i/>
          <w:iCs/>
        </w:rPr>
        <w:t xml:space="preserve">Psychological Methods</w:t>
      </w:r>
      <w:r>
        <w:t xml:space="preserve">,</w:t>
      </w:r>
      <w:r>
        <w:t xml:space="preserve"> </w:t>
      </w:r>
      <w:r>
        <w:rPr>
          <w:i/>
          <w:iCs/>
        </w:rPr>
        <w:t xml:space="preserve">18</w:t>
      </w:r>
      <w:r>
        <w:t xml:space="preserve">(4), 475–493.</w:t>
      </w:r>
      <w:r>
        <w:t xml:space="preserve"> </w:t>
      </w:r>
      <w:hyperlink r:id="rId157">
        <w:r>
          <w:rPr>
            <w:rStyle w:val="Hyperlink"/>
          </w:rPr>
          <w:t xml:space="preserve">https://doi.org/10.1037/a0032475</w:t>
        </w:r>
      </w:hyperlink>
    </w:p>
    <w:bookmarkEnd w:id="158"/>
    <w:bookmarkStart w:id="160" w:name="ref-Berluti2026"/>
    <w:p>
      <w:pPr>
        <w:pStyle w:val="Bibliography"/>
      </w:pPr>
      <w:r>
        <w:t xml:space="preserve">Berluti, K., Amormino, P., Potter, A., Wshah, S., &amp; Marsh, A. (2026). Machine learning prediction of conduct problems in children using the longitudinal</w:t>
      </w:r>
      <w:r>
        <w:t xml:space="preserve"> </w:t>
      </w:r>
      <w:r>
        <w:t xml:space="preserve">ABCD Study</w:t>
      </w:r>
      <w:r>
        <w:t xml:space="preserve">.</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59">
        <w:r>
          <w:rPr>
            <w:rStyle w:val="Hyperlink"/>
          </w:rPr>
          <w:t xml:space="preserve">https://doi.org/10.1111/jcpp.70057</w:t>
        </w:r>
      </w:hyperlink>
    </w:p>
    <w:bookmarkEnd w:id="160"/>
    <w:bookmarkStart w:id="162"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w:t>
      </w:r>
      <w:r>
        <w:t xml:space="preserve"> </w:t>
      </w:r>
      <w:r>
        <w:t xml:space="preserve">Findings</w:t>
      </w:r>
      <w:r>
        <w:t xml:space="preserve"> </w:t>
      </w:r>
      <w:r>
        <w:t xml:space="preserve">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61">
        <w:r>
          <w:rPr>
            <w:rStyle w:val="Hyperlink"/>
          </w:rPr>
          <w:t xml:space="preserve">https://doi.org/10.1017/S0954579423001505</w:t>
        </w:r>
      </w:hyperlink>
    </w:p>
    <w:bookmarkEnd w:id="162"/>
    <w:bookmarkStart w:id="164"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63">
        <w:r>
          <w:rPr>
            <w:rStyle w:val="Hyperlink"/>
          </w:rPr>
          <w:t xml:space="preserve">https://doi.org/10.1016/j.jaac.2017.05.019</w:t>
        </w:r>
      </w:hyperlink>
    </w:p>
    <w:bookmarkEnd w:id="164"/>
    <w:bookmarkStart w:id="166"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65">
        <w:r>
          <w:rPr>
            <w:rStyle w:val="Hyperlink"/>
          </w:rPr>
          <w:t xml:space="preserve">https://doi.org/10.1111/j.1467-8624.2004.00755.x</w:t>
        </w:r>
      </w:hyperlink>
    </w:p>
    <w:bookmarkEnd w:id="166"/>
    <w:bookmarkStart w:id="167"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49">
        <w:r>
          <w:rPr>
            <w:rStyle w:val="Hyperlink"/>
          </w:rPr>
          <w:t xml:space="preserve">https://doi.org/10.1590/1980-57642018dn12-030001</w:t>
        </w:r>
      </w:hyperlink>
    </w:p>
    <w:bookmarkEnd w:id="167"/>
    <w:bookmarkStart w:id="169"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1: Theory and method</w:t>
      </w:r>
      <w:r>
        <w:t xml:space="preserve"> </w:t>
      </w:r>
      <w:r>
        <w:t xml:space="preserve">(pp. 1–45).</w:t>
      </w:r>
      <w:r>
        <w:t xml:space="preserve"> </w:t>
      </w:r>
      <w:hyperlink r:id="rId168">
        <w:r>
          <w:rPr>
            <w:rStyle w:val="Hyperlink"/>
          </w:rPr>
          <w:t xml:space="preserve">https://doi.org/10.1002/9781119125556.devpsy101</w:t>
        </w:r>
      </w:hyperlink>
    </w:p>
    <w:bookmarkEnd w:id="169"/>
    <w:bookmarkStart w:id="171" w:name="ref-Broeren2013"/>
    <w:p>
      <w:pPr>
        <w:pStyle w:val="Bibliography"/>
      </w:pPr>
      <w:r>
        <w:t xml:space="preserve">Broeren, S., Muris, P., Diamantopoulou, S., &amp; Baker, J. R. (2013). The course of childhood anxiety symptoms:</w:t>
      </w:r>
      <w:r>
        <w:t xml:space="preserve"> </w:t>
      </w:r>
      <w:r>
        <w:t xml:space="preserve">Developmental</w:t>
      </w:r>
      <w:r>
        <w:t xml:space="preserve"> </w:t>
      </w:r>
      <w:r>
        <w:t xml:space="preserve">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70">
        <w:r>
          <w:rPr>
            <w:rStyle w:val="Hyperlink"/>
          </w:rPr>
          <w:t xml:space="preserve">https://doi.org/10.1007/s10802-012-9669-9</w:t>
        </w:r>
      </w:hyperlink>
    </w:p>
    <w:bookmarkEnd w:id="171"/>
    <w:bookmarkStart w:id="173"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w:t>
      </w:r>
      <w:r>
        <w:t xml:space="preserve"> </w:t>
      </w:r>
      <w:r>
        <w:t xml:space="preserve">A</w:t>
      </w:r>
      <w:r>
        <w:t xml:space="preserve"> </w:t>
      </w:r>
      <w:r>
        <w:t xml:space="preserve">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72">
        <w:r>
          <w:rPr>
            <w:rStyle w:val="Hyperlink"/>
          </w:rPr>
          <w:t xml:space="preserve">https://doi.org/10.1037/0012-1649.39.2.222</w:t>
        </w:r>
      </w:hyperlink>
    </w:p>
    <w:bookmarkEnd w:id="173"/>
    <w:bookmarkStart w:id="175" w:name="ref-Burns2001"/>
    <w:p>
      <w:pPr>
        <w:pStyle w:val="Bibliography"/>
      </w:pPr>
      <w:r>
        <w:t xml:space="preserve">Burns, G. L., Walsh, J. A., Patterson, D. R., Holte, C. S., Sommers-Flanagan, R., &amp; Parker, C. M. (2001). Attention deficit and disruptive behavior disorder symptoms:</w:t>
      </w:r>
      <w:r>
        <w:t xml:space="preserve"> </w:t>
      </w:r>
      <w:r>
        <w:t xml:space="preserve">Usefulness</w:t>
      </w:r>
      <w:r>
        <w:t xml:space="preserve"> </w:t>
      </w:r>
      <w:r>
        <w:t xml:space="preserve">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74">
        <w:r>
          <w:rPr>
            <w:rStyle w:val="Hyperlink"/>
          </w:rPr>
          <w:t xml:space="preserve">https://doi.org/10.1027/1015-5759.17.1.25</w:t>
        </w:r>
      </w:hyperlink>
    </w:p>
    <w:bookmarkEnd w:id="175"/>
    <w:bookmarkStart w:id="177" w:name="ref-Burt2012"/>
    <w:p>
      <w:pPr>
        <w:pStyle w:val="Bibliography"/>
      </w:pPr>
      <w:r>
        <w:t xml:space="preserve">Burt, S. A. (2012). How do we optimally conceptualize the heterogeneity within antisocial behavior?</w:t>
      </w:r>
      <w:r>
        <w:t xml:space="preserve"> </w:t>
      </w:r>
      <w:r>
        <w:t xml:space="preserve">An</w:t>
      </w:r>
      <w:r>
        <w:t xml:space="preserve"> </w:t>
      </w:r>
      <w:r>
        <w:t xml:space="preserve">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76">
        <w:r>
          <w:rPr>
            <w:rStyle w:val="Hyperlink"/>
          </w:rPr>
          <w:t xml:space="preserve">https://doi.org/10.1016/j.cpr.2012.02.006</w:t>
        </w:r>
      </w:hyperlink>
    </w:p>
    <w:bookmarkEnd w:id="177"/>
    <w:bookmarkStart w:id="179"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78">
        <w:r>
          <w:rPr>
            <w:rStyle w:val="Hyperlink"/>
          </w:rPr>
          <w:t xml:space="preserve">https://doi.org/10.1001/jamanetworkopen.2020.3221</w:t>
        </w:r>
      </w:hyperlink>
    </w:p>
    <w:bookmarkEnd w:id="179"/>
    <w:bookmarkStart w:id="181"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w:t>
      </w:r>
      <w:r>
        <w:t xml:space="preserve"> </w:t>
      </w:r>
      <w:r>
        <w:t xml:space="preserve">One</w:t>
      </w:r>
      <w:r>
        <w:t xml:space="preserve"> </w:t>
      </w:r>
      <w:r>
        <w:t xml:space="preserve">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80">
        <w:r>
          <w:rPr>
            <w:rStyle w:val="Hyperlink"/>
          </w:rPr>
          <w:t xml:space="preserve">https://doi.org/10.1177/2167702613497473</w:t>
        </w:r>
      </w:hyperlink>
    </w:p>
    <w:bookmarkEnd w:id="181"/>
    <w:bookmarkStart w:id="183"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82">
        <w:r>
          <w:rPr>
            <w:rStyle w:val="Hyperlink"/>
          </w:rPr>
          <w:t xml:space="preserve">https://doi.org/10.1002/9780470147658.chpsy0306</w:t>
        </w:r>
      </w:hyperlink>
    </w:p>
    <w:bookmarkEnd w:id="183"/>
    <w:bookmarkStart w:id="185"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84">
        <w:r>
          <w:rPr>
            <w:rStyle w:val="Hyperlink"/>
          </w:rPr>
          <w:t xml:space="preserve">https://doi.org/10.1007/s40865-015-0012-3</w:t>
        </w:r>
      </w:hyperlink>
    </w:p>
    <w:bookmarkEnd w:id="185"/>
    <w:bookmarkStart w:id="187" w:name="ref-ChenMBR"/>
    <w:p>
      <w:pPr>
        <w:pStyle w:val="Bibliography"/>
      </w:pPr>
      <w:r>
        <w:t xml:space="preserve">Chen, S. M., &amp; Bauer, D. J. (in press a). Improving the evaluation of construct change over time:</w:t>
      </w:r>
      <w:r>
        <w:t xml:space="preserve"> </w:t>
      </w:r>
      <w:r>
        <w:t xml:space="preserve">Advantages</w:t>
      </w:r>
      <w:r>
        <w:t xml:space="preserve"> </w:t>
      </w:r>
      <w:r>
        <w:t xml:space="preserve">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86">
        <w:r>
          <w:rPr>
            <w:rStyle w:val="Hyperlink"/>
          </w:rPr>
          <w:t xml:space="preserve">https://doi.org/10.1080/00273171.2026.2640576</w:t>
        </w:r>
      </w:hyperlink>
    </w:p>
    <w:bookmarkEnd w:id="187"/>
    <w:bookmarkStart w:id="189" w:name="ref-ChenPM"/>
    <w:p>
      <w:pPr>
        <w:pStyle w:val="Bibliography"/>
      </w:pPr>
      <w:r>
        <w:t xml:space="preserve">Chen, S. M., &amp; Bauer, D. J. (in press b). Modeling construct change over time amidst potential changes in construct measurement:</w:t>
      </w:r>
      <w:r>
        <w:t xml:space="preserve"> </w:t>
      </w:r>
      <w:r>
        <w:t xml:space="preserve">A</w:t>
      </w:r>
      <w:r>
        <w:t xml:space="preserve"> </w:t>
      </w:r>
      <w:r>
        <w:t xml:space="preserve">longitudinal moderated factor analysis approach.</w:t>
      </w:r>
      <w:r>
        <w:t xml:space="preserve"> </w:t>
      </w:r>
      <w:r>
        <w:rPr>
          <w:i/>
          <w:iCs/>
        </w:rPr>
        <w:t xml:space="preserve">Psychological Methods</w:t>
      </w:r>
      <w:r>
        <w:t xml:space="preserve">.</w:t>
      </w:r>
      <w:r>
        <w:t xml:space="preserve"> </w:t>
      </w:r>
      <w:hyperlink r:id="rId188">
        <w:r>
          <w:rPr>
            <w:rStyle w:val="Hyperlink"/>
          </w:rPr>
          <w:t xml:space="preserve">https://doi.org/10.1037/met0000685</w:t>
        </w:r>
      </w:hyperlink>
    </w:p>
    <w:bookmarkEnd w:id="189"/>
    <w:bookmarkStart w:id="191"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90">
        <w:r>
          <w:rPr>
            <w:rStyle w:val="Hyperlink"/>
          </w:rPr>
          <w:t xml:space="preserve">https://doi.org/10.14283/jfa.2012.9</w:t>
        </w:r>
      </w:hyperlink>
    </w:p>
    <w:bookmarkEnd w:id="191"/>
    <w:bookmarkStart w:id="193"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92">
        <w:r>
          <w:rPr>
            <w:rStyle w:val="Hyperlink"/>
          </w:rPr>
          <w:t xml:space="preserve">https://doi.org/10.1037/0022-006X.70.1.6</w:t>
        </w:r>
      </w:hyperlink>
    </w:p>
    <w:bookmarkEnd w:id="193"/>
    <w:bookmarkStart w:id="195" w:name="ref-Cieciuch2014"/>
    <w:p>
      <w:pPr>
        <w:pStyle w:val="Bibliography"/>
      </w:pPr>
      <w:r>
        <w:t xml:space="preserve">Cieciuch, J., Davidov, E., Schmidt, P., Algesheimer, R., &amp; Schwartz, S. H. (2014). Comparing results of an exact vs.</w:t>
      </w:r>
      <w:r>
        <w:t xml:space="preserve"> </w:t>
      </w:r>
      <w:r>
        <w:t xml:space="preserve">an</w:t>
      </w:r>
      <w:r>
        <w:t xml:space="preserve"> </w:t>
      </w:r>
      <w:r>
        <w:t xml:space="preserve">approximate (</w:t>
      </w:r>
      <w:r>
        <w:t xml:space="preserve">Bayesian</w:t>
      </w:r>
      <w:r>
        <w:t xml:space="preserve">) measurement invariance test:</w:t>
      </w:r>
      <w:r>
        <w:t xml:space="preserve"> </w:t>
      </w:r>
      <w:r>
        <w:t xml:space="preserve">A</w:t>
      </w:r>
      <w:r>
        <w:t xml:space="preserve"> </w:t>
      </w:r>
      <w:r>
        <w:t xml:space="preserve">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94">
        <w:r>
          <w:rPr>
            <w:rStyle w:val="Hyperlink"/>
          </w:rPr>
          <w:t xml:space="preserve">https://doi.org/10.3389/fpsyg.2014.00982</w:t>
        </w:r>
      </w:hyperlink>
    </w:p>
    <w:bookmarkEnd w:id="195"/>
    <w:bookmarkStart w:id="197" w:name="ref-Coghill2012"/>
    <w:p>
      <w:pPr>
        <w:pStyle w:val="Bibliography"/>
      </w:pPr>
      <w:r>
        <w:t xml:space="preserve">Coghill, D., &amp; Sonuga-Barke, E. J. S. (2012).</w:t>
      </w:r>
      <w:r>
        <w:t xml:space="preserve"> </w:t>
      </w:r>
      <w:r>
        <w:t xml:space="preserve">Annual Research Review</w:t>
      </w:r>
      <w:r>
        <w:t xml:space="preserve">:</w:t>
      </w:r>
      <w:r>
        <w:t xml:space="preserve"> </w:t>
      </w:r>
      <w:r>
        <w:t xml:space="preserve">Categories</w:t>
      </w:r>
      <w:r>
        <w:t xml:space="preserve"> </w:t>
      </w:r>
      <w:r>
        <w:t xml:space="preserve">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96">
        <w:r>
          <w:rPr>
            <w:rStyle w:val="Hyperlink"/>
          </w:rPr>
          <w:t xml:space="preserve">https://doi.org/10.1111/j.1469-7610.2011.02511.x</w:t>
        </w:r>
      </w:hyperlink>
    </w:p>
    <w:bookmarkEnd w:id="197"/>
    <w:bookmarkStart w:id="199"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98">
        <w:r>
          <w:rPr>
            <w:rStyle w:val="Hyperlink"/>
          </w:rPr>
          <w:t xml:space="preserve">https://doi.org/10.1177/0146621612470210</w:t>
        </w:r>
      </w:hyperlink>
    </w:p>
    <w:bookmarkEnd w:id="199"/>
    <w:bookmarkStart w:id="201" w:name="ref-Curran2008"/>
    <w:p>
      <w:pPr>
        <w:pStyle w:val="Bibliography"/>
      </w:pPr>
      <w:r>
        <w:t xml:space="preserve">Curran, P. J., Hussong, A. M., Cai, L., Huang, W., Chassin, L., Sher, K. J., &amp; Zucker, R. A. (2008). Pooling data from multiple longitudinal studies:</w:t>
      </w:r>
      <w:r>
        <w:t xml:space="preserve"> </w:t>
      </w:r>
      <w:r>
        <w:t xml:space="preserve">The</w:t>
      </w:r>
      <w:r>
        <w:t xml:space="preserve"> </w:t>
      </w:r>
      <w:r>
        <w:t xml:space="preserve">role of item response theory in integrative data analysis.</w:t>
      </w:r>
      <w:r>
        <w:t xml:space="preserve"> </w:t>
      </w:r>
      <w:r>
        <w:rPr>
          <w:i/>
          <w:iCs/>
        </w:rPr>
        <w:t xml:space="preserve">Developmental Psychology</w:t>
      </w:r>
      <w:r>
        <w:t xml:space="preserve">,</w:t>
      </w:r>
      <w:r>
        <w:t xml:space="preserve"> </w:t>
      </w:r>
      <w:r>
        <w:rPr>
          <w:i/>
          <w:iCs/>
        </w:rPr>
        <w:t xml:space="preserve">44</w:t>
      </w:r>
      <w:r>
        <w:t xml:space="preserve">(2), 365.</w:t>
      </w:r>
      <w:r>
        <w:t xml:space="preserve"> </w:t>
      </w:r>
      <w:hyperlink r:id="rId200">
        <w:r>
          <w:rPr>
            <w:rStyle w:val="Hyperlink"/>
          </w:rPr>
          <w:t xml:space="preserve">https://doi.org/10.1037/0012-1649.44.2.365</w:t>
        </w:r>
      </w:hyperlink>
    </w:p>
    <w:bookmarkEnd w:id="201"/>
    <w:bookmarkStart w:id="203"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202">
        <w:r>
          <w:rPr>
            <w:rStyle w:val="Hyperlink"/>
          </w:rPr>
          <w:t xml:space="preserve">https://doi.org/10.1080/00273171.2014.889594</w:t>
        </w:r>
      </w:hyperlink>
    </w:p>
    <w:bookmarkEnd w:id="203"/>
    <w:bookmarkStart w:id="205" w:name="ref-DeLosReyes2026"/>
    <w:p>
      <w:pPr>
        <w:pStyle w:val="Bibliography"/>
      </w:pPr>
      <w:r>
        <w:t xml:space="preserve">De Los Reyes, A. (2026). Toward integrative, multisource, and multimodal approaches to assessing psychopathology intergenerationally and across the lifespan:</w:t>
      </w:r>
      <w:r>
        <w:t xml:space="preserve"> </w:t>
      </w:r>
      <w:r>
        <w:t xml:space="preserve">Commentary</w:t>
      </w:r>
      <w:r>
        <w:t xml:space="preserve"> </w:t>
      </w:r>
      <w:r>
        <w:t xml:space="preserve">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204">
        <w:r>
          <w:rPr>
            <w:rStyle w:val="Hyperlink"/>
          </w:rPr>
          <w:t xml:space="preserve">https://doi.org/10.1037/abn0001084</w:t>
        </w:r>
      </w:hyperlink>
    </w:p>
    <w:bookmarkEnd w:id="205"/>
    <w:bookmarkStart w:id="207" w:name="ref-DeLosReyes2025"/>
    <w:p>
      <w:pPr>
        <w:pStyle w:val="Bibliography"/>
      </w:pPr>
      <w:r>
        <w:t xml:space="preserve">De Los Reyes, A., L., O. F., J., R. S., Armando, P., D., M. B., Mo, W., &amp; Charamut, N. R. and. (2025). Editorial:</w:t>
      </w:r>
      <w:r>
        <w:t xml:space="preserve"> </w:t>
      </w:r>
      <w:r>
        <w:t xml:space="preserve">Fairness</w:t>
      </w:r>
      <w:r>
        <w:t xml:space="preserve">, validity, and transparency in what researchers assume when testing for measurement invariance.</w:t>
      </w:r>
      <w:r>
        <w:t xml:space="preserve"> </w:t>
      </w:r>
      <w:r>
        <w:rPr>
          <w:i/>
          <w:iCs/>
        </w:rPr>
        <w:t xml:space="preserve">Journal of Clinical Child &amp; Adolescent Psychology</w:t>
      </w:r>
      <w:r>
        <w:t xml:space="preserve">,</w:t>
      </w:r>
      <w:r>
        <w:t xml:space="preserve"> </w:t>
      </w:r>
      <w:r>
        <w:rPr>
          <w:i/>
          <w:iCs/>
        </w:rPr>
        <w:t xml:space="preserve">54</w:t>
      </w:r>
      <w:r>
        <w:t xml:space="preserve">(3), 299–317.</w:t>
      </w:r>
      <w:r>
        <w:t xml:space="preserve"> </w:t>
      </w:r>
      <w:hyperlink r:id="rId206">
        <w:r>
          <w:rPr>
            <w:rStyle w:val="Hyperlink"/>
          </w:rPr>
          <w:t xml:space="preserve">https://doi.org/10.1080/15374416.2025.2484813</w:t>
        </w:r>
      </w:hyperlink>
    </w:p>
    <w:bookmarkEnd w:id="207"/>
    <w:bookmarkStart w:id="209" w:name="ref-DeLosReyes2013"/>
    <w:p>
      <w:pPr>
        <w:pStyle w:val="Bibliography"/>
      </w:pPr>
      <w:r>
        <w:t xml:space="preserve">De Los Reyes, A., Thomas, S. A., Goodman, K. L., &amp; Kundey, S. M. A. (2013). Principles underlying the use of multiple informants’ reports.</w:t>
      </w:r>
      <w:r>
        <w:t xml:space="preserve"> </w:t>
      </w:r>
      <w:r>
        <w:rPr>
          <w:i/>
          <w:iCs/>
        </w:rPr>
        <w:t xml:space="preserve">Annual Review of Clinical Psychology</w:t>
      </w:r>
      <w:r>
        <w:t xml:space="preserve">,</w:t>
      </w:r>
      <w:r>
        <w:t xml:space="preserve"> </w:t>
      </w:r>
      <w:r>
        <w:rPr>
          <w:i/>
          <w:iCs/>
        </w:rPr>
        <w:t xml:space="preserve">9</w:t>
      </w:r>
      <w:r>
        <w:t xml:space="preserve">(1), 123–149.</w:t>
      </w:r>
      <w:r>
        <w:t xml:space="preserve"> </w:t>
      </w:r>
      <w:hyperlink r:id="rId208">
        <w:r>
          <w:rPr>
            <w:rStyle w:val="Hyperlink"/>
          </w:rPr>
          <w:t xml:space="preserve">https://doi.org/10.1146/annurev-clinpsy-050212-185617</w:t>
        </w:r>
      </w:hyperlink>
    </w:p>
    <w:bookmarkEnd w:id="209"/>
    <w:bookmarkStart w:id="211"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210">
        <w:r>
          <w:rPr>
            <w:rStyle w:val="Hyperlink"/>
          </w:rPr>
          <w:t xml:space="preserve">https://doi.org/10.1126/science.2270481</w:t>
        </w:r>
      </w:hyperlink>
    </w:p>
    <w:bookmarkEnd w:id="211"/>
    <w:bookmarkStart w:id="213" w:name="ref-Edwards2012"/>
    <w:p>
      <w:pPr>
        <w:pStyle w:val="Bibliography"/>
      </w:pPr>
      <w:r>
        <w:t xml:space="preserve">Edwards, M. C., &amp; Wirth, R. J. (2012). Valid measurement without factorial invariance:</w:t>
      </w:r>
      <w:r>
        <w:t xml:space="preserve"> </w:t>
      </w:r>
      <w:r>
        <w:t xml:space="preserve">A</w:t>
      </w:r>
      <w:r>
        <w:t xml:space="preserve"> </w:t>
      </w:r>
      <w:r>
        <w:t xml:space="preserve">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212">
        <w:r>
          <w:rPr>
            <w:rStyle w:val="Hyperlink"/>
          </w:rPr>
          <w:t xml:space="preserve">https://doi.org/10.1108/978-1-61735-891-320251015</w:t>
        </w:r>
      </w:hyperlink>
    </w:p>
    <w:bookmarkEnd w:id="213"/>
    <w:bookmarkStart w:id="215"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214">
        <w:r>
          <w:rPr>
            <w:rStyle w:val="Hyperlink"/>
          </w:rPr>
          <w:t xml:space="preserve">https://doi.org/10.2307/2095245</w:t>
        </w:r>
      </w:hyperlink>
    </w:p>
    <w:bookmarkEnd w:id="215"/>
    <w:bookmarkStart w:id="216" w:name="ref-Enders2022"/>
    <w:p>
      <w:pPr>
        <w:pStyle w:val="Bibliography"/>
      </w:pPr>
      <w:r>
        <w:t xml:space="preserve">Enders, C. K. (2022).</w:t>
      </w:r>
      <w:r>
        <w:t xml:space="preserve"> </w:t>
      </w:r>
      <w:r>
        <w:rPr>
          <w:i/>
          <w:iCs/>
        </w:rPr>
        <w:t xml:space="preserve">Applied missing data analysis</w:t>
      </w:r>
      <w:r>
        <w:t xml:space="preserve">. Guilford Publications.</w:t>
      </w:r>
    </w:p>
    <w:bookmarkEnd w:id="216"/>
    <w:bookmarkStart w:id="218" w:name="ref-Enders2025"/>
    <w:p>
      <w:pPr>
        <w:pStyle w:val="Bibliography"/>
      </w:pPr>
      <w:r>
        <w:t xml:space="preserve">Enders, C. K. (2025). Missing data:</w:t>
      </w:r>
      <w:r>
        <w:t xml:space="preserve"> </w:t>
      </w:r>
      <w:r>
        <w:t xml:space="preserve">An</w:t>
      </w:r>
      <w:r>
        <w:t xml:space="preserve"> </w:t>
      </w:r>
      <w:r>
        <w:t xml:space="preserve">update on the state of the art.</w:t>
      </w:r>
      <w:r>
        <w:t xml:space="preserve"> </w:t>
      </w:r>
      <w:r>
        <w:rPr>
          <w:i/>
          <w:iCs/>
        </w:rPr>
        <w:t xml:space="preserve">Psychological Methods</w:t>
      </w:r>
      <w:r>
        <w:t xml:space="preserve">,</w:t>
      </w:r>
      <w:r>
        <w:t xml:space="preserve"> </w:t>
      </w:r>
      <w:r>
        <w:rPr>
          <w:i/>
          <w:iCs/>
        </w:rPr>
        <w:t xml:space="preserve">30</w:t>
      </w:r>
      <w:r>
        <w:t xml:space="preserve">(2), 322–339.</w:t>
      </w:r>
      <w:r>
        <w:t xml:space="preserve"> </w:t>
      </w:r>
      <w:hyperlink r:id="rId217">
        <w:r>
          <w:rPr>
            <w:rStyle w:val="Hyperlink"/>
          </w:rPr>
          <w:t xml:space="preserve">https://doi.org/10.1037/met0000563</w:t>
        </w:r>
      </w:hyperlink>
    </w:p>
    <w:bookmarkEnd w:id="218"/>
    <w:bookmarkStart w:id="220" w:name="ref-Fairchild2013"/>
    <w:p>
      <w:pPr>
        <w:pStyle w:val="Bibliography"/>
      </w:pPr>
      <w:r>
        <w:t xml:space="preserve">Fairchild, G., Goozen, S. H. M. van, Calder, A. J., &amp; Goodyer, I. M. (2013).</w:t>
      </w:r>
      <w:r>
        <w:t xml:space="preserve"> </w:t>
      </w:r>
      <w:r>
        <w:t xml:space="preserve">Research Review</w:t>
      </w:r>
      <w:r>
        <w:t xml:space="preserve">:</w:t>
      </w:r>
      <w:r>
        <w:t xml:space="preserve"> </w:t>
      </w:r>
      <w:r>
        <w:t xml:space="preserve">Evaluating and reformulating the developmental taxonomic theory of antisocial behaviour</w:t>
      </w:r>
      <w:r>
        <w:t xml:space="preserve">.</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219">
        <w:r>
          <w:rPr>
            <w:rStyle w:val="Hyperlink"/>
          </w:rPr>
          <w:t xml:space="preserve">https://doi.org/10.1111/jcpp.12102</w:t>
        </w:r>
      </w:hyperlink>
    </w:p>
    <w:bookmarkEnd w:id="220"/>
    <w:bookmarkStart w:id="222" w:name="ref-Farrington2023"/>
    <w:p>
      <w:pPr>
        <w:pStyle w:val="Bibliography"/>
      </w:pPr>
      <w:r>
        <w:t xml:space="preserve">Farrington, D. P., Piquero, A. R., Jennings, W. G., &amp; Jolliffe, D. (2023).</w:t>
      </w:r>
      <w:r>
        <w:t xml:space="preserve"> </w:t>
      </w:r>
      <w:r>
        <w:rPr>
          <w:i/>
          <w:iCs/>
        </w:rPr>
        <w:t xml:space="preserve">Offending from childhood to late middle age:</w:t>
      </w:r>
      <w:r>
        <w:rPr>
          <w:i/>
          <w:iCs/>
        </w:rPr>
        <w:t xml:space="preserve"> </w:t>
      </w:r>
      <w:r>
        <w:rPr>
          <w:i/>
          <w:iCs/>
        </w:rPr>
        <w:t xml:space="preserve">Recent</w:t>
      </w:r>
      <w:r>
        <w:rPr>
          <w:i/>
          <w:iCs/>
        </w:rPr>
        <w:t xml:space="preserve"> </w:t>
      </w:r>
      <w:r>
        <w:rPr>
          <w:i/>
          <w:iCs/>
        </w:rPr>
        <w:t xml:space="preserve">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221">
        <w:r>
          <w:rPr>
            <w:rStyle w:val="Hyperlink"/>
          </w:rPr>
          <w:t xml:space="preserve">https://doi.org/10.1007/978-1-0716-3335-9_5</w:t>
        </w:r>
      </w:hyperlink>
    </w:p>
    <w:bookmarkEnd w:id="222"/>
    <w:bookmarkStart w:id="224" w:name="ref-Ferrer2004"/>
    <w:p>
      <w:pPr>
        <w:pStyle w:val="Bibliography"/>
      </w:pPr>
      <w:r>
        <w:t xml:space="preserve">Ferrer, E., Salthouse, T. A., Stewart, W. F., &amp; Schwartz, B. S. (2004). Modeling age and retest processes in longitudinal studies of cognitive abilities.</w:t>
      </w:r>
      <w:r>
        <w:t xml:space="preserve"> </w:t>
      </w:r>
      <w:r>
        <w:rPr>
          <w:i/>
          <w:iCs/>
        </w:rPr>
        <w:t xml:space="preserve">Psychology and Aging</w:t>
      </w:r>
      <w:r>
        <w:t xml:space="preserve">,</w:t>
      </w:r>
      <w:r>
        <w:t xml:space="preserve"> </w:t>
      </w:r>
      <w:r>
        <w:rPr>
          <w:i/>
          <w:iCs/>
        </w:rPr>
        <w:t xml:space="preserve">19</w:t>
      </w:r>
      <w:r>
        <w:t xml:space="preserve">(2), 243–259.</w:t>
      </w:r>
      <w:r>
        <w:t xml:space="preserve"> </w:t>
      </w:r>
      <w:hyperlink r:id="rId223">
        <w:r>
          <w:rPr>
            <w:rStyle w:val="Hyperlink"/>
          </w:rPr>
          <w:t xml:space="preserve">https://doi.org/10.1037/0882-7974.19.2.243</w:t>
        </w:r>
      </w:hyperlink>
    </w:p>
    <w:bookmarkEnd w:id="224"/>
    <w:bookmarkStart w:id="226" w:name="ref-Forbes2016"/>
    <w:p>
      <w:pPr>
        <w:pStyle w:val="Bibliography"/>
      </w:pPr>
      <w:r>
        <w:t xml:space="preserve">Forbes, M. K., Tackett, J. L., Markon, K. E., &amp; Krueger, R. F. (2016). Beyond comorbidity:</w:t>
      </w:r>
      <w:r>
        <w:t xml:space="preserve"> </w:t>
      </w:r>
      <w:r>
        <w:t xml:space="preserve">Toward</w:t>
      </w:r>
      <w:r>
        <w:t xml:space="preserve"> </w:t>
      </w:r>
      <w:r>
        <w:t xml:space="preserve">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225">
        <w:r>
          <w:rPr>
            <w:rStyle w:val="Hyperlink"/>
          </w:rPr>
          <w:t xml:space="preserve">https://doi.org/10.1017/S0954579416000651</w:t>
        </w:r>
      </w:hyperlink>
    </w:p>
    <w:bookmarkEnd w:id="226"/>
    <w:bookmarkStart w:id="228" w:name="ref-Frick2004"/>
    <w:p>
      <w:pPr>
        <w:pStyle w:val="Bibliography"/>
      </w:pPr>
      <w:r>
        <w:t xml:space="preserve">Frick, P. J., &amp; Morris, A. S. (2004). Temperament and developmental pathways to conduct problems.</w:t>
      </w:r>
      <w:r>
        <w:t xml:space="preserve"> </w:t>
      </w:r>
      <w:r>
        <w:rPr>
          <w:i/>
          <w:iCs/>
        </w:rPr>
        <w:t xml:space="preserve">Journal of Clinical Child &amp; Adolescent Psychology</w:t>
      </w:r>
      <w:r>
        <w:t xml:space="preserve">,</w:t>
      </w:r>
      <w:r>
        <w:t xml:space="preserve"> </w:t>
      </w:r>
      <w:r>
        <w:rPr>
          <w:i/>
          <w:iCs/>
        </w:rPr>
        <w:t xml:space="preserve">33</w:t>
      </w:r>
      <w:r>
        <w:t xml:space="preserve">(1), 54–68.</w:t>
      </w:r>
      <w:r>
        <w:t xml:space="preserve"> </w:t>
      </w:r>
      <w:hyperlink r:id="rId227">
        <w:r>
          <w:rPr>
            <w:rStyle w:val="Hyperlink"/>
          </w:rPr>
          <w:t xml:space="preserve">https://doi.org/10.1207/S15374424JCCP3301_6</w:t>
        </w:r>
      </w:hyperlink>
    </w:p>
    <w:bookmarkEnd w:id="228"/>
    <w:bookmarkStart w:id="230" w:name="ref-Funder2024"/>
    <w:p>
      <w:pPr>
        <w:pStyle w:val="Bibliography"/>
      </w:pPr>
      <w:r>
        <w:t xml:space="preserve">Funder, D. C., &amp; Gardiner, G. (2024).</w:t>
      </w:r>
      <w:r>
        <w:t xml:space="preserve"> </w:t>
      </w:r>
      <w:r>
        <w:t xml:space="preserve">MIsgivings</w:t>
      </w:r>
      <w:r>
        <w:t xml:space="preserve"> </w:t>
      </w:r>
      <w:r>
        <w:t xml:space="preserve">about measurement invariance.</w:t>
      </w:r>
      <w:r>
        <w:t xml:space="preserve"> </w:t>
      </w:r>
      <w:r>
        <w:rPr>
          <w:i/>
          <w:iCs/>
        </w:rPr>
        <w:t xml:space="preserve">European Journal of Personality</w:t>
      </w:r>
      <w:r>
        <w:t xml:space="preserve">,</w:t>
      </w:r>
      <w:r>
        <w:t xml:space="preserve"> </w:t>
      </w:r>
      <w:r>
        <w:rPr>
          <w:i/>
          <w:iCs/>
        </w:rPr>
        <w:t xml:space="preserve">38</w:t>
      </w:r>
      <w:r>
        <w:t xml:space="preserve">(6), 889–895.</w:t>
      </w:r>
      <w:r>
        <w:t xml:space="preserve"> </w:t>
      </w:r>
      <w:hyperlink r:id="rId229">
        <w:r>
          <w:rPr>
            <w:rStyle w:val="Hyperlink"/>
          </w:rPr>
          <w:t xml:space="preserve">https://doi.org/10.1177/08902070241228338</w:t>
        </w:r>
      </w:hyperlink>
    </w:p>
    <w:bookmarkEnd w:id="230"/>
    <w:bookmarkStart w:id="231"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231"/>
    <w:bookmarkStart w:id="233" w:name="ref-Godoy2021"/>
    <w:p>
      <w:pPr>
        <w:pStyle w:val="Bibliography"/>
      </w:pPr>
      <w:r>
        <w:t xml:space="preserve">Godoy, L. L. de, Alves, C. A. P. F., Saavedra, J. S. M., Studart-Neto, A., Nitrini, R., Costa Leite, C. da, &amp; Bisdas, S. (2021). Understanding brain resilience in superagers:</w:t>
      </w:r>
      <w:r>
        <w:t xml:space="preserve"> </w:t>
      </w:r>
      <w:r>
        <w:t xml:space="preserve">A</w:t>
      </w:r>
      <w:r>
        <w:t xml:space="preserve"> </w:t>
      </w:r>
      <w:r>
        <w:t xml:space="preserve">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32">
        <w:r>
          <w:rPr>
            <w:rStyle w:val="Hyperlink"/>
          </w:rPr>
          <w:t xml:space="preserve">https://doi.org/10.1007/s00234-020-02562-1</w:t>
        </w:r>
      </w:hyperlink>
    </w:p>
    <w:bookmarkEnd w:id="233"/>
    <w:bookmarkStart w:id="235"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34">
        <w:r>
          <w:rPr>
            <w:rStyle w:val="Hyperlink"/>
          </w:rPr>
          <w:t xml:space="preserve">https://doi.org/10.1017/S0954579421001772</w:t>
        </w:r>
      </w:hyperlink>
    </w:p>
    <w:bookmarkEnd w:id="235"/>
    <w:bookmarkStart w:id="237"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36">
        <w:r>
          <w:rPr>
            <w:rStyle w:val="Hyperlink"/>
          </w:rPr>
          <w:t xml:space="preserve">https://doi.org/10.1378/chest.116.5.1208</w:t>
        </w:r>
      </w:hyperlink>
    </w:p>
    <w:bookmarkEnd w:id="237"/>
    <w:bookmarkStart w:id="239"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38">
        <w:r>
          <w:rPr>
            <w:rStyle w:val="Hyperlink"/>
          </w:rPr>
          <w:t xml:space="preserve">https://doi.org/10.22237/jmasm/1209614640</w:t>
        </w:r>
      </w:hyperlink>
    </w:p>
    <w:bookmarkEnd w:id="239"/>
    <w:bookmarkStart w:id="241" w:name="ref-QuantitudeS3E18"/>
    <w:p>
      <w:pPr>
        <w:pStyle w:val="Bibliography"/>
      </w:pPr>
      <w:r>
        <w:t xml:space="preserve">Hancock, G. R., &amp; Curran, P. J. (Hosts). (2022, February 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In Quantitude; Quantitude.</w:t>
      </w:r>
      <w:r>
        <w:t xml:space="preserve"> </w:t>
      </w:r>
      <w:hyperlink r:id="rId240">
        <w:r>
          <w:rPr>
            <w:rStyle w:val="Hyperlink"/>
          </w:rPr>
          <w:t xml:space="preserve">https://quantitudepod.org/latent-means/ (archived at: https://perma.cc/5JL3-YUPA)</w:t>
        </w:r>
      </w:hyperlink>
    </w:p>
    <w:bookmarkEnd w:id="241"/>
    <w:bookmarkStart w:id="243"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42">
        <w:r>
          <w:rPr>
            <w:rStyle w:val="Hyperlink"/>
          </w:rPr>
          <w:t xml:space="preserve">https://doi.org/10.1017/S0954579424000713</w:t>
        </w:r>
      </w:hyperlink>
    </w:p>
    <w:bookmarkEnd w:id="243"/>
    <w:bookmarkStart w:id="245" w:name="ref-Haslam2012"/>
    <w:p>
      <w:pPr>
        <w:pStyle w:val="Bibliography"/>
      </w:pPr>
      <w:r>
        <w:t xml:space="preserve">Haslam, N., Holland, E., &amp; Kuppens, P. (2012). Categories versus dimensions in personality and psychopathology:</w:t>
      </w:r>
      <w:r>
        <w:t xml:space="preserve"> </w:t>
      </w:r>
      <w:r>
        <w:t xml:space="preserve">A</w:t>
      </w:r>
      <w:r>
        <w:t xml:space="preserve"> </w:t>
      </w:r>
      <w:r>
        <w:t xml:space="preserve">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44">
        <w:r>
          <w:rPr>
            <w:rStyle w:val="Hyperlink"/>
          </w:rPr>
          <w:t xml:space="preserve">https://doi.org/10.1017/S0033291711001966</w:t>
        </w:r>
      </w:hyperlink>
    </w:p>
    <w:bookmarkEnd w:id="245"/>
    <w:bookmarkStart w:id="247" w:name="ref-Haslam2020"/>
    <w:p>
      <w:pPr>
        <w:pStyle w:val="Bibliography"/>
      </w:pPr>
      <w:r>
        <w:t xml:space="preserve">Haslam, N., McGrath, M. J., Viechtbauer, W., &amp; Kuppens, P. (2020). Dimensions over categories:</w:t>
      </w:r>
      <w:r>
        <w:t xml:space="preserve"> </w:t>
      </w:r>
      <w:r>
        <w:t xml:space="preserve">A</w:t>
      </w:r>
      <w:r>
        <w:t xml:space="preserve"> </w:t>
      </w:r>
      <w:r>
        <w:t xml:space="preserve">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46">
        <w:r>
          <w:rPr>
            <w:rStyle w:val="Hyperlink"/>
          </w:rPr>
          <w:t xml:space="preserve">https://doi.org/10.1017/S003329172000183X</w:t>
        </w:r>
      </w:hyperlink>
    </w:p>
    <w:bookmarkEnd w:id="247"/>
    <w:bookmarkStart w:id="249" w:name="ref-Hertzog2003"/>
    <w:p>
      <w:pPr>
        <w:pStyle w:val="Bibliography"/>
      </w:pPr>
      <w:r>
        <w:t xml:space="preserve">Hertzog, C., &amp; Nesselroade, J. R. (2003). Assessing psychological change in adulthood:</w:t>
      </w:r>
      <w:r>
        <w:t xml:space="preserve"> </w:t>
      </w:r>
      <w:r>
        <w:t xml:space="preserve">An</w:t>
      </w:r>
      <w:r>
        <w:t xml:space="preserve"> </w:t>
      </w:r>
      <w:r>
        <w:t xml:space="preserve">overview of methodological issues.</w:t>
      </w:r>
      <w:r>
        <w:t xml:space="preserve"> </w:t>
      </w:r>
      <w:r>
        <w:rPr>
          <w:i/>
          <w:iCs/>
        </w:rPr>
        <w:t xml:space="preserve">Psychology and Aging</w:t>
      </w:r>
      <w:r>
        <w:t xml:space="preserve">,</w:t>
      </w:r>
      <w:r>
        <w:t xml:space="preserve"> </w:t>
      </w:r>
      <w:r>
        <w:rPr>
          <w:i/>
          <w:iCs/>
        </w:rPr>
        <w:t xml:space="preserve">18</w:t>
      </w:r>
      <w:r>
        <w:t xml:space="preserve">(4), 639–657.</w:t>
      </w:r>
      <w:r>
        <w:t xml:space="preserve"> </w:t>
      </w:r>
      <w:hyperlink r:id="rId248">
        <w:r>
          <w:rPr>
            <w:rStyle w:val="Hyperlink"/>
          </w:rPr>
          <w:t xml:space="preserve">https://doi.org/10.1037/0882-7974.18.4.639</w:t>
        </w:r>
      </w:hyperlink>
    </w:p>
    <w:bookmarkEnd w:id="249"/>
    <w:bookmarkStart w:id="251" w:name="ref-Hosch2022"/>
    <w:p>
      <w:pPr>
        <w:pStyle w:val="Bibliography"/>
      </w:pPr>
      <w:r>
        <w:t xml:space="preserve">Hosch, A., Oleson, J. J., Harris, J. L., Goeltz, M. T., Neumann, T., LeBeau, B., Hazeltine, E., &amp; Petersen, I. T. (2022). Studying children’s growth in self-regulation using changing measures to account for heterotypic continuity:</w:t>
      </w:r>
      <w:r>
        <w:t xml:space="preserve"> </w:t>
      </w:r>
      <w:r>
        <w:t xml:space="preserve">A</w:t>
      </w:r>
      <w:r>
        <w:t xml:space="preserve"> </w:t>
      </w:r>
      <w:r>
        <w:t xml:space="preserve">Bayesian</w:t>
      </w:r>
      <w:r>
        <w:t xml:space="preserve"> </w:t>
      </w:r>
      <w:r>
        <w:t xml:space="preserve">approach to developmental scaling.</w:t>
      </w:r>
      <w:r>
        <w:t xml:space="preserve"> </w:t>
      </w:r>
      <w:r>
        <w:rPr>
          <w:i/>
          <w:iCs/>
        </w:rPr>
        <w:t xml:space="preserve">Developmental Science</w:t>
      </w:r>
      <w:r>
        <w:t xml:space="preserve">,</w:t>
      </w:r>
      <w:r>
        <w:t xml:space="preserve"> </w:t>
      </w:r>
      <w:r>
        <w:rPr>
          <w:i/>
          <w:iCs/>
        </w:rPr>
        <w:t xml:space="preserve">25</w:t>
      </w:r>
      <w:r>
        <w:t xml:space="preserve">(6), e13280.</w:t>
      </w:r>
      <w:r>
        <w:t xml:space="preserve"> </w:t>
      </w:r>
      <w:hyperlink r:id="rId250">
        <w:r>
          <w:rPr>
            <w:rStyle w:val="Hyperlink"/>
          </w:rPr>
          <w:t xml:space="preserve">https://doi.org/10.1111/desc.13280</w:t>
        </w:r>
      </w:hyperlink>
    </w:p>
    <w:bookmarkEnd w:id="251"/>
    <w:bookmarkStart w:id="253"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52">
        <w:r>
          <w:rPr>
            <w:rStyle w:val="Hyperlink"/>
          </w:rPr>
          <w:t xml:space="preserve">https://doi.org/10.1176/appi.ajp.2008.08030366</w:t>
        </w:r>
      </w:hyperlink>
    </w:p>
    <w:bookmarkEnd w:id="253"/>
    <w:bookmarkStart w:id="255" w:name="ref-Kaat2019"/>
    <w:p>
      <w:pPr>
        <w:pStyle w:val="Bibliography"/>
      </w:pPr>
      <w:r>
        <w:t xml:space="preserve">Kaat, A. J., Blackwell, C. K., Estabrook, R., Burns, J. L., Petitclerc, A., Briggs-Gowan, M. J., Gershon, R. C., Cella, D., Perlman, S. B., &amp; Wakschlag, L. S. (2019). Linking the</w:t>
      </w:r>
      <w:r>
        <w:t xml:space="preserve"> </w:t>
      </w:r>
      <w:r>
        <w:t xml:space="preserve">Child Behavior Checklist</w:t>
      </w:r>
      <w:r>
        <w:t xml:space="preserve"> </w:t>
      </w:r>
      <w:r>
        <w:t xml:space="preserve">(</w:t>
      </w:r>
      <w:r>
        <w:t xml:space="preserve">CBCL</w:t>
      </w:r>
      <w:r>
        <w:t xml:space="preserve">) with the</w:t>
      </w:r>
      <w:r>
        <w:t xml:space="preserve"> </w:t>
      </w:r>
      <w:r>
        <w:t xml:space="preserve">Multidimensional Assessment Profile of Disruptive Behavior</w:t>
      </w:r>
      <w:r>
        <w:t xml:space="preserve"> </w:t>
      </w:r>
      <w:r>
        <w:t xml:space="preserve">(</w:t>
      </w:r>
      <w:r>
        <w:t xml:space="preserve">MAP-DB</w:t>
      </w:r>
      <w:r>
        <w:t xml:space="preserve">):</w:t>
      </w:r>
      <w:r>
        <w:t xml:space="preserve"> </w:t>
      </w:r>
      <w:r>
        <w:t xml:space="preserve">Advancing</w:t>
      </w:r>
      <w:r>
        <w:t xml:space="preserve"> </w:t>
      </w:r>
      <w:r>
        <w:t xml:space="preserve">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54">
        <w:r>
          <w:rPr>
            <w:rStyle w:val="Hyperlink"/>
          </w:rPr>
          <w:t xml:space="preserve">https://doi.org/10.1007/s10826-018-1272-4</w:t>
        </w:r>
      </w:hyperlink>
    </w:p>
    <w:bookmarkEnd w:id="255"/>
    <w:bookmarkStart w:id="256"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56"/>
    <w:bookmarkStart w:id="257" w:name="ref-Kagan1971"/>
    <w:p>
      <w:pPr>
        <w:pStyle w:val="Bibliography"/>
      </w:pPr>
      <w:r>
        <w:t xml:space="preserve">Kagan, J. (1971).</w:t>
      </w:r>
      <w:r>
        <w:t xml:space="preserve"> </w:t>
      </w:r>
      <w:r>
        <w:rPr>
          <w:i/>
          <w:iCs/>
        </w:rPr>
        <w:t xml:space="preserve">Change and continuity in infancy</w:t>
      </w:r>
      <w:r>
        <w:t xml:space="preserve">. Wiley.</w:t>
      </w:r>
    </w:p>
    <w:bookmarkEnd w:id="257"/>
    <w:bookmarkStart w:id="258"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58"/>
    <w:bookmarkStart w:id="260" w:name="ref-Kagan1962"/>
    <w:p>
      <w:pPr>
        <w:pStyle w:val="Bibliography"/>
      </w:pPr>
      <w:r>
        <w:t xml:space="preserve">Kagan, J., &amp; Moss, H. A. (1962).</w:t>
      </w:r>
      <w:r>
        <w:t xml:space="preserve"> </w:t>
      </w:r>
      <w:r>
        <w:rPr>
          <w:i/>
          <w:iCs/>
        </w:rPr>
        <w:t xml:space="preserve">Birth to maturity:</w:t>
      </w:r>
      <w:r>
        <w:rPr>
          <w:i/>
          <w:iCs/>
        </w:rPr>
        <w:t xml:space="preserve"> </w:t>
      </w:r>
      <w:r>
        <w:rPr>
          <w:i/>
          <w:iCs/>
        </w:rPr>
        <w:t xml:space="preserve">A</w:t>
      </w:r>
      <w:r>
        <w:rPr>
          <w:i/>
          <w:iCs/>
        </w:rPr>
        <w:t xml:space="preserve"> </w:t>
      </w:r>
      <w:r>
        <w:rPr>
          <w:i/>
          <w:iCs/>
        </w:rPr>
        <w:t xml:space="preserve">study in psychological development</w:t>
      </w:r>
      <w:r>
        <w:t xml:space="preserve">. Wiley.</w:t>
      </w:r>
      <w:r>
        <w:t xml:space="preserve"> </w:t>
      </w:r>
      <w:hyperlink r:id="rId259">
        <w:r>
          <w:rPr>
            <w:rStyle w:val="Hyperlink"/>
          </w:rPr>
          <w:t xml:space="preserve">https://doi.org/10.1037/13129-000</w:t>
        </w:r>
      </w:hyperlink>
    </w:p>
    <w:bookmarkEnd w:id="260"/>
    <w:bookmarkStart w:id="262" w:name="ref-Keijsers2012"/>
    <w:p>
      <w:pPr>
        <w:pStyle w:val="Bibliography"/>
      </w:pPr>
      <w:r>
        <w:t xml:space="preserve">Keijsers, L., Loeber, R., Branje, S., &amp; Meeus, W. (2012). Parent-child relationships of boys in different offending trajectories.</w:t>
      </w:r>
      <w:r>
        <w:t xml:space="preserve"> </w:t>
      </w:r>
      <w:r>
        <w:t xml:space="preserve">A</w:t>
      </w:r>
      <w:r>
        <w:t xml:space="preserve"> </w:t>
      </w:r>
      <w:r>
        <w:t xml:space="preserve">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61">
        <w:r>
          <w:rPr>
            <w:rStyle w:val="Hyperlink"/>
          </w:rPr>
          <w:t xml:space="preserve">https://doi.org/10.1111/j.1469-7610.2012.02585.x</w:t>
        </w:r>
      </w:hyperlink>
    </w:p>
    <w:bookmarkEnd w:id="262"/>
    <w:bookmarkStart w:id="264" w:name="ref-Kim2009"/>
    <w:p>
      <w:pPr>
        <w:pStyle w:val="Bibliography"/>
      </w:pPr>
      <w:r>
        <w:t xml:space="preserve">Kim, H. K., Capaldi, D. M., Pears, K. C., Kerr, D. C. R., &amp; Owen, L. D. (2009). Intergenerational transmission of internalising and externalising behaviours across three generations:</w:t>
      </w:r>
      <w:r>
        <w:t xml:space="preserve"> </w:t>
      </w:r>
      <w:r>
        <w:t xml:space="preserve">Gender</w:t>
      </w:r>
      <w:r>
        <w:t xml:space="preserve">-specific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63">
        <w:r>
          <w:rPr>
            <w:rStyle w:val="Hyperlink"/>
          </w:rPr>
          <w:t xml:space="preserve">https://doi.org/10.1002/cbm.708</w:t>
        </w:r>
      </w:hyperlink>
    </w:p>
    <w:bookmarkEnd w:id="264"/>
    <w:bookmarkStart w:id="266"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65">
        <w:r>
          <w:rPr>
            <w:rStyle w:val="Hyperlink"/>
          </w:rPr>
          <w:t xml:space="preserve">https://doi.org/10.1111/jora.12252</w:t>
        </w:r>
      </w:hyperlink>
    </w:p>
    <w:bookmarkEnd w:id="266"/>
    <w:bookmarkStart w:id="268" w:name="ref-Kliem2018"/>
    <w:p>
      <w:pPr>
        <w:pStyle w:val="Bibliography"/>
      </w:pPr>
      <w:r>
        <w:t xml:space="preserve">Kliem, S., Heinrichs, N., Lohmann, A., Bussing, R., Schwarzer, G., &amp; Briegel, W. (2018). Dimensional latent structure of early disruptive behavior disorders:</w:t>
      </w:r>
      <w:r>
        <w:t xml:space="preserve"> </w:t>
      </w:r>
      <w:r>
        <w:t xml:space="preserve">A</w:t>
      </w:r>
      <w:r>
        <w:t xml:space="preserve"> </w:t>
      </w:r>
      <w:r>
        <w:t xml:space="preserve">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67">
        <w:r>
          <w:rPr>
            <w:rStyle w:val="Hyperlink"/>
          </w:rPr>
          <w:t xml:space="preserve">https://doi.org/10.1007/s10802-017-0383-5</w:t>
        </w:r>
      </w:hyperlink>
    </w:p>
    <w:bookmarkEnd w:id="268"/>
    <w:bookmarkStart w:id="270"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69">
        <w:r>
          <w:rPr>
            <w:rStyle w:val="Hyperlink"/>
          </w:rPr>
          <w:t xml:space="preserve">https://doi.org/10.1007/s10802-021-00885-y</w:t>
        </w:r>
      </w:hyperlink>
    </w:p>
    <w:bookmarkEnd w:id="270"/>
    <w:bookmarkStart w:id="272"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71">
        <w:r>
          <w:rPr>
            <w:rStyle w:val="Hyperlink"/>
          </w:rPr>
          <w:t xml:space="preserve">https://doi.org/10.1111/j.1750-8606.2009.00112.x</w:t>
        </w:r>
      </w:hyperlink>
    </w:p>
    <w:bookmarkEnd w:id="272"/>
    <w:bookmarkStart w:id="274" w:name="ref-Kolen2014"/>
    <w:p>
      <w:pPr>
        <w:pStyle w:val="Bibliography"/>
      </w:pPr>
      <w:r>
        <w:t xml:space="preserve">Kolen, M. J., &amp; Brennan, R. L. (2014).</w:t>
      </w:r>
      <w:r>
        <w:t xml:space="preserve"> </w:t>
      </w:r>
      <w:r>
        <w:rPr>
          <w:i/>
          <w:iCs/>
        </w:rPr>
        <w:t xml:space="preserve">Test equating, scaling, and linking:</w:t>
      </w:r>
      <w:r>
        <w:rPr>
          <w:i/>
          <w:iCs/>
        </w:rPr>
        <w:t xml:space="preserve"> </w:t>
      </w:r>
      <w:r>
        <w:rPr>
          <w:i/>
          <w:iCs/>
        </w:rPr>
        <w:t xml:space="preserve">Methods</w:t>
      </w:r>
      <w:r>
        <w:rPr>
          <w:i/>
          <w:iCs/>
        </w:rPr>
        <w:t xml:space="preserve"> </w:t>
      </w:r>
      <w:r>
        <w:rPr>
          <w:i/>
          <w:iCs/>
        </w:rPr>
        <w:t xml:space="preserve">and practices</w:t>
      </w:r>
      <w:r>
        <w:t xml:space="preserve"> </w:t>
      </w:r>
      <w:r>
        <w:t xml:space="preserve">(3rd ed., p. 566). Springer.</w:t>
      </w:r>
      <w:r>
        <w:t xml:space="preserve"> </w:t>
      </w:r>
      <w:hyperlink r:id="rId273">
        <w:r>
          <w:rPr>
            <w:rStyle w:val="Hyperlink"/>
          </w:rPr>
          <w:t xml:space="preserve">https://doi.org/10.1007/978-1-4939-0317-7</w:t>
        </w:r>
      </w:hyperlink>
    </w:p>
    <w:bookmarkEnd w:id="274"/>
    <w:bookmarkStart w:id="275"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75"/>
    <w:bookmarkStart w:id="277"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w:t>
      </w:r>
      <w:r>
        <w:t xml:space="preserve"> </w:t>
      </w:r>
      <w:r>
        <w:t xml:space="preserve">A</w:t>
      </w:r>
      <w:r>
        <w:t xml:space="preserve"> </w:t>
      </w:r>
      <w:r>
        <w:t xml:space="preserve">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76">
        <w:r>
          <w:rPr>
            <w:rStyle w:val="Hyperlink"/>
          </w:rPr>
          <w:t xml:space="preserve">https://doi.org/10.1037/abn0000258</w:t>
        </w:r>
      </w:hyperlink>
    </w:p>
    <w:bookmarkEnd w:id="277"/>
    <w:bookmarkStart w:id="279" w:name="ref-Kraemer2003"/>
    <w:p>
      <w:pPr>
        <w:pStyle w:val="Bibliography"/>
      </w:pPr>
      <w:r>
        <w:t xml:space="preserve">Kraemer, H. C., Measelle, J. R., Ablow, J. C., Essex, M. J., Boyce, W. T., &amp; Kupfer, D. J. (2003). A new approach to integrating data from multiple informants in psychiatric assessment and research:</w:t>
      </w:r>
      <w:r>
        <w:t xml:space="preserve"> </w:t>
      </w:r>
      <w:r>
        <w:t xml:space="preserve">Mixing</w:t>
      </w:r>
      <w:r>
        <w:t xml:space="preserve"> </w:t>
      </w:r>
      <w:r>
        <w:t xml:space="preserve">and matching contexts and perspectives.</w:t>
      </w:r>
      <w:r>
        <w:t xml:space="preserve"> </w:t>
      </w:r>
      <w:r>
        <w:rPr>
          <w:i/>
          <w:iCs/>
        </w:rPr>
        <w:t xml:space="preserve">American Journal of Psychiatry</w:t>
      </w:r>
      <w:r>
        <w:t xml:space="preserve">,</w:t>
      </w:r>
      <w:r>
        <w:t xml:space="preserve"> </w:t>
      </w:r>
      <w:r>
        <w:rPr>
          <w:i/>
          <w:iCs/>
        </w:rPr>
        <w:t xml:space="preserve">160</w:t>
      </w:r>
      <w:r>
        <w:t xml:space="preserve">(9), 1566–1577.</w:t>
      </w:r>
      <w:r>
        <w:t xml:space="preserve"> </w:t>
      </w:r>
      <w:hyperlink r:id="rId278">
        <w:r>
          <w:rPr>
            <w:rStyle w:val="Hyperlink"/>
          </w:rPr>
          <w:t xml:space="preserve">https://doi.org/10.1176/appi.ajp.160.9.1566</w:t>
        </w:r>
      </w:hyperlink>
    </w:p>
    <w:bookmarkEnd w:id="279"/>
    <w:bookmarkStart w:id="281" w:name="ref-Krueger2016"/>
    <w:p>
      <w:pPr>
        <w:pStyle w:val="Bibliography"/>
      </w:pPr>
      <w:r>
        <w:t xml:space="preserve">Krueger, R. F., &amp; DeYoung, C. G. (2016). The</w:t>
      </w:r>
      <w:r>
        <w:t xml:space="preserve"> </w:t>
      </w:r>
      <w:r>
        <w:t xml:space="preserve">RDoC</w:t>
      </w:r>
      <w:r>
        <w:t xml:space="preserve"> </w:t>
      </w:r>
      <w:r>
        <w:t xml:space="preserve">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80">
        <w:r>
          <w:rPr>
            <w:rStyle w:val="Hyperlink"/>
          </w:rPr>
          <w:t xml:space="preserve">https://doi.org/10.1111/psyp.12551</w:t>
        </w:r>
      </w:hyperlink>
    </w:p>
    <w:bookmarkEnd w:id="281"/>
    <w:bookmarkStart w:id="283"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w:t>
      </w:r>
      <w:r>
        <w:t xml:space="preserve"> </w:t>
      </w:r>
      <w:r>
        <w:t xml:space="preserve">Externalizing</w:t>
      </w:r>
      <w:r>
        <w:t xml:space="preserve"> </w:t>
      </w:r>
      <w:r>
        <w:t xml:space="preserve">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82">
        <w:r>
          <w:rPr>
            <w:rStyle w:val="Hyperlink"/>
          </w:rPr>
          <w:t xml:space="preserve">https://doi.org/10.1002/wps.20844</w:t>
        </w:r>
      </w:hyperlink>
    </w:p>
    <w:bookmarkEnd w:id="283"/>
    <w:bookmarkStart w:id="285" w:name="ref-Krueger2011"/>
    <w:p>
      <w:pPr>
        <w:pStyle w:val="Bibliography"/>
      </w:pPr>
      <w:r>
        <w:t xml:space="preserve">Krueger, R. F., &amp; Markon, K. E. (2011). A dimensional-spectrum model of psychopathology:</w:t>
      </w:r>
      <w:r>
        <w:t xml:space="preserve"> </w:t>
      </w:r>
      <w:r>
        <w:t xml:space="preserve">Progress</w:t>
      </w:r>
      <w:r>
        <w:t xml:space="preserve"> </w:t>
      </w:r>
      <w:r>
        <w:t xml:space="preserve">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84">
        <w:r>
          <w:rPr>
            <w:rStyle w:val="Hyperlink"/>
          </w:rPr>
          <w:t xml:space="preserve">https://doi.org/10.1001/archgenpsychiatry.2010.188</w:t>
        </w:r>
      </w:hyperlink>
    </w:p>
    <w:bookmarkEnd w:id="285"/>
    <w:bookmarkStart w:id="287" w:name="ref-Krueger2007"/>
    <w:p>
      <w:pPr>
        <w:pStyle w:val="Bibliography"/>
      </w:pPr>
      <w:r>
        <w:t xml:space="preserve">Krueger, R. F., Markon, K. E., Patrick, C. J., Benning, S. D., &amp; Kramer, M. D. (2007). Linking antisocial behavior, substance use, and personality:</w:t>
      </w:r>
      <w:r>
        <w:t xml:space="preserve"> </w:t>
      </w:r>
      <w:r>
        <w:t xml:space="preserve">An</w:t>
      </w:r>
      <w:r>
        <w:t xml:space="preserve"> </w:t>
      </w:r>
      <w:r>
        <w:t xml:space="preserve">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86">
        <w:r>
          <w:rPr>
            <w:rStyle w:val="Hyperlink"/>
          </w:rPr>
          <w:t xml:space="preserve">https://doi.org/10.1037/0021-843X.116.4.645</w:t>
        </w:r>
      </w:hyperlink>
    </w:p>
    <w:bookmarkEnd w:id="287"/>
    <w:bookmarkStart w:id="289" w:name="ref-Krueger2005"/>
    <w:p>
      <w:pPr>
        <w:pStyle w:val="Bibliography"/>
      </w:pPr>
      <w:r>
        <w:t xml:space="preserve">Krueger, R. F., Markon, K. E., Patrick, C. J., &amp; Iacono, W. G. (2005). Externalizing psychopathology in adulthood:</w:t>
      </w:r>
      <w:r>
        <w:t xml:space="preserve"> </w:t>
      </w:r>
      <w:r>
        <w:t xml:space="preserve">A</w:t>
      </w:r>
      <w:r>
        <w:t xml:space="preserve"> </w:t>
      </w:r>
      <w:r>
        <w:t xml:space="preserve">dimensional-spectrum conceptualization and its implications for</w:t>
      </w:r>
      <w:r>
        <w:t xml:space="preserve"> </w:t>
      </w:r>
      <w:r>
        <w:t xml:space="preserve">DSM-V</w:t>
      </w:r>
      <w:r>
        <w:t xml:space="preserve">.</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88">
        <w:r>
          <w:rPr>
            <w:rStyle w:val="Hyperlink"/>
          </w:rPr>
          <w:t xml:space="preserve">https://doi.org/10.1037/0021-843x.114.4.537</w:t>
        </w:r>
      </w:hyperlink>
    </w:p>
    <w:bookmarkEnd w:id="289"/>
    <w:bookmarkStart w:id="291"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90">
        <w:r>
          <w:rPr>
            <w:rStyle w:val="Hyperlink"/>
          </w:rPr>
          <w:t xml:space="preserve">https://doi.org/10.1037/1040-3590.16.2.107</w:t>
        </w:r>
      </w:hyperlink>
    </w:p>
    <w:bookmarkEnd w:id="291"/>
    <w:bookmarkStart w:id="293"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92">
        <w:r>
          <w:rPr>
            <w:rStyle w:val="Hyperlink"/>
          </w:rPr>
          <w:t xml:space="preserve">https://doi.org/10.1016/S0005-7967(02)00016-5</w:t>
        </w:r>
      </w:hyperlink>
    </w:p>
    <w:bookmarkEnd w:id="293"/>
    <w:bookmarkStart w:id="295"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94">
        <w:r>
          <w:rPr>
            <w:rStyle w:val="Hyperlink"/>
          </w:rPr>
          <w:t xml:space="preserve">https://doi.org/10.1080/00273171.2021.1941730</w:t>
        </w:r>
      </w:hyperlink>
    </w:p>
    <w:bookmarkEnd w:id="295"/>
    <w:bookmarkStart w:id="297"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96">
        <w:r>
          <w:rPr>
            <w:rStyle w:val="Hyperlink"/>
          </w:rPr>
          <w:t xml:space="preserve">https://doi.org/10.1017/S0954579410000301</w:t>
        </w:r>
      </w:hyperlink>
    </w:p>
    <w:bookmarkEnd w:id="297"/>
    <w:bookmarkStart w:id="299"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98">
        <w:r>
          <w:rPr>
            <w:rStyle w:val="Hyperlink"/>
          </w:rPr>
          <w:t xml:space="preserve">https://doi.org/10.1007/978-3-030-68429-7</w:t>
        </w:r>
      </w:hyperlink>
    </w:p>
    <w:bookmarkEnd w:id="299"/>
    <w:bookmarkStart w:id="300" w:name="ref-Little2024"/>
    <w:p>
      <w:pPr>
        <w:pStyle w:val="Bibliography"/>
      </w:pPr>
      <w:r>
        <w:t xml:space="preserve">Little, T. D. (2024).</w:t>
      </w:r>
      <w:r>
        <w:t xml:space="preserve"> </w:t>
      </w:r>
      <w:r>
        <w:rPr>
          <w:i/>
          <w:iCs/>
        </w:rPr>
        <w:t xml:space="preserve">Longitudinal structural equation modeling</w:t>
      </w:r>
      <w:r>
        <w:t xml:space="preserve"> </w:t>
      </w:r>
      <w:r>
        <w:t xml:space="preserve">(2nd ed.). Guilford Publications.</w:t>
      </w:r>
    </w:p>
    <w:bookmarkEnd w:id="300"/>
    <w:bookmarkStart w:id="302" w:name="ref-Makol2025"/>
    <w:p>
      <w:pPr>
        <w:pStyle w:val="Bibliography"/>
      </w:pPr>
      <w:r>
        <w:t xml:space="preserve">Makol, B. A., Yang, J., Wang, M., &amp; De Los Reyes, A. (2025).</w:t>
      </w:r>
      <w:r>
        <w:t xml:space="preserve"> </w:t>
      </w:r>
      <w:r>
        <w:rPr>
          <w:i/>
          <w:iCs/>
        </w:rPr>
        <w:t xml:space="preserve">Youth development in context:</w:t>
      </w:r>
      <w:r>
        <w:rPr>
          <w:i/>
          <w:iCs/>
        </w:rPr>
        <w:t xml:space="preserve"> </w:t>
      </w:r>
      <w:r>
        <w:rPr>
          <w:i/>
          <w:iCs/>
        </w:rPr>
        <w:t xml:space="preserve">Integrating</w:t>
      </w:r>
      <w:r>
        <w:rPr>
          <w:i/>
          <w:iCs/>
        </w:rPr>
        <w:t xml:space="preserve"> </w:t>
      </w:r>
      <w:r>
        <w:rPr>
          <w:i/>
          <w:iCs/>
        </w:rPr>
        <w:t xml:space="preserve">multiple informants to assess behavior</w:t>
      </w:r>
      <w:r>
        <w:t xml:space="preserve">. Springer Nature Switzerland.</w:t>
      </w:r>
      <w:r>
        <w:t xml:space="preserve"> </w:t>
      </w:r>
      <w:hyperlink r:id="rId301">
        <w:r>
          <w:rPr>
            <w:rStyle w:val="Hyperlink"/>
          </w:rPr>
          <w:t xml:space="preserve">https://doi.org/10.1007/978-3-031-80549-3</w:t>
        </w:r>
      </w:hyperlink>
    </w:p>
    <w:bookmarkEnd w:id="302"/>
    <w:bookmarkStart w:id="304" w:name="ref-Markon2011"/>
    <w:p>
      <w:pPr>
        <w:pStyle w:val="Bibliography"/>
      </w:pPr>
      <w:r>
        <w:t xml:space="preserve">Markon, K. E., Chmielewski, M., &amp; Miller, C. J. (2011). The reliability and validity of discrete and continuous measures of psychopathology:</w:t>
      </w:r>
      <w:r>
        <w:t xml:space="preserve"> </w:t>
      </w:r>
      <w:r>
        <w:t xml:space="preserve">A</w:t>
      </w:r>
      <w:r>
        <w:t xml:space="preserve"> </w:t>
      </w:r>
      <w:r>
        <w:t xml:space="preserve">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303">
        <w:r>
          <w:rPr>
            <w:rStyle w:val="Hyperlink"/>
          </w:rPr>
          <w:t xml:space="preserve">https://doi.org/10.1037/a0023678</w:t>
        </w:r>
      </w:hyperlink>
    </w:p>
    <w:bookmarkEnd w:id="304"/>
    <w:bookmarkStart w:id="306" w:name="ref-Markon2005"/>
    <w:p>
      <w:pPr>
        <w:pStyle w:val="Bibliography"/>
      </w:pPr>
      <w:r>
        <w:t xml:space="preserve">Markon, K. E., &amp; Krueger, R. F. (2005). Categorical and continuous models of liability to externalizing disorders:</w:t>
      </w:r>
      <w:r>
        <w:t xml:space="preserve"> </w:t>
      </w:r>
      <w:r>
        <w:t xml:space="preserve">A</w:t>
      </w:r>
      <w:r>
        <w:t xml:space="preserve"> </w:t>
      </w:r>
      <w:r>
        <w:t xml:space="preserve">direct comparison in</w:t>
      </w:r>
      <w:r>
        <w:t xml:space="preserve"> </w:t>
      </w:r>
      <w:r>
        <w:t xml:space="preserve">NESARC</w:t>
      </w:r>
      <w:r>
        <w:t xml:space="preserve">.</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305">
        <w:r>
          <w:rPr>
            <w:rStyle w:val="Hyperlink"/>
          </w:rPr>
          <w:t xml:space="preserve">https://doi.org/10.1001/archpsyc.62.12.1352</w:t>
        </w:r>
      </w:hyperlink>
    </w:p>
    <w:bookmarkEnd w:id="306"/>
    <w:bookmarkStart w:id="308" w:name="ref-Masche2004"/>
    <w:p>
      <w:pPr>
        <w:pStyle w:val="Bibliography"/>
      </w:pPr>
      <w:r>
        <w:t xml:space="preserve">Masche, J. G., &amp; Dulmen, M. H. M. van. (2004). Advances in disentangling age, cohort, and time effects:</w:t>
      </w:r>
      <w:r>
        <w:t xml:space="preserve"> </w:t>
      </w:r>
      <w:r>
        <w:t xml:space="preserve">No</w:t>
      </w:r>
      <w:r>
        <w:t xml:space="preserve"> </w:t>
      </w:r>
      <w:r>
        <w:t xml:space="preserve">quadrature of the circle, but a help.</w:t>
      </w:r>
      <w:r>
        <w:t xml:space="preserve"> </w:t>
      </w:r>
      <w:r>
        <w:rPr>
          <w:i/>
          <w:iCs/>
        </w:rPr>
        <w:t xml:space="preserve">Developmental Review</w:t>
      </w:r>
      <w:r>
        <w:t xml:space="preserve">,</w:t>
      </w:r>
      <w:r>
        <w:t xml:space="preserve"> </w:t>
      </w:r>
      <w:r>
        <w:rPr>
          <w:i/>
          <w:iCs/>
        </w:rPr>
        <w:t xml:space="preserve">24</w:t>
      </w:r>
      <w:r>
        <w:t xml:space="preserve">(3), 322–342.</w:t>
      </w:r>
      <w:r>
        <w:t xml:space="preserve"> </w:t>
      </w:r>
      <w:hyperlink r:id="rId307">
        <w:r>
          <w:rPr>
            <w:rStyle w:val="Hyperlink"/>
          </w:rPr>
          <w:t xml:space="preserve">https://doi.org/10.1016/j.dr.2004.04.002</w:t>
        </w:r>
      </w:hyperlink>
    </w:p>
    <w:bookmarkEnd w:id="308"/>
    <w:bookmarkStart w:id="309" w:name="ref-McArdle2011"/>
    <w:p>
      <w:pPr>
        <w:pStyle w:val="Bibliography"/>
      </w:pPr>
      <w:r>
        <w:t xml:space="preserve">McArdle, J. J., &amp; Grimm, K. J. (2011). An empirical example of change analysis by linking longitudinal item response data from multiple tests. In A. A. von Davier (Ed.),</w:t>
      </w:r>
      <w:r>
        <w:t xml:space="preserve"> </w:t>
      </w:r>
      <w:r>
        <w:rPr>
          <w:i/>
          <w:iCs/>
        </w:rPr>
        <w:t xml:space="preserve">Statistical models for test equating, scaling, and linking</w:t>
      </w:r>
      <w:r>
        <w:t xml:space="preserve"> </w:t>
      </w:r>
      <w:r>
        <w:t xml:space="preserve">(pp. 71–88). Springer Science &amp; Business Media.</w:t>
      </w:r>
    </w:p>
    <w:bookmarkEnd w:id="309"/>
    <w:bookmarkStart w:id="311" w:name="ref-McArdle2009"/>
    <w:p>
      <w:pPr>
        <w:pStyle w:val="Bibliography"/>
      </w:pPr>
      <w:r>
        <w:t xml:space="preserve">McArdle, J. J., Grimm, K. J., Hamagami, F., Bowles, R. P., &amp; Meredith, W. (2009). Modeling life-span growth curves of cognition using longitudinal data with multiple samples and changing scales of measurement.</w:t>
      </w:r>
      <w:r>
        <w:t xml:space="preserve"> </w:t>
      </w:r>
      <w:r>
        <w:rPr>
          <w:i/>
          <w:iCs/>
        </w:rPr>
        <w:t xml:space="preserve">Psychological Methods</w:t>
      </w:r>
      <w:r>
        <w:t xml:space="preserve">,</w:t>
      </w:r>
      <w:r>
        <w:t xml:space="preserve"> </w:t>
      </w:r>
      <w:r>
        <w:rPr>
          <w:i/>
          <w:iCs/>
        </w:rPr>
        <w:t xml:space="preserve">14</w:t>
      </w:r>
      <w:r>
        <w:t xml:space="preserve">(2), 126–149.</w:t>
      </w:r>
      <w:r>
        <w:t xml:space="preserve"> </w:t>
      </w:r>
      <w:hyperlink r:id="rId310">
        <w:r>
          <w:rPr>
            <w:rStyle w:val="Hyperlink"/>
          </w:rPr>
          <w:t xml:space="preserve">https://doi.org/10.1037/a0015857</w:t>
        </w:r>
      </w:hyperlink>
    </w:p>
    <w:bookmarkEnd w:id="311"/>
    <w:bookmarkStart w:id="313" w:name="ref-McDaniel2023"/>
    <w:p>
      <w:pPr>
        <w:pStyle w:val="Bibliography"/>
      </w:pPr>
      <w:r>
        <w:t xml:space="preserve">McDaniel, H. L., Saavedra, L. M., Morgan-López, A. A., Bradshaw, C. P., Lochman, J. E., Kaihoi, C. A., Powell, N. P., Qu, L., &amp; Yaros, A. C. (2023). Harmonizing social, emotional, and behavioral constructs in prevention science:</w:t>
      </w:r>
      <w:r>
        <w:t xml:space="preserve"> </w:t>
      </w:r>
      <w:r>
        <w:t xml:space="preserve">Digging</w:t>
      </w:r>
      <w:r>
        <w:t xml:space="preserve"> </w:t>
      </w:r>
      <w:r>
        <w:t xml:space="preserve">into the weeds of aligning disparate measures.</w:t>
      </w:r>
      <w:r>
        <w:t xml:space="preserve"> </w:t>
      </w:r>
      <w:r>
        <w:rPr>
          <w:i/>
          <w:iCs/>
        </w:rPr>
        <w:t xml:space="preserve">Prevention Science</w:t>
      </w:r>
      <w:r>
        <w:t xml:space="preserve">.</w:t>
      </w:r>
      <w:r>
        <w:t xml:space="preserve"> </w:t>
      </w:r>
      <w:hyperlink r:id="rId312">
        <w:r>
          <w:rPr>
            <w:rStyle w:val="Hyperlink"/>
          </w:rPr>
          <w:t xml:space="preserve">https://doi.org/10.1007/s11121-022-01467-0</w:t>
        </w:r>
      </w:hyperlink>
    </w:p>
    <w:bookmarkEnd w:id="313"/>
    <w:bookmarkStart w:id="315" w:name="ref-McDermott2013"/>
    <w:p>
      <w:pPr>
        <w:pStyle w:val="Bibliography"/>
      </w:pPr>
      <w:r>
        <w:t xml:space="preserve">McDermott, P. A., Watkins, M. W., Rovine, M. J., &amp; Rikoon, S. H. (2013). Assessing changes in socioemotional adjustment across early school transitions―</w:t>
      </w:r>
      <w:r>
        <w:t xml:space="preserve">New</w:t>
      </w:r>
      <w:r>
        <w:t xml:space="preserve"> </w:t>
      </w:r>
      <w:r>
        <w:t xml:space="preserve">national scales for children at risk.</w:t>
      </w:r>
      <w:r>
        <w:t xml:space="preserve"> </w:t>
      </w:r>
      <w:r>
        <w:rPr>
          <w:i/>
          <w:iCs/>
        </w:rPr>
        <w:t xml:space="preserve">Journal of School Psychology</w:t>
      </w:r>
      <w:r>
        <w:t xml:space="preserve">,</w:t>
      </w:r>
      <w:r>
        <w:t xml:space="preserve"> </w:t>
      </w:r>
      <w:r>
        <w:rPr>
          <w:i/>
          <w:iCs/>
        </w:rPr>
        <w:t xml:space="preserve">51</w:t>
      </w:r>
      <w:r>
        <w:t xml:space="preserve">(1), 97–115.</w:t>
      </w:r>
      <w:r>
        <w:t xml:space="preserve"> </w:t>
      </w:r>
      <w:hyperlink r:id="rId314">
        <w:r>
          <w:rPr>
            <w:rStyle w:val="Hyperlink"/>
          </w:rPr>
          <w:t xml:space="preserve">https://doi.org/10.1016/j.jsp.2012.10.002</w:t>
        </w:r>
      </w:hyperlink>
    </w:p>
    <w:bookmarkEnd w:id="315"/>
    <w:bookmarkStart w:id="317" w:name="ref-Miller2009"/>
    <w:p>
      <w:pPr>
        <w:pStyle w:val="Bibliography"/>
      </w:pPr>
      <w:r>
        <w:t xml:space="preserve">Miller, J. L., Vaillancourt, T., &amp; Boyle, M. H. (2009). Examining the heterotypic continuity of aggression using teacher reports:</w:t>
      </w:r>
      <w:r>
        <w:t xml:space="preserve"> </w:t>
      </w:r>
      <w:r>
        <w:t xml:space="preserve">Results</w:t>
      </w:r>
      <w:r>
        <w:t xml:space="preserve"> </w:t>
      </w:r>
      <w:r>
        <w:t xml:space="preserve">from a national</w:t>
      </w:r>
      <w:r>
        <w:t xml:space="preserve"> </w:t>
      </w:r>
      <w:r>
        <w:t xml:space="preserve">Canadian</w:t>
      </w:r>
      <w:r>
        <w:t xml:space="preserve"> </w:t>
      </w:r>
      <w:r>
        <w:t xml:space="preserve">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316">
        <w:r>
          <w:rPr>
            <w:rStyle w:val="Hyperlink"/>
          </w:rPr>
          <w:t xml:space="preserve">https://doi.org/10.1111/j.1467-9507.2008.00480.x</w:t>
        </w:r>
      </w:hyperlink>
    </w:p>
    <w:bookmarkEnd w:id="317"/>
    <w:bookmarkStart w:id="318" w:name="ref-Millsap2011"/>
    <w:p>
      <w:pPr>
        <w:pStyle w:val="Bibliography"/>
      </w:pPr>
      <w:r>
        <w:t xml:space="preserve">Millsap, R. E. (2011).</w:t>
      </w:r>
      <w:r>
        <w:t xml:space="preserve"> </w:t>
      </w:r>
      <w:r>
        <w:rPr>
          <w:i/>
          <w:iCs/>
        </w:rPr>
        <w:t xml:space="preserve">Statistical approaches to measurement invariance</w:t>
      </w:r>
      <w:r>
        <w:t xml:space="preserve">. Taylor &amp; Francis.</w:t>
      </w:r>
    </w:p>
    <w:bookmarkEnd w:id="318"/>
    <w:bookmarkStart w:id="320"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319">
        <w:r>
          <w:rPr>
            <w:rStyle w:val="Hyperlink"/>
          </w:rPr>
          <w:t xml:space="preserve">https://news.harvard.edu/gazette/story/2017/04/over-nearly-80-years-harvard-study-has-been-showing-how-to-live-a-healthy-and-happy-life/</w:t>
        </w:r>
      </w:hyperlink>
    </w:p>
    <w:bookmarkEnd w:id="320"/>
    <w:bookmarkStart w:id="322" w:name="ref-Moeller2015"/>
    <w:p>
      <w:pPr>
        <w:pStyle w:val="Bibliography"/>
      </w:pPr>
      <w:r>
        <w:t xml:space="preserve">Moeller, J. (2015). A word on standardization in longitudinal studies:</w:t>
      </w:r>
      <w:r>
        <w:t xml:space="preserve"> </w:t>
      </w:r>
      <w:r>
        <w:t xml:space="preserve">Don’t</w:t>
      </w:r>
      <w:r>
        <w:t xml:space="preserve">.</w:t>
      </w:r>
      <w:r>
        <w:t xml:space="preserve"> </w:t>
      </w:r>
      <w:r>
        <w:rPr>
          <w:i/>
          <w:iCs/>
        </w:rPr>
        <w:t xml:space="preserve">Frontiers in Psychology</w:t>
      </w:r>
      <w:r>
        <w:t xml:space="preserve">,</w:t>
      </w:r>
      <w:r>
        <w:t xml:space="preserve"> </w:t>
      </w:r>
      <w:r>
        <w:rPr>
          <w:i/>
          <w:iCs/>
        </w:rPr>
        <w:t xml:space="preserve">6</w:t>
      </w:r>
      <w:r>
        <w:t xml:space="preserve">(1389), 1–4.</w:t>
      </w:r>
      <w:r>
        <w:t xml:space="preserve"> </w:t>
      </w:r>
      <w:hyperlink r:id="rId321">
        <w:r>
          <w:rPr>
            <w:rStyle w:val="Hyperlink"/>
          </w:rPr>
          <w:t xml:space="preserve">https://doi.org/10.3389/fpsyg.2015.01389</w:t>
        </w:r>
      </w:hyperlink>
    </w:p>
    <w:bookmarkEnd w:id="322"/>
    <w:bookmarkStart w:id="324" w:name="ref-Moffitt1993"/>
    <w:p>
      <w:pPr>
        <w:pStyle w:val="Bibliography"/>
      </w:pPr>
      <w:r>
        <w:t xml:space="preserve">Moffitt, T. E. (1993). Adolescence-limited and life-course-persistent antisocial behavior:</w:t>
      </w:r>
      <w:r>
        <w:t xml:space="preserve"> </w:t>
      </w:r>
      <w:r>
        <w:t xml:space="preserve">A</w:t>
      </w:r>
      <w:r>
        <w:t xml:space="preserve"> </w:t>
      </w:r>
      <w:r>
        <w:t xml:space="preserve">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323">
        <w:r>
          <w:rPr>
            <w:rStyle w:val="Hyperlink"/>
          </w:rPr>
          <w:t xml:space="preserve">https://doi.org/10.1037/0033-295X.100.4.674</w:t>
        </w:r>
      </w:hyperlink>
    </w:p>
    <w:bookmarkEnd w:id="324"/>
    <w:bookmarkStart w:id="326"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325">
        <w:r>
          <w:rPr>
            <w:rStyle w:val="Hyperlink"/>
          </w:rPr>
          <w:t xml:space="preserve">https://doi.org/10.1073/pnas.1010076108</w:t>
        </w:r>
      </w:hyperlink>
    </w:p>
    <w:bookmarkEnd w:id="326"/>
    <w:bookmarkStart w:id="328"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327">
        <w:r>
          <w:rPr>
            <w:rStyle w:val="Hyperlink"/>
          </w:rPr>
          <w:t xml:space="preserve">https://doi.org/10.1159/000270073</w:t>
        </w:r>
      </w:hyperlink>
    </w:p>
    <w:bookmarkEnd w:id="328"/>
    <w:bookmarkStart w:id="330" w:name="ref-Murayama2013"/>
    <w:p>
      <w:pPr>
        <w:pStyle w:val="Bibliography"/>
      </w:pPr>
      <w:r>
        <w:t xml:space="preserve">Murayama, K., Pekrun, R., Lichtenfeld, S., &amp; Hofe, R. vom. (2013). Predicting long-term growth in students’ mathematics achievement:</w:t>
      </w:r>
      <w:r>
        <w:t xml:space="preserve"> </w:t>
      </w:r>
      <w:r>
        <w:t xml:space="preserve">The</w:t>
      </w:r>
      <w:r>
        <w:t xml:space="preserve"> </w:t>
      </w:r>
      <w:r>
        <w:t xml:space="preserve">unique contributions of motivation and cognitive strategies.</w:t>
      </w:r>
      <w:r>
        <w:t xml:space="preserve"> </w:t>
      </w:r>
      <w:r>
        <w:rPr>
          <w:i/>
          <w:iCs/>
        </w:rPr>
        <w:t xml:space="preserve">Child Development</w:t>
      </w:r>
      <w:r>
        <w:t xml:space="preserve">,</w:t>
      </w:r>
      <w:r>
        <w:t xml:space="preserve"> </w:t>
      </w:r>
      <w:r>
        <w:rPr>
          <w:i/>
          <w:iCs/>
        </w:rPr>
        <w:t xml:space="preserve">84</w:t>
      </w:r>
      <w:r>
        <w:t xml:space="preserve">(4), 1475–1490.</w:t>
      </w:r>
      <w:r>
        <w:t xml:space="preserve"> </w:t>
      </w:r>
      <w:hyperlink r:id="rId329">
        <w:r>
          <w:rPr>
            <w:rStyle w:val="Hyperlink"/>
          </w:rPr>
          <w:t xml:space="preserve">https://doi.org/10.1111/cdev.12036</w:t>
        </w:r>
      </w:hyperlink>
    </w:p>
    <w:bookmarkEnd w:id="330"/>
    <w:bookmarkStart w:id="332"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331">
        <w:r>
          <w:rPr>
            <w:rStyle w:val="Hyperlink"/>
          </w:rPr>
          <w:t xml:space="preserve">https://doi.org/10.3389/fpsyg.2014.00978</w:t>
        </w:r>
      </w:hyperlink>
    </w:p>
    <w:bookmarkEnd w:id="332"/>
    <w:bookmarkStart w:id="334" w:name="ref-Nicholson2017"/>
    <w:p>
      <w:pPr>
        <w:pStyle w:val="Bibliography"/>
      </w:pPr>
      <w:r>
        <w:t xml:space="preserve">Nicholson, J. S., Deboeck, P. R., &amp; Howard, W. (2017). Attrition in developmental psychology:</w:t>
      </w:r>
      <w:r>
        <w:t xml:space="preserve"> </w:t>
      </w:r>
      <w:r>
        <w:t xml:space="preserve">A</w:t>
      </w:r>
      <w:r>
        <w:t xml:space="preserve"> </w:t>
      </w:r>
      <w:r>
        <w:t xml:space="preserve">review of modern missing data reporting and practices.</w:t>
      </w:r>
      <w:r>
        <w:t xml:space="preserve"> </w:t>
      </w:r>
      <w:r>
        <w:rPr>
          <w:i/>
          <w:iCs/>
        </w:rPr>
        <w:t xml:space="preserve">International Journal of Behavioral Development</w:t>
      </w:r>
      <w:r>
        <w:t xml:space="preserve">,</w:t>
      </w:r>
      <w:r>
        <w:t xml:space="preserve"> </w:t>
      </w:r>
      <w:r>
        <w:rPr>
          <w:i/>
          <w:iCs/>
        </w:rPr>
        <w:t xml:space="preserve">41</w:t>
      </w:r>
      <w:r>
        <w:t xml:space="preserve">(1), 143–153.</w:t>
      </w:r>
      <w:r>
        <w:t xml:space="preserve"> </w:t>
      </w:r>
      <w:hyperlink r:id="rId333">
        <w:r>
          <w:rPr>
            <w:rStyle w:val="Hyperlink"/>
          </w:rPr>
          <w:t xml:space="preserve">https://doi.org/10.1177/0165025415618275</w:t>
        </w:r>
      </w:hyperlink>
    </w:p>
    <w:bookmarkEnd w:id="334"/>
    <w:bookmarkStart w:id="336"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 559–586.</w:t>
      </w:r>
      <w:r>
        <w:t xml:space="preserve"> </w:t>
      </w:r>
      <w:hyperlink r:id="rId335">
        <w:r>
          <w:rPr>
            <w:rStyle w:val="Hyperlink"/>
          </w:rPr>
          <w:t xml:space="preserve">https://doi.org/10.1146/annurev-clinpsy-061324-073435</w:t>
        </w:r>
      </w:hyperlink>
    </w:p>
    <w:bookmarkEnd w:id="336"/>
    <w:bookmarkStart w:id="338" w:name="ref-Odgers2008"/>
    <w:p>
      <w:pPr>
        <w:pStyle w:val="Bibliography"/>
      </w:pPr>
      <w:r>
        <w:t xml:space="preserve">Odgers, C. L., Moffitt, T. E., Broadbent, J. M., Dickson, N., Hancox, R. J., Harrington, H., Poulton, R., Sears, M. R., Thomson, W. M., &amp; Caspi, A. (2008). Female and male antisocial trajectories:</w:t>
      </w:r>
      <w:r>
        <w:t xml:space="preserve"> </w:t>
      </w:r>
      <w:r>
        <w:t xml:space="preserve">From</w:t>
      </w:r>
      <w:r>
        <w:t xml:space="preserve"> </w:t>
      </w:r>
      <w:r>
        <w:t xml:space="preserve">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337">
        <w:r>
          <w:rPr>
            <w:rStyle w:val="Hyperlink"/>
          </w:rPr>
          <w:t xml:space="preserve">https://doi.org/10.1017/S0954579408000333</w:t>
        </w:r>
      </w:hyperlink>
    </w:p>
    <w:bookmarkEnd w:id="338"/>
    <w:bookmarkStart w:id="340" w:name="ref-Oleson2016"/>
    <w:p>
      <w:pPr>
        <w:pStyle w:val="Bibliography"/>
      </w:pPr>
      <w:r>
        <w:t xml:space="preserve">Oleson, J. J., Cavanaugh, J. E., Tomblin, J. B., Walker, E., &amp; Dunn, C. (2016). Combining growth curves when a longitudinal study switches measurement tools.</w:t>
      </w:r>
      <w:r>
        <w:t xml:space="preserve"> </w:t>
      </w:r>
      <w:r>
        <w:rPr>
          <w:i/>
          <w:iCs/>
        </w:rPr>
        <w:t xml:space="preserve">Statistical Methods in Medical Research</w:t>
      </w:r>
      <w:r>
        <w:t xml:space="preserve">,</w:t>
      </w:r>
      <w:r>
        <w:t xml:space="preserve"> </w:t>
      </w:r>
      <w:r>
        <w:rPr>
          <w:i/>
          <w:iCs/>
        </w:rPr>
        <w:t xml:space="preserve">25</w:t>
      </w:r>
      <w:r>
        <w:t xml:space="preserve">(6), 2925–2938.</w:t>
      </w:r>
      <w:r>
        <w:t xml:space="preserve"> </w:t>
      </w:r>
      <w:hyperlink r:id="rId339">
        <w:r>
          <w:rPr>
            <w:rStyle w:val="Hyperlink"/>
          </w:rPr>
          <w:t xml:space="preserve">https://doi.org/10.1177/0962280214534588</w:t>
        </w:r>
      </w:hyperlink>
    </w:p>
    <w:bookmarkEnd w:id="340"/>
    <w:bookmarkStart w:id="342"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341">
        <w:r>
          <w:rPr>
            <w:rStyle w:val="Hyperlink"/>
          </w:rPr>
          <w:t xml:space="preserve">https://doi.org/10.1023/a:1026254005632</w:t>
        </w:r>
      </w:hyperlink>
    </w:p>
    <w:bookmarkEnd w:id="342"/>
    <w:bookmarkStart w:id="344" w:name="ref-Paalman2013"/>
    <w:p>
      <w:pPr>
        <w:pStyle w:val="Bibliography"/>
      </w:pPr>
      <w:r>
        <w:t xml:space="preserve">Paalman, C. H., Terwee, C. B., Jansma, E. P., &amp; Jansen, L. M. C. (2013). Instruments measuring externalizing mental health problems in immigrant ethnic minority youths:</w:t>
      </w:r>
      <w:r>
        <w:t xml:space="preserve"> </w:t>
      </w:r>
      <w:r>
        <w:t xml:space="preserve">A</w:t>
      </w:r>
      <w:r>
        <w:t xml:space="preserve"> </w:t>
      </w:r>
      <w:r>
        <w:t xml:space="preserve">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343">
        <w:r>
          <w:rPr>
            <w:rStyle w:val="Hyperlink"/>
          </w:rPr>
          <w:t xml:space="preserve">https://doi.org/10.1371/journal.pone.0063109</w:t>
        </w:r>
      </w:hyperlink>
    </w:p>
    <w:bookmarkEnd w:id="344"/>
    <w:bookmarkStart w:id="346" w:name="ref-Patterson1993"/>
    <w:p>
      <w:pPr>
        <w:pStyle w:val="Bibliography"/>
      </w:pPr>
      <w:r>
        <w:t xml:space="preserve">Patterson, G. R. (1993). Orderly change in a stable world:</w:t>
      </w:r>
      <w:r>
        <w:t xml:space="preserve"> </w:t>
      </w:r>
      <w:r>
        <w:t xml:space="preserve">The</w:t>
      </w:r>
      <w:r>
        <w:t xml:space="preserve"> </w:t>
      </w:r>
      <w:r>
        <w:t xml:space="preserve">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345">
        <w:r>
          <w:rPr>
            <w:rStyle w:val="Hyperlink"/>
          </w:rPr>
          <w:t xml:space="preserve">https://doi.org/10.1037/0022-006X.61.6.911</w:t>
        </w:r>
      </w:hyperlink>
    </w:p>
    <w:bookmarkEnd w:id="346"/>
    <w:bookmarkStart w:id="348" w:name="ref-Pavlovich2026"/>
    <w:p>
      <w:pPr>
        <w:pStyle w:val="Bibliography"/>
      </w:pPr>
      <w:r>
        <w:t xml:space="preserve">Pavlovich, K., Tiego, J., Constable, T., Fornito, A., &amp; Imaging, M. B. (2026). Assessing the psychometric properties of the</w:t>
      </w:r>
      <w:r>
        <w:t xml:space="preserve"> </w:t>
      </w:r>
      <w:r>
        <w:t xml:space="preserve">Child Behavior Checklist</w:t>
      </w:r>
      <w:r>
        <w:t xml:space="preserve"> </w:t>
      </w:r>
      <w:r>
        <w:t xml:space="preserve">in the</w:t>
      </w:r>
      <w:r>
        <w:t xml:space="preserve"> </w:t>
      </w:r>
      <w:r>
        <w:t xml:space="preserve">ABCD Study</w:t>
      </w:r>
      <w:r>
        <w:t xml:space="preserve">.</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347">
        <w:r>
          <w:rPr>
            <w:rStyle w:val="Hyperlink"/>
          </w:rPr>
          <w:t xml:space="preserve">https://doi.org/10.1111/desc.70216</w:t>
        </w:r>
      </w:hyperlink>
    </w:p>
    <w:bookmarkEnd w:id="348"/>
    <w:bookmarkStart w:id="350" w:name="ref-Petersen2024"/>
    <w:p>
      <w:pPr>
        <w:pStyle w:val="Bibliography"/>
      </w:pPr>
      <w:r>
        <w:t xml:space="preserve">Petersen, I. T. (2024). Reexamining developmental continuity and discontinuity in the 21st century:</w:t>
      </w:r>
      <w:r>
        <w:t xml:space="preserve"> </w:t>
      </w:r>
      <w:r>
        <w:t xml:space="preserve">Better</w:t>
      </w:r>
      <w:r>
        <w:t xml:space="preserve"> </w:t>
      </w:r>
      <w:r>
        <w:t xml:space="preserve">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349">
        <w:r>
          <w:rPr>
            <w:rStyle w:val="Hyperlink"/>
          </w:rPr>
          <w:t xml:space="preserve">https://doi.org/10.1037/dev0001657</w:t>
        </w:r>
      </w:hyperlink>
    </w:p>
    <w:bookmarkEnd w:id="350"/>
    <w:bookmarkStart w:id="351" w:name="ref-PetersenPrinciplesPsychAssessment"/>
    <w:p>
      <w:pPr>
        <w:pStyle w:val="Bibliography"/>
      </w:pPr>
      <w:r>
        <w:t xml:space="preserve">Petersen, I. T. (2026).</w:t>
      </w:r>
      <w:r>
        <w:t xml:space="preserve"> </w:t>
      </w:r>
      <w:r>
        <w:rPr>
          <w:i/>
          <w:iCs/>
        </w:rPr>
        <w:t xml:space="preserve">Principles of psychological assessment:</w:t>
      </w:r>
      <w:r>
        <w:rPr>
          <w:i/>
          <w:iCs/>
        </w:rPr>
        <w:t xml:space="preserve"> </w:t>
      </w:r>
      <w:r>
        <w:rPr>
          <w:i/>
          <w:iCs/>
        </w:rPr>
        <w:t xml:space="preserve">With</w:t>
      </w:r>
      <w:r>
        <w:rPr>
          <w:i/>
          <w:iCs/>
        </w:rPr>
        <w:t xml:space="preserve"> </w:t>
      </w:r>
      <w:r>
        <w:rPr>
          <w:i/>
          <w:iCs/>
        </w:rPr>
        <w:t xml:space="preserve">applied examples in</w:t>
      </w:r>
      <w:r>
        <w:rPr>
          <w:i/>
          <w:iCs/>
        </w:rPr>
        <w:t xml:space="preserve"> </w:t>
      </w:r>
      <w:r>
        <w:rPr>
          <w:i/>
          <w:iCs/>
        </w:rPr>
        <w:t xml:space="preserve">R</w:t>
      </w:r>
      <w:r>
        <w:t xml:space="preserve">. University of Iowa Libraries.</w:t>
      </w:r>
      <w:r>
        <w:t xml:space="preserve"> </w:t>
      </w:r>
      <w:hyperlink r:id="rId127">
        <w:r>
          <w:rPr>
            <w:rStyle w:val="Hyperlink"/>
          </w:rPr>
          <w:t xml:space="preserve">https://doi.org/10.25820/work.007199</w:t>
        </w:r>
      </w:hyperlink>
    </w:p>
    <w:bookmarkEnd w:id="351"/>
    <w:bookmarkStart w:id="352"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57">
        <w:r>
          <w:rPr>
            <w:rStyle w:val="Hyperlink"/>
          </w:rPr>
          <w:t xml:space="preserve">https://doi.org/10.1017/S0954579414000789</w:t>
        </w:r>
      </w:hyperlink>
    </w:p>
    <w:bookmarkEnd w:id="352"/>
    <w:bookmarkStart w:id="354" w:name="ref-Petersen2020"/>
    <w:p>
      <w:pPr>
        <w:pStyle w:val="Bibliography"/>
      </w:pPr>
      <w:r>
        <w:t xml:space="preserve">Petersen, I. T., Choe, D. E., &amp; LeBeau, B. (2020). Studying a moving target in development:</w:t>
      </w:r>
      <w:r>
        <w:t xml:space="preserve"> </w:t>
      </w:r>
      <w:r>
        <w:t xml:space="preserve">The</w:t>
      </w:r>
      <w:r>
        <w:t xml:space="preserve"> </w:t>
      </w:r>
      <w:r>
        <w:t xml:space="preserve">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353">
        <w:r>
          <w:rPr>
            <w:rStyle w:val="Hyperlink"/>
          </w:rPr>
          <w:t xml:space="preserve">https://doi.org/10.1016/j.dr.2020.100935</w:t>
        </w:r>
      </w:hyperlink>
    </w:p>
    <w:bookmarkEnd w:id="354"/>
    <w:bookmarkStart w:id="355" w:name="ref-Petersen2026b"/>
    <w:p>
      <w:pPr>
        <w:pStyle w:val="Bibliography"/>
      </w:pPr>
      <w:r>
        <w:t xml:space="preserve">Petersen, I. T., Demko, Z., Doebler, P., Sabel, L., Oleson, J. J., &amp; Krueger, R. F. (2026). How often is</w:t>
      </w:r>
      <w:r>
        <w:t xml:space="preserve"> </w:t>
      </w:r>
      <w:r>
        <w:t xml:space="preserve">“often”</w:t>
      </w:r>
      <w:r>
        <w:t xml:space="preserve">?</w:t>
      </w:r>
      <w:r>
        <w:t xml:space="preserve"> </w:t>
      </w:r>
      <w:r>
        <w:t xml:space="preserve">Improving</w:t>
      </w:r>
      <w:r>
        <w:t xml:space="preserve"> </w:t>
      </w:r>
      <w:r>
        <w:t xml:space="preserve">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2">
        <w:r>
          <w:rPr>
            <w:rStyle w:val="Hyperlink"/>
          </w:rPr>
          <w:t xml:space="preserve">https://doi.org/10.1037/pas0001441</w:t>
        </w:r>
      </w:hyperlink>
    </w:p>
    <w:bookmarkEnd w:id="355"/>
    <w:bookmarkStart w:id="356"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2">
        <w:r>
          <w:rPr>
            <w:rStyle w:val="Hyperlink"/>
          </w:rPr>
          <w:t xml:space="preserve">https://doi.org/10.1016/j.jaacop.2025.10.008</w:t>
        </w:r>
      </w:hyperlink>
    </w:p>
    <w:bookmarkEnd w:id="356"/>
    <w:bookmarkStart w:id="357"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8">
        <w:r>
          <w:rPr>
            <w:rStyle w:val="Hyperlink"/>
          </w:rPr>
          <w:t xml:space="preserve">https://doi.org/10.1037/edu0000461</w:t>
        </w:r>
      </w:hyperlink>
    </w:p>
    <w:bookmarkEnd w:id="357"/>
    <w:bookmarkStart w:id="359" w:name="ref-Petersen2022"/>
    <w:p>
      <w:pPr>
        <w:pStyle w:val="Bibliography"/>
      </w:pPr>
      <w:r>
        <w:t xml:space="preserve">Petersen, I. T., &amp; LeBeau, B. (2022). Creating a developmental scale to chart the development of psychopathology with different informants and measures across time.</w:t>
      </w:r>
      <w:r>
        <w:t xml:space="preserve"> </w:t>
      </w:r>
      <w:r>
        <w:rPr>
          <w:i/>
          <w:iCs/>
        </w:rPr>
        <w:t xml:space="preserve">Journal of Psychopathology and Clinical Science</w:t>
      </w:r>
      <w:r>
        <w:t xml:space="preserve">,</w:t>
      </w:r>
      <w:r>
        <w:t xml:space="preserve"> </w:t>
      </w:r>
      <w:r>
        <w:rPr>
          <w:i/>
          <w:iCs/>
        </w:rPr>
        <w:t xml:space="preserve">131</w:t>
      </w:r>
      <w:r>
        <w:t xml:space="preserve">(6), 611–625.</w:t>
      </w:r>
      <w:r>
        <w:t xml:space="preserve"> </w:t>
      </w:r>
      <w:hyperlink r:id="rId358">
        <w:r>
          <w:rPr>
            <w:rStyle w:val="Hyperlink"/>
          </w:rPr>
          <w:t xml:space="preserve">https://doi.org/10.1037/abn0000649</w:t>
        </w:r>
      </w:hyperlink>
    </w:p>
    <w:bookmarkEnd w:id="359"/>
    <w:bookmarkStart w:id="361" w:name="ref-Petersen2021a"/>
    <w:p>
      <w:pPr>
        <w:pStyle w:val="Bibliography"/>
      </w:pPr>
      <w:r>
        <w:t xml:space="preserve">Petersen, I. T., LeBeau, B., &amp; Choe, D. E. (2021). Creating a developmental scale to account for heterotypic continuity in development:</w:t>
      </w:r>
      <w:r>
        <w:t xml:space="preserve"> </w:t>
      </w:r>
      <w:r>
        <w:t xml:space="preserve">A</w:t>
      </w:r>
      <w:r>
        <w:t xml:space="preserve"> </w:t>
      </w:r>
      <w:r>
        <w:t xml:space="preserve">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360">
        <w:r>
          <w:rPr>
            <w:rStyle w:val="Hyperlink"/>
          </w:rPr>
          <w:t xml:space="preserve">https://doi.org/10.1111/cdev.13433</w:t>
        </w:r>
      </w:hyperlink>
    </w:p>
    <w:bookmarkEnd w:id="361"/>
    <w:bookmarkStart w:id="363" w:name="ref-Petersen2018"/>
    <w:p>
      <w:pPr>
        <w:pStyle w:val="Bibliography"/>
      </w:pPr>
      <w:r>
        <w:t xml:space="preserve">Petersen, I. T., Lindhiem, O., LeBeau, B., Bates, J. E., Pettit, G. S., Lansford, J. E., &amp; Dodge, K. A. (2018). Development of internalizing problems from adolescence to emerging adulthood:</w:t>
      </w:r>
      <w:r>
        <w:t xml:space="preserve"> </w:t>
      </w:r>
      <w:r>
        <w:t xml:space="preserve">Accounting</w:t>
      </w:r>
      <w:r>
        <w:t xml:space="preserve"> </w:t>
      </w:r>
      <w:r>
        <w:t xml:space="preserve">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362">
        <w:r>
          <w:rPr>
            <w:rStyle w:val="Hyperlink"/>
          </w:rPr>
          <w:t xml:space="preserve">https://doi.org/10.1037/dev0000449</w:t>
        </w:r>
      </w:hyperlink>
    </w:p>
    <w:bookmarkEnd w:id="363"/>
    <w:bookmarkStart w:id="365" w:name="ref-Petscher2018"/>
    <w:p>
      <w:pPr>
        <w:pStyle w:val="Bibliography"/>
      </w:pPr>
      <w:r>
        <w:t xml:space="preserve">Petscher, Y., Justice, L. M., &amp; Hogan, T. (2018). Modeling the early language trajectory of language development when the measures change and its relation to poor reading comprehension.</w:t>
      </w:r>
      <w:r>
        <w:t xml:space="preserve"> </w:t>
      </w:r>
      <w:r>
        <w:rPr>
          <w:i/>
          <w:iCs/>
        </w:rPr>
        <w:t xml:space="preserve">Child Development</w:t>
      </w:r>
      <w:r>
        <w:t xml:space="preserve">,</w:t>
      </w:r>
      <w:r>
        <w:t xml:space="preserve"> </w:t>
      </w:r>
      <w:r>
        <w:rPr>
          <w:i/>
          <w:iCs/>
        </w:rPr>
        <w:t xml:space="preserve">89</w:t>
      </w:r>
      <w:r>
        <w:t xml:space="preserve">(6), 2136–2156.</w:t>
      </w:r>
      <w:r>
        <w:t xml:space="preserve"> </w:t>
      </w:r>
      <w:hyperlink r:id="rId364">
        <w:r>
          <w:rPr>
            <w:rStyle w:val="Hyperlink"/>
          </w:rPr>
          <w:t xml:space="preserve">https://doi.org/10.1111/cdev.12880</w:t>
        </w:r>
      </w:hyperlink>
    </w:p>
    <w:bookmarkEnd w:id="365"/>
    <w:bookmarkStart w:id="367" w:name="ref-Podsakoff2012"/>
    <w:p>
      <w:pPr>
        <w:pStyle w:val="Bibliography"/>
      </w:pPr>
      <w:r>
        <w:t xml:space="preserve">Podsakoff, P. M., MacKenzie, S. B., &amp; Podsakoff, N. P. (2012). Sources of method bias in social science research and recommendations on how to control it.</w:t>
      </w:r>
      <w:r>
        <w:t xml:space="preserve"> </w:t>
      </w:r>
      <w:r>
        <w:rPr>
          <w:i/>
          <w:iCs/>
        </w:rPr>
        <w:t xml:space="preserve">Annual Review of Psychology</w:t>
      </w:r>
      <w:r>
        <w:t xml:space="preserve">,</w:t>
      </w:r>
      <w:r>
        <w:t xml:space="preserve"> </w:t>
      </w:r>
      <w:r>
        <w:rPr>
          <w:i/>
          <w:iCs/>
        </w:rPr>
        <w:t xml:space="preserve">63</w:t>
      </w:r>
      <w:r>
        <w:t xml:space="preserve">(1), 539–569.</w:t>
      </w:r>
      <w:r>
        <w:t xml:space="preserve"> </w:t>
      </w:r>
      <w:hyperlink r:id="rId366">
        <w:r>
          <w:rPr>
            <w:rStyle w:val="Hyperlink"/>
          </w:rPr>
          <w:t xml:space="preserve">https://doi.org/10.1146/annurev-psych-120710-100452</w:t>
        </w:r>
      </w:hyperlink>
    </w:p>
    <w:bookmarkEnd w:id="367"/>
    <w:bookmarkStart w:id="369" w:name="ref-Poulton2015"/>
    <w:p>
      <w:pPr>
        <w:pStyle w:val="Bibliography"/>
      </w:pPr>
      <w:r>
        <w:t xml:space="preserve">Poulton, R., Moffitt, T. E., &amp; Silva, P. A. (2015). The</w:t>
      </w:r>
      <w:r>
        <w:t xml:space="preserve"> </w:t>
      </w:r>
      <w:r>
        <w:t xml:space="preserve">Dunedin Multidisciplinary Health and Development Study</w:t>
      </w:r>
      <w:r>
        <w:t xml:space="preserve">:</w:t>
      </w:r>
      <w:r>
        <w:t xml:space="preserve"> </w:t>
      </w:r>
      <w:r>
        <w:t xml:space="preserve">Overview</w:t>
      </w:r>
      <w:r>
        <w:t xml:space="preserve"> </w:t>
      </w:r>
      <w:r>
        <w:t xml:space="preserve">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368">
        <w:r>
          <w:rPr>
            <w:rStyle w:val="Hyperlink"/>
          </w:rPr>
          <w:t xml:space="preserve">https://doi.org/10.1007/s00127-015-1048-8</w:t>
        </w:r>
      </w:hyperlink>
    </w:p>
    <w:bookmarkEnd w:id="369"/>
    <w:bookmarkStart w:id="371" w:name="ref-Revelle2019"/>
    <w:p>
      <w:pPr>
        <w:pStyle w:val="Bibliography"/>
      </w:pPr>
      <w:r>
        <w:t xml:space="preserve">Revelle, W., &amp; Condon, D. M. (2019). Reliability from</w:t>
      </w:r>
      <w:r>
        <w:t xml:space="preserve"> </w:t>
      </w:r>
      <m:oMath>
        <m:r>
          <m:t>α</m:t>
        </m:r>
      </m:oMath>
      <w:r>
        <w:t xml:space="preserve"> </w:t>
      </w:r>
      <w:r>
        <w:t xml:space="preserve">to</w:t>
      </w:r>
      <w:r>
        <w:t xml:space="preserve"> </w:t>
      </w:r>
      <m:oMath>
        <m:r>
          <m:t>ω</m:t>
        </m:r>
      </m:oMath>
      <w:r>
        <w:t xml:space="preserve">:</w:t>
      </w:r>
      <w:r>
        <w:t xml:space="preserve"> </w:t>
      </w:r>
      <w:r>
        <w:t xml:space="preserve">A</w:t>
      </w:r>
      <w:r>
        <w:t xml:space="preserve"> </w:t>
      </w:r>
      <w:r>
        <w:t xml:space="preserve">tutorial.</w:t>
      </w:r>
      <w:r>
        <w:t xml:space="preserve"> </w:t>
      </w:r>
      <w:r>
        <w:rPr>
          <w:i/>
          <w:iCs/>
        </w:rPr>
        <w:t xml:space="preserve">Psychological Assessment</w:t>
      </w:r>
      <w:r>
        <w:t xml:space="preserve">,</w:t>
      </w:r>
      <w:r>
        <w:t xml:space="preserve"> </w:t>
      </w:r>
      <w:r>
        <w:rPr>
          <w:i/>
          <w:iCs/>
        </w:rPr>
        <w:t xml:space="preserve">31</w:t>
      </w:r>
      <w:r>
        <w:t xml:space="preserve">(12), 1395–1411.</w:t>
      </w:r>
      <w:r>
        <w:t xml:space="preserve"> </w:t>
      </w:r>
      <w:hyperlink r:id="rId370">
        <w:r>
          <w:rPr>
            <w:rStyle w:val="Hyperlink"/>
          </w:rPr>
          <w:t xml:space="preserve">https://doi.org/10.1037/pas0000754</w:t>
        </w:r>
      </w:hyperlink>
    </w:p>
    <w:bookmarkEnd w:id="371"/>
    <w:bookmarkStart w:id="373"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 A Multidisciplinary Journal</w:t>
      </w:r>
      <w:r>
        <w:t xml:space="preserve">,</w:t>
      </w:r>
      <w:r>
        <w:t xml:space="preserve"> </w:t>
      </w:r>
      <w:r>
        <w:rPr>
          <w:i/>
          <w:iCs/>
        </w:rPr>
        <w:t xml:space="preserve">30</w:t>
      </w:r>
      <w:r>
        <w:t xml:space="preserve">(6), 859–870.</w:t>
      </w:r>
      <w:r>
        <w:t xml:space="preserve"> </w:t>
      </w:r>
      <w:hyperlink r:id="rId372">
        <w:r>
          <w:rPr>
            <w:rStyle w:val="Hyperlink"/>
          </w:rPr>
          <w:t xml:space="preserve">https://doi.org/10.1080/10705511.2023.2191292</w:t>
        </w:r>
      </w:hyperlink>
    </w:p>
    <w:bookmarkEnd w:id="373"/>
    <w:bookmarkStart w:id="374" w:name="ref-Roche1992"/>
    <w:p>
      <w:pPr>
        <w:pStyle w:val="Bibliography"/>
      </w:pPr>
      <w:r>
        <w:t xml:space="preserve">Roche, A. F. (1992).</w:t>
      </w:r>
      <w:r>
        <w:t xml:space="preserve"> </w:t>
      </w:r>
      <w:r>
        <w:rPr>
          <w:i/>
          <w:iCs/>
        </w:rPr>
        <w:t xml:space="preserve">Growth, maturation, and body composition:</w:t>
      </w:r>
      <w:r>
        <w:rPr>
          <w:i/>
          <w:iCs/>
        </w:rPr>
        <w:t xml:space="preserve"> </w:t>
      </w:r>
      <w:r>
        <w:rPr>
          <w:i/>
          <w:iCs/>
        </w:rPr>
        <w:t xml:space="preserve">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74"/>
    <w:bookmarkStart w:id="376" w:name="ref-Rohrer2025"/>
    <w:p>
      <w:pPr>
        <w:pStyle w:val="Bibliography"/>
      </w:pPr>
      <w:r>
        <w:t xml:space="preserve">Rohrer, J. M. (2025). Thinking clearly about age, period, and cohort effects.</w:t>
      </w:r>
      <w:r>
        <w:t xml:space="preserve"> </w:t>
      </w:r>
      <w:r>
        <w:rPr>
          <w:i/>
          <w:iCs/>
        </w:rPr>
        <w:t xml:space="preserve">Advances in Methods and Practices in Psychological Science</w:t>
      </w:r>
      <w:r>
        <w:t xml:space="preserve">,</w:t>
      </w:r>
      <w:r>
        <w:t xml:space="preserve"> </w:t>
      </w:r>
      <w:r>
        <w:rPr>
          <w:i/>
          <w:iCs/>
        </w:rPr>
        <w:t xml:space="preserve">8</w:t>
      </w:r>
      <w:r>
        <w:t xml:space="preserve">(2), 25152459251342750.</w:t>
      </w:r>
      <w:r>
        <w:t xml:space="preserve"> </w:t>
      </w:r>
      <w:hyperlink r:id="rId375">
        <w:r>
          <w:rPr>
            <w:rStyle w:val="Hyperlink"/>
          </w:rPr>
          <w:t xml:space="preserve">https://doi.org/10.1177/25152459251342750</w:t>
        </w:r>
      </w:hyperlink>
    </w:p>
    <w:bookmarkEnd w:id="376"/>
    <w:bookmarkStart w:id="378"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77">
        <w:r>
          <w:rPr>
            <w:rStyle w:val="Hyperlink"/>
          </w:rPr>
          <w:t xml:space="preserve">https://doi.org/10.1111/j.1469-7610.2006.01614.x</w:t>
        </w:r>
      </w:hyperlink>
    </w:p>
    <w:bookmarkEnd w:id="378"/>
    <w:bookmarkStart w:id="380" w:name="ref-SacuInPress"/>
    <w:p>
      <w:pPr>
        <w:pStyle w:val="Bibliography"/>
      </w:pPr>
      <w:r>
        <w:t xml:space="preserve">Sacu, S., Streit, F., Witt, S. H., Banaschewski, T., Holz, N. E., &amp; Schultebraucks, K. (in press). Predicting psychopathology symptom trajectories using machine learning:</w:t>
      </w:r>
      <w:r>
        <w:t xml:space="preserve"> </w:t>
      </w:r>
      <w:r>
        <w:t xml:space="preserve">A</w:t>
      </w:r>
      <w:r>
        <w:t xml:space="preserve"> </w:t>
      </w:r>
      <w:r>
        <w:t xml:space="preserve">33-year prospective study.</w:t>
      </w:r>
      <w:r>
        <w:t xml:space="preserve"> </w:t>
      </w:r>
      <w:r>
        <w:rPr>
          <w:i/>
          <w:iCs/>
        </w:rPr>
        <w:t xml:space="preserve">Journal of Child Psychology and Psychiatry</w:t>
      </w:r>
      <w:r>
        <w:t xml:space="preserve">.</w:t>
      </w:r>
      <w:r>
        <w:t xml:space="preserve"> </w:t>
      </w:r>
      <w:hyperlink r:id="rId379">
        <w:r>
          <w:rPr>
            <w:rStyle w:val="Hyperlink"/>
          </w:rPr>
          <w:t xml:space="preserve">https://doi.org/10.1111/jcpp.70180</w:t>
        </w:r>
      </w:hyperlink>
    </w:p>
    <w:bookmarkEnd w:id="380"/>
    <w:bookmarkStart w:id="382" w:name="ref-Schaefer2017"/>
    <w:p>
      <w:pPr>
        <w:pStyle w:val="Bibliography"/>
      </w:pPr>
      <w:r>
        <w:t xml:space="preserve">Schaefer, J. D., Caspi, A., Belsky, D. W., Harrington, H., Houts, R., Horwood, L. J., Hussong, A., Ramrakha, S., Poulton, R., &amp; Moffitt, T. E. (2017). Enduring mental health:</w:t>
      </w:r>
      <w:r>
        <w:t xml:space="preserve"> </w:t>
      </w:r>
      <w:r>
        <w:t xml:space="preserve">Prevalence</w:t>
      </w:r>
      <w:r>
        <w:t xml:space="preserve"> </w:t>
      </w:r>
      <w:r>
        <w:t xml:space="preserve">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81">
        <w:r>
          <w:rPr>
            <w:rStyle w:val="Hyperlink"/>
          </w:rPr>
          <w:t xml:space="preserve">https://doi.org/10.1037/abn0000232</w:t>
        </w:r>
      </w:hyperlink>
    </w:p>
    <w:bookmarkEnd w:id="382"/>
    <w:bookmarkStart w:id="384" w:name="ref-Schaeffer1991"/>
    <w:p>
      <w:pPr>
        <w:pStyle w:val="Bibliography"/>
      </w:pPr>
      <w:r>
        <w:t xml:space="preserve">Schaeffer, N. C. (1991). Hardly ever or constantly?</w:t>
      </w:r>
      <w:r>
        <w:t xml:space="preserve"> </w:t>
      </w:r>
      <w:r>
        <w:t xml:space="preserve">Group</w:t>
      </w:r>
      <w:r>
        <w:t xml:space="preserve"> </w:t>
      </w:r>
      <w:r>
        <w:t xml:space="preserve">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83">
        <w:r>
          <w:rPr>
            <w:rStyle w:val="Hyperlink"/>
          </w:rPr>
          <w:t xml:space="preserve">https://doi.org/10.1086/269270</w:t>
        </w:r>
      </w:hyperlink>
    </w:p>
    <w:bookmarkEnd w:id="384"/>
    <w:bookmarkStart w:id="385" w:name="ref-Schaie2005"/>
    <w:p>
      <w:pPr>
        <w:pStyle w:val="Bibliography"/>
      </w:pPr>
      <w:r>
        <w:t xml:space="preserve">Schaie, K. W. (2005).</w:t>
      </w:r>
      <w:r>
        <w:t xml:space="preserve"> </w:t>
      </w:r>
      <w:r>
        <w:rPr>
          <w:i/>
          <w:iCs/>
        </w:rPr>
        <w:t xml:space="preserve">Developmental influences on adult intelligence:</w:t>
      </w:r>
      <w:r>
        <w:rPr>
          <w:i/>
          <w:iCs/>
        </w:rPr>
        <w:t xml:space="preserve"> </w:t>
      </w:r>
      <w:r>
        <w:rPr>
          <w:i/>
          <w:iCs/>
        </w:rPr>
        <w:t xml:space="preserve">The</w:t>
      </w:r>
      <w:r>
        <w:rPr>
          <w:i/>
          <w:iCs/>
        </w:rPr>
        <w:t xml:space="preserve"> </w:t>
      </w:r>
      <w:r>
        <w:rPr>
          <w:i/>
          <w:iCs/>
        </w:rPr>
        <w:t xml:space="preserve">Seattle Longitudinal Study</w:t>
      </w:r>
      <w:r>
        <w:t xml:space="preserve">. Oxford University Press.</w:t>
      </w:r>
    </w:p>
    <w:bookmarkEnd w:id="385"/>
    <w:bookmarkStart w:id="387" w:name="ref-Schwarz1999"/>
    <w:p>
      <w:pPr>
        <w:pStyle w:val="Bibliography"/>
      </w:pPr>
      <w:r>
        <w:t xml:space="preserve">Schwarz, N. (1999). Self-reports:</w:t>
      </w:r>
      <w:r>
        <w:t xml:space="preserve"> </w:t>
      </w:r>
      <w:r>
        <w:t xml:space="preserve">How</w:t>
      </w:r>
      <w:r>
        <w:t xml:space="preserve"> </w:t>
      </w:r>
      <w:r>
        <w:t xml:space="preserve">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86">
        <w:r>
          <w:rPr>
            <w:rStyle w:val="Hyperlink"/>
          </w:rPr>
          <w:t xml:space="preserve">https://doi.org/10.1037/0003-066X.54.2.93</w:t>
        </w:r>
      </w:hyperlink>
    </w:p>
    <w:bookmarkEnd w:id="387"/>
    <w:bookmarkStart w:id="389" w:name="ref-Seddig2018"/>
    <w:p>
      <w:pPr>
        <w:pStyle w:val="Bibliography"/>
      </w:pPr>
      <w:r>
        <w:t xml:space="preserve">Seddig, D., &amp; Leitgöb, H. (2018). Approximate measurement invariance and longitudinal confirmatory factor analysis:</w:t>
      </w:r>
      <w:r>
        <w:t xml:space="preserve"> </w:t>
      </w:r>
      <w:r>
        <w:t xml:space="preserve">Concept</w:t>
      </w:r>
      <w:r>
        <w:t xml:space="preserve"> </w:t>
      </w:r>
      <w:r>
        <w:t xml:space="preserve">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88">
        <w:r>
          <w:rPr>
            <w:rStyle w:val="Hyperlink"/>
          </w:rPr>
          <w:t xml:space="preserve">https://doi.org/10.18148/srm/2018.v12i1.7210</w:t>
        </w:r>
      </w:hyperlink>
    </w:p>
    <w:bookmarkEnd w:id="389"/>
    <w:bookmarkStart w:id="391"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90">
        <w:r>
          <w:rPr>
            <w:rStyle w:val="Hyperlink"/>
          </w:rPr>
          <w:t xml:space="preserve">https://doi.org/10.1037/abn0000171</w:t>
        </w:r>
      </w:hyperlink>
    </w:p>
    <w:bookmarkEnd w:id="391"/>
    <w:bookmarkStart w:id="393" w:name="ref-Shi2020"/>
    <w:p>
      <w:pPr>
        <w:pStyle w:val="Bibliography"/>
      </w:pPr>
      <w:r>
        <w:t xml:space="preserve">Shi, Q., Ettekal, I., Deutz, M. H. F., &amp; Woltering, S. (2020). Trajectories of pure and co-occurring internalizing and externalizing problems from early childhood to adolescence:</w:t>
      </w:r>
      <w:r>
        <w:t xml:space="preserve"> </w:t>
      </w:r>
      <w:r>
        <w:t xml:space="preserve">Associations</w:t>
      </w:r>
      <w:r>
        <w:t xml:space="preserve"> </w:t>
      </w:r>
      <w:r>
        <w:t xml:space="preserve">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92">
        <w:r>
          <w:rPr>
            <w:rStyle w:val="Hyperlink"/>
          </w:rPr>
          <w:t xml:space="preserve">https://doi.org/10.1037/dev0001095</w:t>
        </w:r>
      </w:hyperlink>
    </w:p>
    <w:bookmarkEnd w:id="393"/>
    <w:bookmarkStart w:id="395"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94">
        <w:r>
          <w:rPr>
            <w:rStyle w:val="Hyperlink"/>
          </w:rPr>
          <w:t xml:space="preserve">https://doi.org/10.1037/pas0000648</w:t>
        </w:r>
      </w:hyperlink>
    </w:p>
    <w:bookmarkEnd w:id="395"/>
    <w:bookmarkStart w:id="396" w:name="ref-Sivertsson2024"/>
    <w:p>
      <w:pPr>
        <w:pStyle w:val="Bibliography"/>
      </w:pPr>
      <w:r>
        <w:t xml:space="preserve">Sivertsson, F., Carlsson, C., Almquist, Y. B., &amp; Brännström, L. (2024). Offending trajectories from childhood to retirement age:</w:t>
      </w:r>
      <w:r>
        <w:t xml:space="preserve"> </w:t>
      </w:r>
      <w:r>
        <w:t xml:space="preserve">Findings</w:t>
      </w:r>
      <w:r>
        <w:t xml:space="preserve"> </w:t>
      </w:r>
      <w:r>
        <w:t xml:space="preserve">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56">
        <w:r>
          <w:rPr>
            <w:rStyle w:val="Hyperlink"/>
          </w:rPr>
          <w:t xml:space="preserve">https://doi.org/10.1016/j.jcrimjus.2024.102155</w:t>
        </w:r>
      </w:hyperlink>
    </w:p>
    <w:bookmarkEnd w:id="396"/>
    <w:bookmarkStart w:id="398" w:name="ref-Speyer2022"/>
    <w:p>
      <w:pPr>
        <w:pStyle w:val="Bibliography"/>
      </w:pPr>
      <w:r>
        <w:t xml:space="preserve">Speyer, L. G., Neaves, S., Hall, H. A., Hemani, G., Lombardo, M. V., Murray, A. L., Auyeung, B., &amp; Luciano, M. (2022). Polygenic risks for joint developmental trajectories of internalizing and externalizing problems:</w:t>
      </w:r>
      <w:r>
        <w:t xml:space="preserve"> </w:t>
      </w:r>
      <w:r>
        <w:t xml:space="preserve">Findings</w:t>
      </w:r>
      <w:r>
        <w:t xml:space="preserve"> </w:t>
      </w:r>
      <w:r>
        <w:t xml:space="preserve">from the</w:t>
      </w:r>
      <w:r>
        <w:t xml:space="preserve"> </w:t>
      </w:r>
      <w:r>
        <w:t xml:space="preserve">ALSPAC</w:t>
      </w:r>
      <w:r>
        <w:t xml:space="preserve"> </w:t>
      </w:r>
      <w:r>
        <w:t xml:space="preserve">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97">
        <w:r>
          <w:rPr>
            <w:rStyle w:val="Hyperlink"/>
          </w:rPr>
          <w:t xml:space="preserve">https://doi.org/10.1111/jcpp.13549</w:t>
        </w:r>
      </w:hyperlink>
    </w:p>
    <w:bookmarkEnd w:id="398"/>
    <w:bookmarkStart w:id="399"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99"/>
    <w:bookmarkStart w:id="401"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400">
        <w:r>
          <w:rPr>
            <w:rStyle w:val="Hyperlink"/>
          </w:rPr>
          <w:t xml:space="preserve">https://doi.org/10.1146/annurev-criminol-111523-122451</w:t>
        </w:r>
      </w:hyperlink>
    </w:p>
    <w:bookmarkEnd w:id="401"/>
    <w:bookmarkStart w:id="403" w:name="ref-Sterba2007"/>
    <w:p>
      <w:pPr>
        <w:pStyle w:val="Bibliography"/>
      </w:pPr>
      <w:r>
        <w:t xml:space="preserve">Sterba, S. K., Prinstein, M. J., &amp; Cox, M. J. (2007). Trajectories of internalizing problems across childhood:</w:t>
      </w:r>
      <w:r>
        <w:t xml:space="preserve"> </w:t>
      </w:r>
      <w:r>
        <w:t xml:space="preserve">Heterogeneity</w:t>
      </w:r>
      <w:r>
        <w:t xml:space="preserve">,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402">
        <w:r>
          <w:rPr>
            <w:rStyle w:val="Hyperlink"/>
          </w:rPr>
          <w:t xml:space="preserve">https://doi.org/10.1017/S0954579407070174</w:t>
        </w:r>
      </w:hyperlink>
    </w:p>
    <w:bookmarkEnd w:id="403"/>
    <w:bookmarkStart w:id="405" w:name="ref-Sterner2026"/>
    <w:p>
      <w:pPr>
        <w:pStyle w:val="Bibliography"/>
      </w:pPr>
      <w:r>
        <w:t xml:space="preserve">Sterner, P., Pargent, F., &amp; Goretzko, D. (2026). Don’t let</w:t>
      </w:r>
      <w:r>
        <w:t xml:space="preserve"> </w:t>
      </w:r>
      <w:r>
        <w:t xml:space="preserve">MI</w:t>
      </w:r>
      <w:r>
        <w:t xml:space="preserve"> </w:t>
      </w:r>
      <w:r>
        <w:t xml:space="preserve">be misunderstood:</w:t>
      </w:r>
      <w:r>
        <w:t xml:space="preserve"> </w:t>
      </w:r>
      <w:r>
        <w:t xml:space="preserve">A</w:t>
      </w:r>
      <w:r>
        <w:t xml:space="preserve"> </w:t>
      </w:r>
      <w:r>
        <w:t xml:space="preserve">causal view on measurement invariance.</w:t>
      </w:r>
      <w:r>
        <w:t xml:space="preserve"> </w:t>
      </w:r>
      <w:r>
        <w:rPr>
          <w:i/>
          <w:iCs/>
        </w:rPr>
        <w:t xml:space="preserve">Current Research in Ecological and Social Psychology</w:t>
      </w:r>
      <w:r>
        <w:t xml:space="preserve">,</w:t>
      </w:r>
      <w:r>
        <w:t xml:space="preserve"> </w:t>
      </w:r>
      <w:r>
        <w:rPr>
          <w:i/>
          <w:iCs/>
        </w:rPr>
        <w:t xml:space="preserve">10</w:t>
      </w:r>
      <w:r>
        <w:t xml:space="preserve">, 100261.</w:t>
      </w:r>
      <w:r>
        <w:t xml:space="preserve"> </w:t>
      </w:r>
      <w:hyperlink r:id="rId404">
        <w:r>
          <w:rPr>
            <w:rStyle w:val="Hyperlink"/>
          </w:rPr>
          <w:t xml:space="preserve">https://doi.org/10.1016/j.cresp.2025.100261</w:t>
        </w:r>
      </w:hyperlink>
    </w:p>
    <w:bookmarkEnd w:id="405"/>
    <w:bookmarkStart w:id="407"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406">
        <w:r>
          <w:rPr>
            <w:rStyle w:val="Hyperlink"/>
          </w:rPr>
          <w:t xml:space="preserve">https://doi.org/10.1177/1362361320908972</w:t>
        </w:r>
      </w:hyperlink>
    </w:p>
    <w:bookmarkEnd w:id="407"/>
    <w:bookmarkStart w:id="409" w:name="ref-Student2025"/>
    <w:p>
      <w:pPr>
        <w:pStyle w:val="Bibliography"/>
      </w:pPr>
      <w:r>
        <w:t xml:space="preserve">Student, S. R. (2025). Vertical scaling with moderated nonlinear factor analysis.</w:t>
      </w:r>
      <w:r>
        <w:t xml:space="preserve"> </w:t>
      </w:r>
      <w:r>
        <w:rPr>
          <w:i/>
          <w:iCs/>
        </w:rPr>
        <w:t xml:space="preserve">Journal of Educational Measurement</w:t>
      </w:r>
      <w:r>
        <w:t xml:space="preserve">,</w:t>
      </w:r>
      <w:r>
        <w:t xml:space="preserve"> </w:t>
      </w:r>
      <w:r>
        <w:rPr>
          <w:i/>
          <w:iCs/>
        </w:rPr>
        <w:t xml:space="preserve">62</w:t>
      </w:r>
      <w:r>
        <w:t xml:space="preserve">(4), 929–958.</w:t>
      </w:r>
      <w:r>
        <w:t xml:space="preserve"> </w:t>
      </w:r>
      <w:hyperlink r:id="rId408">
        <w:r>
          <w:rPr>
            <w:rStyle w:val="Hyperlink"/>
          </w:rPr>
          <w:t xml:space="preserve">https://doi.org/10.1111/jedm.70019</w:t>
        </w:r>
      </w:hyperlink>
    </w:p>
    <w:bookmarkEnd w:id="409"/>
    <w:bookmarkStart w:id="411" w:name="ref-Tackett2022"/>
    <w:p>
      <w:pPr>
        <w:pStyle w:val="Bibliography"/>
      </w:pPr>
      <w:r>
        <w:t xml:space="preserve">Tackett, J. L., &amp; Hallquist, M. (2022). The need to grow:</w:t>
      </w:r>
      <w:r>
        <w:t xml:space="preserve"> </w:t>
      </w:r>
      <w:r>
        <w:t xml:space="preserve">Developmental</w:t>
      </w:r>
      <w:r>
        <w:t xml:space="preserve"> </w:t>
      </w:r>
      <w:r>
        <w:t xml:space="preserve">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410">
        <w:r>
          <w:rPr>
            <w:rStyle w:val="Hyperlink"/>
          </w:rPr>
          <w:t xml:space="preserve">https://doi.org/10.1037/abn0000751</w:t>
        </w:r>
      </w:hyperlink>
    </w:p>
    <w:bookmarkEnd w:id="411"/>
    <w:bookmarkStart w:id="413"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412">
        <w:r>
          <w:rPr>
            <w:rStyle w:val="Hyperlink"/>
          </w:rPr>
          <w:t xml:space="preserve">https://doi.org/10.1038/s44220-023-00057-5</w:t>
        </w:r>
      </w:hyperlink>
    </w:p>
    <w:bookmarkEnd w:id="413"/>
    <w:bookmarkStart w:id="415" w:name="ref-Tyrell2019"/>
    <w:p>
      <w:pPr>
        <w:pStyle w:val="Bibliography"/>
      </w:pPr>
      <w:r>
        <w:t xml:space="preserve">Tyrell, F. A., Yates, T. M., Widaman, K. F., Reynolds, C. A., &amp; Fabricius, W. V. (2019). Data harmonization:</w:t>
      </w:r>
      <w:r>
        <w:t xml:space="preserve"> </w:t>
      </w:r>
      <w:r>
        <w:t xml:space="preserve">Establishing</w:t>
      </w:r>
      <w:r>
        <w:t xml:space="preserve"> </w:t>
      </w:r>
      <w:r>
        <w:t xml:space="preserve">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414">
        <w:r>
          <w:rPr>
            <w:rStyle w:val="Hyperlink"/>
          </w:rPr>
          <w:t xml:space="preserve">https://doi.org/10.1080/15374416.2019.1622124</w:t>
        </w:r>
      </w:hyperlink>
    </w:p>
    <w:bookmarkEnd w:id="415"/>
    <w:bookmarkStart w:id="417" w:name="ref-Vaillant2012"/>
    <w:p>
      <w:pPr>
        <w:pStyle w:val="Bibliography"/>
      </w:pPr>
      <w:r>
        <w:t xml:space="preserve">Vaillant, G. E. (2012).</w:t>
      </w:r>
      <w:r>
        <w:t xml:space="preserve"> </w:t>
      </w:r>
      <w:r>
        <w:rPr>
          <w:i/>
          <w:iCs/>
        </w:rPr>
        <w:t xml:space="preserve">Triumphs of experience:</w:t>
      </w:r>
      <w:r>
        <w:rPr>
          <w:i/>
          <w:iCs/>
        </w:rPr>
        <w:t xml:space="preserve"> </w:t>
      </w:r>
      <w:r>
        <w:rPr>
          <w:i/>
          <w:iCs/>
        </w:rPr>
        <w:t xml:space="preserve">The</w:t>
      </w:r>
      <w:r>
        <w:rPr>
          <w:i/>
          <w:iCs/>
        </w:rPr>
        <w:t xml:space="preserve"> </w:t>
      </w:r>
      <w:r>
        <w:rPr>
          <w:i/>
          <w:iCs/>
        </w:rPr>
        <w:t xml:space="preserve">men of the</w:t>
      </w:r>
      <w:r>
        <w:rPr>
          <w:i/>
          <w:iCs/>
        </w:rPr>
        <w:t xml:space="preserve"> </w:t>
      </w:r>
      <w:r>
        <w:rPr>
          <w:i/>
          <w:iCs/>
        </w:rPr>
        <w:t xml:space="preserve">Harvard Grant Study</w:t>
      </w:r>
      <w:r>
        <w:t xml:space="preserve">. Harvard University Press.</w:t>
      </w:r>
      <w:r>
        <w:t xml:space="preserve"> </w:t>
      </w:r>
      <w:hyperlink r:id="rId416">
        <w:r>
          <w:rPr>
            <w:rStyle w:val="Hyperlink"/>
          </w:rPr>
          <w:t xml:space="preserve">https://doi.org/10.2307/j.ctt2jbxs1</w:t>
        </w:r>
      </w:hyperlink>
    </w:p>
    <w:bookmarkEnd w:id="417"/>
    <w:bookmarkStart w:id="419"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w:t>
      </w:r>
      <w:r>
        <w:t xml:space="preserve"> </w:t>
      </w:r>
      <w:r>
        <w:t xml:space="preserve">A</w:t>
      </w:r>
      <w:r>
        <w:t xml:space="preserve"> </w:t>
      </w:r>
      <w:r>
        <w:t xml:space="preserve">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418">
        <w:r>
          <w:rPr>
            <w:rStyle w:val="Hyperlink"/>
          </w:rPr>
          <w:t xml:space="preserve">https://doi.org/10.3389/fpsyg.2013.00770</w:t>
        </w:r>
      </w:hyperlink>
    </w:p>
    <w:bookmarkEnd w:id="419"/>
    <w:bookmarkStart w:id="421"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420">
        <w:r>
          <w:rPr>
            <w:rStyle w:val="Hyperlink"/>
          </w:rPr>
          <w:t xml:space="preserve">https://doi.org/10.1016/j.jaac.2013.10.011</w:t>
        </w:r>
      </w:hyperlink>
    </w:p>
    <w:bookmarkEnd w:id="421"/>
    <w:bookmarkStart w:id="423"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w:t>
      </w:r>
      <w:r>
        <w:t xml:space="preserve"> </w:t>
      </w:r>
      <w:r>
        <w:t xml:space="preserve">A</w:t>
      </w:r>
      <w:r>
        <w:t xml:space="preserve"> </w:t>
      </w:r>
      <w:r>
        <w:t xml:space="preserve">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422">
        <w:r>
          <w:rPr>
            <w:rStyle w:val="Hyperlink"/>
          </w:rPr>
          <w:t xml:space="preserve">https://doi.org/10.1080/15374416.2018.1561296</w:t>
        </w:r>
      </w:hyperlink>
    </w:p>
    <w:bookmarkEnd w:id="423"/>
    <w:bookmarkStart w:id="425" w:name="ref-Walters2011"/>
    <w:p>
      <w:pPr>
        <w:pStyle w:val="Bibliography"/>
      </w:pPr>
      <w:r>
        <w:t xml:space="preserve">Walters, G. D. (2011). The latent structure of life-course-persistent antisocial behavior:</w:t>
      </w:r>
      <w:r>
        <w:t xml:space="preserve"> </w:t>
      </w:r>
      <w:r>
        <w:t xml:space="preserve">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424">
        <w:r>
          <w:rPr>
            <w:rStyle w:val="Hyperlink"/>
          </w:rPr>
          <w:t xml:space="preserve">https://doi.org/10.1037/a0021519</w:t>
        </w:r>
      </w:hyperlink>
    </w:p>
    <w:bookmarkEnd w:id="425"/>
    <w:bookmarkStart w:id="427" w:name="ref-Walters2012"/>
    <w:p>
      <w:pPr>
        <w:pStyle w:val="Bibliography"/>
      </w:pPr>
      <w:r>
        <w:t xml:space="preserve">Walters, G. D. (2012). Developmental trajectories of delinquent behavior:</w:t>
      </w:r>
      <w:r>
        <w:t xml:space="preserve"> </w:t>
      </w:r>
      <w:r>
        <w:t xml:space="preserve">One</w:t>
      </w:r>
      <w:r>
        <w:t xml:space="preserve"> </w:t>
      </w:r>
      <w:r>
        <w:t xml:space="preserve">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426">
        <w:r>
          <w:rPr>
            <w:rStyle w:val="Hyperlink"/>
          </w:rPr>
          <w:t xml:space="preserve">https://doi.org/10.1177/0093854812443645</w:t>
        </w:r>
      </w:hyperlink>
    </w:p>
    <w:bookmarkEnd w:id="427"/>
    <w:bookmarkStart w:id="429"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428">
        <w:r>
          <w:rPr>
            <w:rStyle w:val="Hyperlink"/>
          </w:rPr>
          <w:t xml:space="preserve">https://doi.org/10.1007/s12103-013-9235-1</w:t>
        </w:r>
      </w:hyperlink>
    </w:p>
    <w:bookmarkEnd w:id="429"/>
    <w:bookmarkStart w:id="431" w:name="ref-Walters2015"/>
    <w:p>
      <w:pPr>
        <w:pStyle w:val="Bibliography"/>
      </w:pPr>
      <w:r>
        <w:t xml:space="preserve">Walters, G. D. (2015). The latent structure of criminal persistence:</w:t>
      </w:r>
      <w:r>
        <w:t xml:space="preserve"> </w:t>
      </w:r>
      <w:r>
        <w:t xml:space="preserve">A</w:t>
      </w:r>
      <w:r>
        <w:t xml:space="preserve"> </w:t>
      </w:r>
      <w:r>
        <w:t xml:space="preserve">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430">
        <w:r>
          <w:rPr>
            <w:rStyle w:val="Hyperlink"/>
          </w:rPr>
          <w:t xml:space="preserve">https://doi.org/10.1007/s12103-014-9272-4</w:t>
        </w:r>
      </w:hyperlink>
    </w:p>
    <w:bookmarkEnd w:id="431"/>
    <w:bookmarkStart w:id="433" w:name="ref-Walters2013"/>
    <w:p>
      <w:pPr>
        <w:pStyle w:val="Bibliography"/>
      </w:pPr>
      <w:r>
        <w:t xml:space="preserve">Walters, G. D., &amp; Ruscio, J. (2013). Trajectories of youthful antisocial behavior:</w:t>
      </w:r>
      <w:r>
        <w:t xml:space="preserve"> </w:t>
      </w:r>
      <w:r>
        <w:t xml:space="preserve">Categories</w:t>
      </w:r>
      <w:r>
        <w:t xml:space="preserve"> </w:t>
      </w:r>
      <w:r>
        <w:t xml:space="preserve">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432">
        <w:r>
          <w:rPr>
            <w:rStyle w:val="Hyperlink"/>
          </w:rPr>
          <w:t xml:space="preserve">https://doi.org/10.1007/s10802-012-9700-1</w:t>
        </w:r>
      </w:hyperlink>
    </w:p>
    <w:bookmarkEnd w:id="433"/>
    <w:bookmarkStart w:id="435" w:name="ref-Walton2011"/>
    <w:p>
      <w:pPr>
        <w:pStyle w:val="Bibliography"/>
      </w:pPr>
      <w:r>
        <w:t xml:space="preserve">Walton, K. E., Ormel, J., &amp; Krueger, R. F. (2011). The dimensional nature of externalizing behaviors in adolescence:</w:t>
      </w:r>
      <w:r>
        <w:t xml:space="preserve"> </w:t>
      </w:r>
      <w:r>
        <w:t xml:space="preserve">Evidence</w:t>
      </w:r>
      <w:r>
        <w:t xml:space="preserve"> </w:t>
      </w:r>
      <w:r>
        <w:t xml:space="preserve">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434">
        <w:r>
          <w:rPr>
            <w:rStyle w:val="Hyperlink"/>
          </w:rPr>
          <w:t xml:space="preserve">https://doi.org/10.1007/s10802-010-9478-y</w:t>
        </w:r>
      </w:hyperlink>
    </w:p>
    <w:bookmarkEnd w:id="435"/>
    <w:bookmarkStart w:id="437" w:name="ref-Ward2022"/>
    <w:p>
      <w:pPr>
        <w:pStyle w:val="Bibliography"/>
      </w:pPr>
      <w:r>
        <w:t xml:space="preserve">Ward, C., Oleson, J., Tomblin, J. B., &amp; Walker, E. (2022). Modeling population and subject-specific growth in a latent trait measured by multiple instruments over time using a hierarchical</w:t>
      </w:r>
      <w:r>
        <w:t xml:space="preserve"> </w:t>
      </w:r>
      <w:r>
        <w:t xml:space="preserve">Bayesian</w:t>
      </w:r>
      <w:r>
        <w:t xml:space="preserve"> </w:t>
      </w:r>
      <w:r>
        <w:t xml:space="preserve">framework.</w:t>
      </w:r>
      <w:r>
        <w:t xml:space="preserve"> </w:t>
      </w:r>
      <w:r>
        <w:rPr>
          <w:i/>
          <w:iCs/>
        </w:rPr>
        <w:t xml:space="preserve">Journal of Applied Statistics</w:t>
      </w:r>
      <w:r>
        <w:t xml:space="preserve">,</w:t>
      </w:r>
      <w:r>
        <w:t xml:space="preserve"> </w:t>
      </w:r>
      <w:r>
        <w:rPr>
          <w:i/>
          <w:iCs/>
        </w:rPr>
        <w:t xml:space="preserve">49</w:t>
      </w:r>
      <w:r>
        <w:t xml:space="preserve">(2), 449–465.</w:t>
      </w:r>
      <w:r>
        <w:t xml:space="preserve"> </w:t>
      </w:r>
      <w:hyperlink r:id="rId436">
        <w:r>
          <w:rPr>
            <w:rStyle w:val="Hyperlink"/>
          </w:rPr>
          <w:t xml:space="preserve">https://doi.org/10.1080/02664763.2020.1817346</w:t>
        </w:r>
      </w:hyperlink>
    </w:p>
    <w:bookmarkEnd w:id="437"/>
    <w:bookmarkStart w:id="439" w:name="ref-Weeks2018"/>
    <w:p>
      <w:pPr>
        <w:pStyle w:val="Bibliography"/>
      </w:pPr>
      <w:r>
        <w:t xml:space="preserve">Weeks, J. P. (2018). An application of multidimensional vertical scaling.</w:t>
      </w:r>
      <w:r>
        <w:t xml:space="preserve"> </w:t>
      </w:r>
      <w:r>
        <w:rPr>
          <w:i/>
          <w:iCs/>
        </w:rPr>
        <w:t xml:space="preserve">Measurement: Interdisciplinary Research and Perspectives</w:t>
      </w:r>
      <w:r>
        <w:t xml:space="preserve">,</w:t>
      </w:r>
      <w:r>
        <w:t xml:space="preserve"> </w:t>
      </w:r>
      <w:r>
        <w:rPr>
          <w:i/>
          <w:iCs/>
        </w:rPr>
        <w:t xml:space="preserve">16</w:t>
      </w:r>
      <w:r>
        <w:t xml:space="preserve">(3), 139–154.</w:t>
      </w:r>
      <w:r>
        <w:t xml:space="preserve"> </w:t>
      </w:r>
      <w:hyperlink r:id="rId438">
        <w:r>
          <w:rPr>
            <w:rStyle w:val="Hyperlink"/>
          </w:rPr>
          <w:t xml:space="preserve">https://doi.org/10.1080/15366367.2018.1502005</w:t>
        </w:r>
      </w:hyperlink>
    </w:p>
    <w:bookmarkEnd w:id="439"/>
    <w:bookmarkStart w:id="441"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440">
        <w:r>
          <w:rPr>
            <w:rStyle w:val="Hyperlink"/>
          </w:rPr>
          <w:t xml:space="preserve">https://doi.org/10.1016/j.dr.2008.01.001</w:t>
        </w:r>
      </w:hyperlink>
    </w:p>
    <w:bookmarkEnd w:id="441"/>
    <w:bookmarkStart w:id="443"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442">
        <w:r>
          <w:rPr>
            <w:rStyle w:val="Hyperlink"/>
          </w:rPr>
          <w:t xml:space="preserve">https://doi.org/10.1017/S0954579403000221</w:t>
        </w:r>
      </w:hyperlink>
    </w:p>
    <w:bookmarkEnd w:id="443"/>
    <w:bookmarkStart w:id="445" w:name="ref-Welzel2023a"/>
    <w:p>
      <w:pPr>
        <w:pStyle w:val="Bibliography"/>
      </w:pPr>
      <w:r>
        <w:t xml:space="preserve">Welzel, C., Brunkert, L., Kruse, S., &amp; Inglehart, R. F. (2023). Non-invariance?</w:t>
      </w:r>
      <w:r>
        <w:t xml:space="preserve"> </w:t>
      </w:r>
      <w:r>
        <w:t xml:space="preserve">An</w:t>
      </w:r>
      <w:r>
        <w:t xml:space="preserve"> </w:t>
      </w:r>
      <w:r>
        <w:t xml:space="preserve">overstated problem with misconceived causes.</w:t>
      </w:r>
      <w:r>
        <w:t xml:space="preserve"> </w:t>
      </w:r>
      <w:r>
        <w:rPr>
          <w:i/>
          <w:iCs/>
        </w:rPr>
        <w:t xml:space="preserve">Sociological Methods &amp; Research</w:t>
      </w:r>
      <w:r>
        <w:t xml:space="preserve">,</w:t>
      </w:r>
      <w:r>
        <w:t xml:space="preserve"> </w:t>
      </w:r>
      <w:r>
        <w:rPr>
          <w:i/>
          <w:iCs/>
        </w:rPr>
        <w:t xml:space="preserve">52</w:t>
      </w:r>
      <w:r>
        <w:t xml:space="preserve">(3), 1368–1400.</w:t>
      </w:r>
      <w:r>
        <w:t xml:space="preserve"> </w:t>
      </w:r>
      <w:hyperlink r:id="rId444">
        <w:r>
          <w:rPr>
            <w:rStyle w:val="Hyperlink"/>
          </w:rPr>
          <w:t xml:space="preserve">https://doi.org/10.1177/0049124121995521</w:t>
        </w:r>
      </w:hyperlink>
    </w:p>
    <w:bookmarkEnd w:id="445"/>
    <w:bookmarkStart w:id="447" w:name="ref-Welzel2023b"/>
    <w:p>
      <w:pPr>
        <w:pStyle w:val="Bibliography"/>
      </w:pPr>
      <w:r>
        <w:t xml:space="preserve">Welzel, C., Kruse, S., &amp; Brunkert, L. (2023). Against the mainstream:</w:t>
      </w:r>
      <w:r>
        <w:t xml:space="preserve"> </w:t>
      </w:r>
      <w:r>
        <w:t xml:space="preserve">On</w:t>
      </w:r>
      <w:r>
        <w:t xml:space="preserve"> </w:t>
      </w:r>
      <w:r>
        <w:t xml:space="preserve">the limitations of non-invariance diagnostics:</w:t>
      </w:r>
      <w:r>
        <w:t xml:space="preserve"> </w:t>
      </w:r>
      <w:r>
        <w:t xml:space="preserve">Response</w:t>
      </w:r>
      <w:r>
        <w:t xml:space="preserve"> </w:t>
      </w:r>
      <w:r>
        <w:t xml:space="preserve">to</w:t>
      </w:r>
      <w:r>
        <w:t xml:space="preserve"> </w:t>
      </w:r>
      <w:r>
        <w:t xml:space="preserve">Fischer</w:t>
      </w:r>
      <w:r>
        <w:t xml:space="preserve"> </w:t>
      </w:r>
      <w:r>
        <w:t xml:space="preserve">et al. And</w:t>
      </w:r>
      <w:r>
        <w:t xml:space="preserve"> </w:t>
      </w:r>
      <w:r>
        <w:t xml:space="preserve">Meuleman</w:t>
      </w:r>
      <w:r>
        <w:t xml:space="preserve"> </w:t>
      </w:r>
      <w:r>
        <w:t xml:space="preserve">et al.</w:t>
      </w:r>
      <w:r>
        <w:t xml:space="preserve"> </w:t>
      </w:r>
      <w:r>
        <w:rPr>
          <w:i/>
          <w:iCs/>
        </w:rPr>
        <w:t xml:space="preserve">Sociological Methods &amp; Research</w:t>
      </w:r>
      <w:r>
        <w:t xml:space="preserve">,</w:t>
      </w:r>
      <w:r>
        <w:t xml:space="preserve"> </w:t>
      </w:r>
      <w:r>
        <w:rPr>
          <w:i/>
          <w:iCs/>
        </w:rPr>
        <w:t xml:space="preserve">52</w:t>
      </w:r>
      <w:r>
        <w:t xml:space="preserve">(3), 1438–1455.</w:t>
      </w:r>
      <w:r>
        <w:t xml:space="preserve"> </w:t>
      </w:r>
      <w:hyperlink r:id="rId446">
        <w:r>
          <w:rPr>
            <w:rStyle w:val="Hyperlink"/>
          </w:rPr>
          <w:t xml:space="preserve">https://doi.org/10.1177/00491241221091754</w:t>
        </w:r>
      </w:hyperlink>
    </w:p>
    <w:bookmarkEnd w:id="447"/>
    <w:bookmarkStart w:id="448" w:name="ref-Whitbourne2019"/>
    <w:p>
      <w:pPr>
        <w:pStyle w:val="Bibliography"/>
      </w:pPr>
      <w:r>
        <w:t xml:space="preserve">Whitbourne, S. K. (2019).</w:t>
      </w:r>
      <w:r>
        <w:t xml:space="preserve"> </w:t>
      </w:r>
      <w:r>
        <w:rPr>
          <w:i/>
          <w:iCs/>
        </w:rPr>
        <w:t xml:space="preserve">Longitudinal, cross-sectional, and sequential designs in lifespan developmental psychology</w:t>
      </w:r>
      <w:r>
        <w:t xml:space="preserve">. Oxford University Press.</w:t>
      </w:r>
    </w:p>
    <w:bookmarkEnd w:id="448"/>
    <w:bookmarkStart w:id="450" w:name="ref-Widaman2010"/>
    <w:p>
      <w:pPr>
        <w:pStyle w:val="Bibliography"/>
      </w:pPr>
      <w:r>
        <w:t xml:space="preserve">Widaman, K. F., Ferrer, E., &amp; Conger, R. D. (2010). Factorial invariance within longitudinal structural equation models:</w:t>
      </w:r>
      <w:r>
        <w:t xml:space="preserve"> </w:t>
      </w:r>
      <w:r>
        <w:t xml:space="preserve">Measuring</w:t>
      </w:r>
      <w:r>
        <w:t xml:space="preserve"> </w:t>
      </w:r>
      <w:r>
        <w:t xml:space="preserve">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449">
        <w:r>
          <w:rPr>
            <w:rStyle w:val="Hyperlink"/>
          </w:rPr>
          <w:t xml:space="preserve">https://doi.org/10.1111/j.1750-8606.2009.00110.x</w:t>
        </w:r>
      </w:hyperlink>
    </w:p>
    <w:bookmarkEnd w:id="450"/>
    <w:bookmarkStart w:id="452"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451">
        <w:r>
          <w:rPr>
            <w:rStyle w:val="Hyperlink"/>
          </w:rPr>
          <w:t xml:space="preserve">https://doi.org/10.1177/0165025419880610</w:t>
        </w:r>
      </w:hyperlink>
    </w:p>
    <w:bookmarkEnd w:id="452"/>
    <w:bookmarkStart w:id="454"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453">
        <w:r>
          <w:rPr>
            <w:rStyle w:val="Hyperlink"/>
          </w:rPr>
          <w:t xml:space="preserve">https://icd.who.int</w:t>
        </w:r>
      </w:hyperlink>
    </w:p>
    <w:bookmarkEnd w:id="454"/>
    <w:bookmarkStart w:id="456" w:name="ref-Wright2013"/>
    <w:p>
      <w:pPr>
        <w:pStyle w:val="Bibliography"/>
      </w:pPr>
      <w:r>
        <w:t xml:space="preserve">Wright, A. G. C., Krueger, R. F., Hobbs, M. J., Markon, K. E., Eaton, N. R., &amp; Slade, T. (2013). The structure of psychopathology:</w:t>
      </w:r>
      <w:r>
        <w:t xml:space="preserve"> </w:t>
      </w:r>
      <w:r>
        <w:t xml:space="preserve">Toward</w:t>
      </w:r>
      <w:r>
        <w:t xml:space="preserve"> </w:t>
      </w:r>
      <w:r>
        <w:t xml:space="preserve">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455">
        <w:r>
          <w:rPr>
            <w:rStyle w:val="Hyperlink"/>
          </w:rPr>
          <w:t xml:space="preserve">https://doi.org/10.1037/a0030133</w:t>
        </w:r>
      </w:hyperlink>
    </w:p>
    <w:bookmarkEnd w:id="456"/>
    <w:bookmarkStart w:id="457" w:name="ref-Yang2013"/>
    <w:p>
      <w:pPr>
        <w:pStyle w:val="Bibliography"/>
      </w:pPr>
      <w:r>
        <w:t xml:space="preserve">Yang, Y., &amp; Land, K. C. (2013).</w:t>
      </w:r>
      <w:r>
        <w:t xml:space="preserve"> </w:t>
      </w:r>
      <w:r>
        <w:rPr>
          <w:i/>
          <w:iCs/>
        </w:rPr>
        <w:t xml:space="preserve">Age-period-cohort analysis:</w:t>
      </w:r>
      <w:r>
        <w:rPr>
          <w:i/>
          <w:iCs/>
        </w:rPr>
        <w:t xml:space="preserve"> </w:t>
      </w:r>
      <w:r>
        <w:rPr>
          <w:i/>
          <w:iCs/>
        </w:rPr>
        <w:t xml:space="preserve">New</w:t>
      </w:r>
      <w:r>
        <w:rPr>
          <w:i/>
          <w:iCs/>
        </w:rPr>
        <w:t xml:space="preserve"> </w:t>
      </w:r>
      <w:r>
        <w:rPr>
          <w:i/>
          <w:iCs/>
        </w:rPr>
        <w:t xml:space="preserve">models, methods, and empirical applications</w:t>
      </w:r>
      <w:r>
        <w:t xml:space="preserve">. Taylor &amp; Francis.</w:t>
      </w:r>
    </w:p>
    <w:bookmarkEnd w:id="457"/>
    <w:bookmarkStart w:id="459" w:name="ref-Zhai2026"/>
    <w:p>
      <w:pPr>
        <w:pStyle w:val="Bibliography"/>
      </w:pPr>
      <w:r>
        <w:t xml:space="preserve">Zhai, R., Zhang, L., &amp; Cheng, G. (2026). Developmental trajectories of emotional and behavioral dysregulation from ages 3 to 17:</w:t>
      </w:r>
      <w:r>
        <w:t xml:space="preserve"> </w:t>
      </w:r>
      <w:r>
        <w:t xml:space="preserve">Early</w:t>
      </w:r>
      <w:r>
        <w:t xml:space="preserve"> </w:t>
      </w:r>
      <w:r>
        <w:t xml:space="preserve">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458">
        <w:r>
          <w:rPr>
            <w:rStyle w:val="Hyperlink"/>
          </w:rPr>
          <w:t xml:space="preserve">https://doi.org/10.1016/j.jad.2026.121556</w:t>
        </w:r>
      </w:hyperlink>
    </w:p>
    <w:bookmarkEnd w:id="459"/>
    <w:bookmarkEnd w:id="460"/>
    <w:bookmarkEnd w:id="461"/>
    <w:sectPr w:rsidR="007868AB" w:rsidRPr="005528BA">
      <w:headerReference r:id="rId8" w:type="even"/>
      <w:headerReference r:id="rId9" w:type="default"/>
      <w:footerReference r:id="rId10" w:type="even"/>
      <w:footerReference r:id="rId11" w:type="default"/>
      <w:headerReference r:id="rId12" w:type="first"/>
      <w:footerReference r:id="rId13" w:type="first"/>
      <w:pgSz w:code="1"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0">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83">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symptoms are required for older adolescents and adults (aged 17 or over).</w:t>
      </w:r>
      <w:r>
        <w:t xml:space="preserve"> </w:t>
      </w:r>
      <w:r>
        <w:t xml:space="preserve">However, the symptoms for defining ODD and ADHD do not differ across development.</w:t>
      </w:r>
    </w:p>
  </w:footnote>
  <w:footnote w:id="84">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“is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87">
    <w:p>
      <w:pPr>
        <w:pStyle w:val="FootnoteText"/>
      </w:pPr>
      <w:r>
        <w:rPr>
          <w:rStyle w:val="FootnoteReference"/>
        </w:rPr>
        <w:footnoteRef/>
      </w:r>
      <w:r>
        <w:t xml:space="preserve"> </w:t>
      </w:r>
      <w:r>
        <w:t xml:space="preserve">For simplicity and brevity, we refer to birth age as a proxy for developmental time.</w:t>
      </w:r>
    </w:p>
  </w:footnote>
  <w:footnote w:id="110">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33">
    <w:p>
      <w:pPr>
        <w:pStyle w:val="FootnoteText"/>
      </w:pPr>
      <w:r>
        <w:rPr>
          <w:rStyle w:val="FootnoteReference"/>
        </w:rPr>
        <w:footnoteRef/>
      </w:r>
      <w:r>
        <w:t xml:space="preserve"> </w:t>
      </w:r>
      <w:r>
        <w:t xml:space="preserve">Factorial invariance is also called measurement invariance.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1DAE85E0" w:rsidR="00340B9E" w:rsidRPr="000D23CF" w:rsidRDefault="00000000" w:rsidP="000D23CF">
    <w:pPr>
      <w:tabs>
        <w:tab w:val="right" w:pos="9360"/>
      </w:tabs>
    </w:pPr>
    <!-- apaquarto-original-runninghead: <w:sdt><w:sdtPr><w:alias w:val="Comments"/><w:tag w:val=""/><w:id w:val="411821190"/><w:placeholder><w:docPart w:val="0C02FC99099648D19246354A6487E13A"/></w:placeholder><w:showingPlcHdr/><w:dataBinding w:prefixMappings="xmlns:ns0='http://purl.org/dc/elements/1.1/' xmlns:ns1='http://schemas.openxmlformats.org/package/2006/metadata/core-properties' " w:xpath="/ns1:coreProperties[1]/ns0:description[1]" w:storeItemID="{6C3C8BC8-F283-45AE-878A-BAB7291924A1}"/><w:text w:multiLine="1"/></w:sdtPr><w:sdtContent><w:r w:rsidR="00BD5312" w:rsidRPr="00361F1C"><w:rPr><w:rStyle w:val="PlaceholderText"/></w:rPr><w:t>[Comments]</w:t></w:r></w:sdtContent></w:sdt> -->
    <w:sdt>
      <w:sdtPr>
        <w:alias w:val="Comments"/>
        <w:tag w:val=""/>
        <w:id w:val="411821190"/>
        <w:placeholder>
          <w:docPart w:val="0C02FC99099648D19246354A6487E13A"/>
        </w:placeholder>
        <w:dataBinding w:prefixMappings="xmlns:ns0='http://purl.org/dc/elements/1.1/' xmlns:ns1='http://schemas.openxmlformats.org/package/2006/metadata/core-properties' " w:xpath="/ns1:coreProperties[1]/ns0:description[1]" w:storeItemID="{6C3C8BC8-F283-45AE-878A-BAB7291924A1}"/>
        <w:text w:multiLine="1"/>
      </w:sdtPr>
      <w:sdtContent>
        <w:r>
          <w:t xml:space="preserve">PSYCHOPATHOLOGY DEVELOPMENT ACROSS LIFESPAN</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36EDA"/>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2E7A3C"/>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8292B"/>
    <w:rsid w:val="008F27BE"/>
    <w:rsid w:val="009057F5"/>
    <w:rsid w:val="00932B9C"/>
    <w:rsid w:val="009638C5"/>
    <w:rsid w:val="009B29FD"/>
    <w:rsid w:val="009B41AF"/>
    <w:rsid w:val="00A072AF"/>
    <w:rsid w:val="00A16B10"/>
    <w:rsid w:val="00A46245"/>
    <w:rsid w:val="00A82821"/>
    <w:rsid w:val="00A946AC"/>
    <w:rsid w:val="00AA1F29"/>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BD5312"/>
    <w:rsid w:val="00C23682"/>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00A8"/>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036EDA"/>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036EDA"/>
    <w:pPr>
      <w:shd w:color="auto" w:fill="F1F3F5" w:val="clear"/>
      <w:wordWrap w:val="0"/>
      <w:spacing w:after="240" w:line="240" w:lineRule="auto"/>
      <w:contextualSpacing/>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 w:customStyle="1" w:styleId="SubPanelNote" w:type="paragraph">
    <w:name w:val="SubPanelNote"/>
    <w:basedOn w:val="FigureNote"/>
    <w:link w:val="SubPanelNoteChar"/>
    <w:qFormat/>
    <w:rsid w:val="00BD5312"/>
    <w:pPr>
      <w:jc w:val="center"/>
    </w:pPr>
  </w:style>
  <w:style w:customStyle="1" w:styleId="SubPanelNoteChar" w:type="character">
    <w:name w:val="SubPanelNote Char"/>
    <w:basedOn w:val="FigureNoteChar"/>
    <w:link w:val="SubPanelNote"/>
    <w:rsid w:val="00BD531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114" Target="media/rId114.png" /><Relationship Type="http://schemas.openxmlformats.org/officeDocument/2006/relationships/image" Id="rId78" Target="media/rId78.png" /><Relationship Type="http://schemas.openxmlformats.org/officeDocument/2006/relationships/image" Id="rId95" Target="media/rId95.png" /><Relationship Type="http://schemas.openxmlformats.org/officeDocument/2006/relationships/image" Id="rId88" Target="media/rId88.jpg" /><Relationship Type="http://schemas.openxmlformats.org/officeDocument/2006/relationships/image" Id="rId105" Target="media/rId105.png" /><Relationship Type="http://schemas.openxmlformats.org/officeDocument/2006/relationships/image" Id="rId123" Target="media/rId123.png" /><Relationship Type="http://schemas.openxmlformats.org/officeDocument/2006/relationships/image" Id="rId23" Target="media/rId23.svg" /><Relationship Type="http://schemas.openxmlformats.org/officeDocument/2006/relationships/image" Id="rId52" Target="media/rId52.png" /><Relationship Type="http://schemas.openxmlformats.org/officeDocument/2006/relationships/image" Id="rId45" Target="media/rId45.png" /><Relationship Type="http://schemas.openxmlformats.org/officeDocument/2006/relationships/image" Id="rId71" Target="media/rId71.png" /><Relationship Type="http://schemas.openxmlformats.org/officeDocument/2006/relationships/image" Id="rId60" Target="media/rId60.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58" Target="https://DevPsyLab.github.io/studying-psychopathology-development-lifespan/notebooks/analyses-preview.html#cell-fig-externalizing-by-age" TargetMode="External" /><Relationship Type="http://schemas.openxmlformats.org/officeDocument/2006/relationships/hyperlink" Id="rId51" Target="https://DevPsyLab.github.io/studying-psychopathology-development-lifespan/notebooks/analyses-preview.html#cell-fig-lifespancognitivetrajectories" TargetMode="External" /><Relationship Type="http://schemas.openxmlformats.org/officeDocument/2006/relationships/hyperlink" Id="rId75" Target="https://DevPsyLab.github.io/studying-psychopathology-development-lifespan/notebooks/analyses-preview.html#cell-fig-longitudinal-externalizing-studies" TargetMode="External" /><Relationship Type="http://schemas.openxmlformats.org/officeDocument/2006/relationships/hyperlink" Id="rId64" Target="https://DevPsyLab.github.io/studying-psychopathology-development-lifespan/notebooks/analyses-preview.html#cell-fig-longitudinalstudies" TargetMode="External" /><Relationship Type="http://schemas.openxmlformats.org/officeDocument/2006/relationships/hyperlink" Id="rId100" Target="https://DevPsyLab.github.io/studying-psychopathology-development-lifespan/notebooks/analyses-preview.html#cell-tbl-externalizingfacets" TargetMode="External" /><Relationship Type="http://schemas.openxmlformats.org/officeDocument/2006/relationships/hyperlink" Id="rId284" Target="https://doi.org/10.1001/archgenpsychiatry.2010.188" TargetMode="External" /><Relationship Type="http://schemas.openxmlformats.org/officeDocument/2006/relationships/hyperlink" Id="rId305" Target="https://doi.org/10.1001/archpsyc.62.12.1352" TargetMode="External" /><Relationship Type="http://schemas.openxmlformats.org/officeDocument/2006/relationships/hyperlink" Id="rId178" Target="https://doi.org/10.1001/jamanetworkopen.2020.3221" TargetMode="External" /><Relationship Type="http://schemas.openxmlformats.org/officeDocument/2006/relationships/hyperlink" Id="rId182" Target="https://doi.org/10.1002/9780470147658.chpsy0306" TargetMode="External" /><Relationship Type="http://schemas.openxmlformats.org/officeDocument/2006/relationships/hyperlink" Id="rId168" Target="https://doi.org/10.1002/9781119125556.devpsy101" TargetMode="External" /><Relationship Type="http://schemas.openxmlformats.org/officeDocument/2006/relationships/hyperlink" Id="rId263" Target="https://doi.org/10.1002/cbm.708" TargetMode="External" /><Relationship Type="http://schemas.openxmlformats.org/officeDocument/2006/relationships/hyperlink" Id="rId147" Target="https://doi.org/10.1002/jcv2.70043" TargetMode="External" /><Relationship Type="http://schemas.openxmlformats.org/officeDocument/2006/relationships/hyperlink" Id="rId282" Target="https://doi.org/10.1002/wps.20844" TargetMode="External" /><Relationship Type="http://schemas.openxmlformats.org/officeDocument/2006/relationships/hyperlink" Id="rId221" Target="https://doi.org/10.1007/978-1-0716-3335-9_5" TargetMode="External" /><Relationship Type="http://schemas.openxmlformats.org/officeDocument/2006/relationships/hyperlink" Id="rId153" Target="https://doi.org/10.1007/978-1-4614-9608-3_16" TargetMode="External" /><Relationship Type="http://schemas.openxmlformats.org/officeDocument/2006/relationships/hyperlink" Id="rId273" Target="https://doi.org/10.1007/978-1-4939-0317-7" TargetMode="External" /><Relationship Type="http://schemas.openxmlformats.org/officeDocument/2006/relationships/hyperlink" Id="rId298" Target="https://doi.org/10.1007/978-3-030-68429-7" TargetMode="External" /><Relationship Type="http://schemas.openxmlformats.org/officeDocument/2006/relationships/hyperlink" Id="rId301" Target="https://doi.org/10.1007/978-3-031-80549-3" TargetMode="External" /><Relationship Type="http://schemas.openxmlformats.org/officeDocument/2006/relationships/hyperlink" Id="rId368" Target="https://doi.org/10.1007/s00127-015-1048-8" TargetMode="External" /><Relationship Type="http://schemas.openxmlformats.org/officeDocument/2006/relationships/hyperlink" Id="rId232" Target="https://doi.org/10.1007/s00234-020-02562-1" TargetMode="External" /><Relationship Type="http://schemas.openxmlformats.org/officeDocument/2006/relationships/hyperlink" Id="rId434" Target="https://doi.org/10.1007/s10802-010-9478-y" TargetMode="External" /><Relationship Type="http://schemas.openxmlformats.org/officeDocument/2006/relationships/hyperlink" Id="rId170" Target="https://doi.org/10.1007/s10802-012-9669-9" TargetMode="External" /><Relationship Type="http://schemas.openxmlformats.org/officeDocument/2006/relationships/hyperlink" Id="rId432" Target="https://doi.org/10.1007/s10802-012-9700-1" TargetMode="External" /><Relationship Type="http://schemas.openxmlformats.org/officeDocument/2006/relationships/hyperlink" Id="rId267" Target="https://doi.org/10.1007/s10802-017-0383-5" TargetMode="External" /><Relationship Type="http://schemas.openxmlformats.org/officeDocument/2006/relationships/hyperlink" Id="rId269" Target="https://doi.org/10.1007/s10802-021-00885-y" TargetMode="External" /><Relationship Type="http://schemas.openxmlformats.org/officeDocument/2006/relationships/hyperlink" Id="rId144" Target="https://doi.org/10.1007/s10802-023-01119-z" TargetMode="External" /><Relationship Type="http://schemas.openxmlformats.org/officeDocument/2006/relationships/hyperlink" Id="rId254" Target="https://doi.org/10.1007/s10826-018-1272-4" TargetMode="External" /><Relationship Type="http://schemas.openxmlformats.org/officeDocument/2006/relationships/hyperlink" Id="rId312" Target="https://doi.org/10.1007/s11121-022-01467-0" TargetMode="External" /><Relationship Type="http://schemas.openxmlformats.org/officeDocument/2006/relationships/hyperlink" Id="rId428" Target="https://doi.org/10.1007/s12103-013-9235-1" TargetMode="External" /><Relationship Type="http://schemas.openxmlformats.org/officeDocument/2006/relationships/hyperlink" Id="rId430" Target="https://doi.org/10.1007/s12103-014-9272-4" TargetMode="External" /><Relationship Type="http://schemas.openxmlformats.org/officeDocument/2006/relationships/hyperlink" Id="rId184" Target="https://doi.org/10.1007/s40865-015-0012-3" TargetMode="External" /><Relationship Type="http://schemas.openxmlformats.org/officeDocument/2006/relationships/hyperlink" Id="rId292" Target="https://doi.org/10.1016/S0005-7967(02)00016-5" TargetMode="External" /><Relationship Type="http://schemas.openxmlformats.org/officeDocument/2006/relationships/hyperlink" Id="rId50" Target="https://doi.org/10.1016/j.arr.2026.103102" TargetMode="External" /><Relationship Type="http://schemas.openxmlformats.org/officeDocument/2006/relationships/hyperlink" Id="rId176" Target="https://doi.org/10.1016/j.cpr.2012.02.006" TargetMode="External" /><Relationship Type="http://schemas.openxmlformats.org/officeDocument/2006/relationships/hyperlink" Id="rId404" Target="https://doi.org/10.1016/j.cresp.2025.100261" TargetMode="External" /><Relationship Type="http://schemas.openxmlformats.org/officeDocument/2006/relationships/hyperlink" Id="rId307" Target="https://doi.org/10.1016/j.dr.2004.04.002" TargetMode="External" /><Relationship Type="http://schemas.openxmlformats.org/officeDocument/2006/relationships/hyperlink" Id="rId440" Target="https://doi.org/10.1016/j.dr.2008.01.001" TargetMode="External" /><Relationship Type="http://schemas.openxmlformats.org/officeDocument/2006/relationships/hyperlink" Id="rId353" Target="https://doi.org/10.1016/j.dr.2020.100935" TargetMode="External" /><Relationship Type="http://schemas.openxmlformats.org/officeDocument/2006/relationships/hyperlink" Id="rId420" Target="https://doi.org/10.1016/j.jaac.2013.10.011" TargetMode="External" /><Relationship Type="http://schemas.openxmlformats.org/officeDocument/2006/relationships/hyperlink" Id="rId163" Target="https://doi.org/10.1016/j.jaac.2017.05.019" TargetMode="External" /><Relationship Type="http://schemas.openxmlformats.org/officeDocument/2006/relationships/hyperlink" Id="rId92" Target="https://doi.org/10.1016/j.jaacop.2025.10.008" TargetMode="External" /><Relationship Type="http://schemas.openxmlformats.org/officeDocument/2006/relationships/hyperlink" Id="rId458" Target="https://doi.org/10.1016/j.jad.2026.121556" TargetMode="External" /><Relationship Type="http://schemas.openxmlformats.org/officeDocument/2006/relationships/hyperlink" Id="rId56" Target="https://doi.org/10.1016/j.jcrimjus.2024.102155" TargetMode="External" /><Relationship Type="http://schemas.openxmlformats.org/officeDocument/2006/relationships/hyperlink" Id="rId151" Target="https://doi.org/10.1016/j.jpsychires.2013.08.016" TargetMode="External" /><Relationship Type="http://schemas.openxmlformats.org/officeDocument/2006/relationships/hyperlink" Id="rId314" Target="https://doi.org/10.1016/j.jsp.2012.10.002" TargetMode="External" /><Relationship Type="http://schemas.openxmlformats.org/officeDocument/2006/relationships/hyperlink" Id="rId244" Target="https://doi.org/10.1017/S0033291711001966" TargetMode="External" /><Relationship Type="http://schemas.openxmlformats.org/officeDocument/2006/relationships/hyperlink" Id="rId246" Target="https://doi.org/10.1017/S003329172000183X" TargetMode="External" /><Relationship Type="http://schemas.openxmlformats.org/officeDocument/2006/relationships/hyperlink" Id="rId442" Target="https://doi.org/10.1017/S0954579403000221" TargetMode="External" /><Relationship Type="http://schemas.openxmlformats.org/officeDocument/2006/relationships/hyperlink" Id="rId402" Target="https://doi.org/10.1017/S0954579407070174" TargetMode="External" /><Relationship Type="http://schemas.openxmlformats.org/officeDocument/2006/relationships/hyperlink" Id="rId337" Target="https://doi.org/10.1017/S0954579408000333" TargetMode="External" /><Relationship Type="http://schemas.openxmlformats.org/officeDocument/2006/relationships/hyperlink" Id="rId296" Target="https://doi.org/10.1017/S0954579410000301" TargetMode="External" /><Relationship Type="http://schemas.openxmlformats.org/officeDocument/2006/relationships/hyperlink" Id="rId57" Target="https://doi.org/10.1017/S0954579414000789" TargetMode="External" /><Relationship Type="http://schemas.openxmlformats.org/officeDocument/2006/relationships/hyperlink" Id="rId225" Target="https://doi.org/10.1017/S0954579416000651" TargetMode="External" /><Relationship Type="http://schemas.openxmlformats.org/officeDocument/2006/relationships/hyperlink" Id="rId234" Target="https://doi.org/10.1017/S0954579421001772" TargetMode="External" /><Relationship Type="http://schemas.openxmlformats.org/officeDocument/2006/relationships/hyperlink" Id="rId161" Target="https://doi.org/10.1017/S0954579423001505" TargetMode="External" /><Relationship Type="http://schemas.openxmlformats.org/officeDocument/2006/relationships/hyperlink" Id="rId242" Target="https://doi.org/10.1017/S0954579424000713" TargetMode="External" /><Relationship Type="http://schemas.openxmlformats.org/officeDocument/2006/relationships/hyperlink" Id="rId341" Target="https://doi.org/10.1023/a:1026254005632" TargetMode="External" /><Relationship Type="http://schemas.openxmlformats.org/officeDocument/2006/relationships/hyperlink" Id="rId174" Target="https://doi.org/10.1027/1015-5759.17.1.25" TargetMode="External" /><Relationship Type="http://schemas.openxmlformats.org/officeDocument/2006/relationships/hyperlink" Id="rId386" Target="https://doi.org/10.1037/0003-066X.54.2.93" TargetMode="External" /><Relationship Type="http://schemas.openxmlformats.org/officeDocument/2006/relationships/hyperlink" Id="rId172" Target="https://doi.org/10.1037/0012-1649.39.2.222" TargetMode="External" /><Relationship Type="http://schemas.openxmlformats.org/officeDocument/2006/relationships/hyperlink" Id="rId200" Target="https://doi.org/10.1037/0012-1649.44.2.365" TargetMode="External" /><Relationship Type="http://schemas.openxmlformats.org/officeDocument/2006/relationships/hyperlink" Id="rId286" Target="https://doi.org/10.1037/0021-843X.116.4.645" TargetMode="External" /><Relationship Type="http://schemas.openxmlformats.org/officeDocument/2006/relationships/hyperlink" Id="rId288" Target="https://doi.org/10.1037/0021-843x.114.4.537" TargetMode="External" /><Relationship Type="http://schemas.openxmlformats.org/officeDocument/2006/relationships/hyperlink" Id="rId345" Target="https://doi.org/10.1037/0022-006X.61.6.911" TargetMode="External" /><Relationship Type="http://schemas.openxmlformats.org/officeDocument/2006/relationships/hyperlink" Id="rId192" Target="https://doi.org/10.1037/0022-006X.70.1.6" TargetMode="External" /><Relationship Type="http://schemas.openxmlformats.org/officeDocument/2006/relationships/hyperlink" Id="rId323" Target="https://doi.org/10.1037/0033-295X.100.4.674" TargetMode="External" /><Relationship Type="http://schemas.openxmlformats.org/officeDocument/2006/relationships/hyperlink" Id="rId248" Target="https://doi.org/10.1037/0882-7974.18.4.639" TargetMode="External" /><Relationship Type="http://schemas.openxmlformats.org/officeDocument/2006/relationships/hyperlink" Id="rId223" Target="https://doi.org/10.1037/0882-7974.19.2.243" TargetMode="External" /><Relationship Type="http://schemas.openxmlformats.org/officeDocument/2006/relationships/hyperlink" Id="rId290" Target="https://doi.org/10.1037/1040-3590.16.2.107" TargetMode="External" /><Relationship Type="http://schemas.openxmlformats.org/officeDocument/2006/relationships/hyperlink" Id="rId259" Target="https://doi.org/10.1037/13129-000" TargetMode="External" /><Relationship Type="http://schemas.openxmlformats.org/officeDocument/2006/relationships/hyperlink" Id="rId140" Target="https://doi.org/10.1037/14048-008" TargetMode="External" /><Relationship Type="http://schemas.openxmlformats.org/officeDocument/2006/relationships/hyperlink" Id="rId310" Target="https://doi.org/10.1037/a0015857" TargetMode="External" /><Relationship Type="http://schemas.openxmlformats.org/officeDocument/2006/relationships/hyperlink" Id="rId424" Target="https://doi.org/10.1037/a0021519" TargetMode="External" /><Relationship Type="http://schemas.openxmlformats.org/officeDocument/2006/relationships/hyperlink" Id="rId303" Target="https://doi.org/10.1037/a0023678" TargetMode="External" /><Relationship Type="http://schemas.openxmlformats.org/officeDocument/2006/relationships/hyperlink" Id="rId455" Target="https://doi.org/10.1037/a0030133" TargetMode="External" /><Relationship Type="http://schemas.openxmlformats.org/officeDocument/2006/relationships/hyperlink" Id="rId157" Target="https://doi.org/10.1037/a0032475" TargetMode="External" /><Relationship Type="http://schemas.openxmlformats.org/officeDocument/2006/relationships/hyperlink" Id="rId390" Target="https://doi.org/10.1037/abn0000171" TargetMode="External" /><Relationship Type="http://schemas.openxmlformats.org/officeDocument/2006/relationships/hyperlink" Id="rId381" Target="https://doi.org/10.1037/abn0000232" TargetMode="External" /><Relationship Type="http://schemas.openxmlformats.org/officeDocument/2006/relationships/hyperlink" Id="rId276" Target="https://doi.org/10.1037/abn0000258" TargetMode="External" /><Relationship Type="http://schemas.openxmlformats.org/officeDocument/2006/relationships/hyperlink" Id="rId358" Target="https://doi.org/10.1037/abn0000649" TargetMode="External" /><Relationship Type="http://schemas.openxmlformats.org/officeDocument/2006/relationships/hyperlink" Id="rId410" Target="https://doi.org/10.1037/abn0000751" TargetMode="External" /><Relationship Type="http://schemas.openxmlformats.org/officeDocument/2006/relationships/hyperlink" Id="rId204" Target="https://doi.org/10.1037/abn0001084" TargetMode="External" /><Relationship Type="http://schemas.openxmlformats.org/officeDocument/2006/relationships/hyperlink" Id="rId362" Target="https://doi.org/10.1037/dev0000449" TargetMode="External" /><Relationship Type="http://schemas.openxmlformats.org/officeDocument/2006/relationships/hyperlink" Id="rId392" Target="https://doi.org/10.1037/dev0001095" TargetMode="External" /><Relationship Type="http://schemas.openxmlformats.org/officeDocument/2006/relationships/hyperlink" Id="rId349" Target="https://doi.org/10.1037/dev0001657" TargetMode="External" /><Relationship Type="http://schemas.openxmlformats.org/officeDocument/2006/relationships/hyperlink" Id="rId118" Target="https://doi.org/10.1037/edu0000461" TargetMode="External" /><Relationship Type="http://schemas.openxmlformats.org/officeDocument/2006/relationships/hyperlink" Id="rId155" Target="https://doi.org/10.1037/met0000077" TargetMode="External" /><Relationship Type="http://schemas.openxmlformats.org/officeDocument/2006/relationships/hyperlink" Id="rId217" Target="https://doi.org/10.1037/met0000563" TargetMode="External" /><Relationship Type="http://schemas.openxmlformats.org/officeDocument/2006/relationships/hyperlink" Id="rId188" Target="https://doi.org/10.1037/met0000685" TargetMode="External" /><Relationship Type="http://schemas.openxmlformats.org/officeDocument/2006/relationships/hyperlink" Id="rId394" Target="https://doi.org/10.1037/pas0000648" TargetMode="External" /><Relationship Type="http://schemas.openxmlformats.org/officeDocument/2006/relationships/hyperlink" Id="rId370" Target="https://doi.org/10.1037/pas0000754" TargetMode="External" /><Relationship Type="http://schemas.openxmlformats.org/officeDocument/2006/relationships/hyperlink" Id="rId82" Target="https://doi.org/10.1037/pas0001441" TargetMode="External" /><Relationship Type="http://schemas.openxmlformats.org/officeDocument/2006/relationships/hyperlink" Id="rId412" Target="https://doi.org/10.1038/s44220-023-00057-5" TargetMode="External" /><Relationship Type="http://schemas.openxmlformats.org/officeDocument/2006/relationships/hyperlink" Id="rId325" Target="https://doi.org/10.1073/pnas.1010076108" TargetMode="External" /><Relationship Type="http://schemas.openxmlformats.org/officeDocument/2006/relationships/hyperlink" Id="rId202" Target="https://doi.org/10.1080/00273171.2014.889594" TargetMode="External" /><Relationship Type="http://schemas.openxmlformats.org/officeDocument/2006/relationships/hyperlink" Id="rId294" Target="https://doi.org/10.1080/00273171.2021.1941730" TargetMode="External" /><Relationship Type="http://schemas.openxmlformats.org/officeDocument/2006/relationships/hyperlink" Id="rId186" Target="https://doi.org/10.1080/00273171.2026.2640576" TargetMode="External" /><Relationship Type="http://schemas.openxmlformats.org/officeDocument/2006/relationships/hyperlink" Id="rId436" Target="https://doi.org/10.1080/02664763.2020.1817346" TargetMode="External" /><Relationship Type="http://schemas.openxmlformats.org/officeDocument/2006/relationships/hyperlink" Id="rId372" Target="https://doi.org/10.1080/10705511.2023.2191292" TargetMode="External" /><Relationship Type="http://schemas.openxmlformats.org/officeDocument/2006/relationships/hyperlink" Id="rId438" Target="https://doi.org/10.1080/15366367.2018.1502005" TargetMode="External" /><Relationship Type="http://schemas.openxmlformats.org/officeDocument/2006/relationships/hyperlink" Id="rId422" Target="https://doi.org/10.1080/15374416.2018.1561296" TargetMode="External" /><Relationship Type="http://schemas.openxmlformats.org/officeDocument/2006/relationships/hyperlink" Id="rId414" Target="https://doi.org/10.1080/15374416.2019.1622124" TargetMode="External" /><Relationship Type="http://schemas.openxmlformats.org/officeDocument/2006/relationships/hyperlink" Id="rId206" Target="https://doi.org/10.1080/15374416.2025.2484813" TargetMode="External" /><Relationship Type="http://schemas.openxmlformats.org/officeDocument/2006/relationships/hyperlink" Id="rId383" Target="https://doi.org/10.1086/269270" TargetMode="External" /><Relationship Type="http://schemas.openxmlformats.org/officeDocument/2006/relationships/hyperlink" Id="rId212" Target="https://doi.org/10.1108/978-1-61735-891-320251015" TargetMode="External" /><Relationship Type="http://schemas.openxmlformats.org/officeDocument/2006/relationships/hyperlink" Id="rId142" Target="https://doi.org/10.1111/acer.13525" TargetMode="External" /><Relationship Type="http://schemas.openxmlformats.org/officeDocument/2006/relationships/hyperlink" Id="rId329" Target="https://doi.org/10.1111/cdev.12036" TargetMode="External" /><Relationship Type="http://schemas.openxmlformats.org/officeDocument/2006/relationships/hyperlink" Id="rId364" Target="https://doi.org/10.1111/cdev.12880" TargetMode="External" /><Relationship Type="http://schemas.openxmlformats.org/officeDocument/2006/relationships/hyperlink" Id="rId360" Target="https://doi.org/10.1111/cdev.13433" TargetMode="External" /><Relationship Type="http://schemas.openxmlformats.org/officeDocument/2006/relationships/hyperlink" Id="rId250" Target="https://doi.org/10.1111/desc.13280" TargetMode="External" /><Relationship Type="http://schemas.openxmlformats.org/officeDocument/2006/relationships/hyperlink" Id="rId347" Target="https://doi.org/10.1111/desc.70216" TargetMode="External" /><Relationship Type="http://schemas.openxmlformats.org/officeDocument/2006/relationships/hyperlink" Id="rId165" Target="https://doi.org/10.1111/j.1467-8624.2004.00755.x" TargetMode="External" /><Relationship Type="http://schemas.openxmlformats.org/officeDocument/2006/relationships/hyperlink" Id="rId316" Target="https://doi.org/10.1111/j.1467-9507.2008.00480.x" TargetMode="External" /><Relationship Type="http://schemas.openxmlformats.org/officeDocument/2006/relationships/hyperlink" Id="rId377" Target="https://doi.org/10.1111/j.1469-7610.2006.01614.x" TargetMode="External" /><Relationship Type="http://schemas.openxmlformats.org/officeDocument/2006/relationships/hyperlink" Id="rId196" Target="https://doi.org/10.1111/j.1469-7610.2011.02511.x" TargetMode="External" /><Relationship Type="http://schemas.openxmlformats.org/officeDocument/2006/relationships/hyperlink" Id="rId261" Target="https://doi.org/10.1111/j.1469-7610.2012.02585.x" TargetMode="External" /><Relationship Type="http://schemas.openxmlformats.org/officeDocument/2006/relationships/hyperlink" Id="rId449" Target="https://doi.org/10.1111/j.1750-8606.2009.00110.x" TargetMode="External" /><Relationship Type="http://schemas.openxmlformats.org/officeDocument/2006/relationships/hyperlink" Id="rId271" Target="https://doi.org/10.1111/j.1750-8606.2009.00112.x" TargetMode="External" /><Relationship Type="http://schemas.openxmlformats.org/officeDocument/2006/relationships/hyperlink" Id="rId219" Target="https://doi.org/10.1111/jcpp.12102" TargetMode="External" /><Relationship Type="http://schemas.openxmlformats.org/officeDocument/2006/relationships/hyperlink" Id="rId397" Target="https://doi.org/10.1111/jcpp.13549" TargetMode="External" /><Relationship Type="http://schemas.openxmlformats.org/officeDocument/2006/relationships/hyperlink" Id="rId159" Target="https://doi.org/10.1111/jcpp.70057" TargetMode="External" /><Relationship Type="http://schemas.openxmlformats.org/officeDocument/2006/relationships/hyperlink" Id="rId379" Target="https://doi.org/10.1111/jcpp.70180" TargetMode="External" /><Relationship Type="http://schemas.openxmlformats.org/officeDocument/2006/relationships/hyperlink" Id="rId408" Target="https://doi.org/10.1111/jedm.70019" TargetMode="External" /><Relationship Type="http://schemas.openxmlformats.org/officeDocument/2006/relationships/hyperlink" Id="rId265" Target="https://doi.org/10.1111/jora.12252" TargetMode="External" /><Relationship Type="http://schemas.openxmlformats.org/officeDocument/2006/relationships/hyperlink" Id="rId280" Target="https://doi.org/10.1111/psyp.12551" TargetMode="External" /><Relationship Type="http://schemas.openxmlformats.org/officeDocument/2006/relationships/hyperlink" Id="rId210" Target="https://doi.org/10.1126/science.2270481" TargetMode="External" /><Relationship Type="http://schemas.openxmlformats.org/officeDocument/2006/relationships/hyperlink" Id="rId208" Target="https://doi.org/10.1146/annurev-clinpsy-050212-185617" TargetMode="External" /><Relationship Type="http://schemas.openxmlformats.org/officeDocument/2006/relationships/hyperlink" Id="rId335" Target="https://doi.org/10.1146/annurev-clinpsy-061324-073435" TargetMode="External" /><Relationship Type="http://schemas.openxmlformats.org/officeDocument/2006/relationships/hyperlink" Id="rId400" Target="https://doi.org/10.1146/annurev-criminol-111523-122451" TargetMode="External" /><Relationship Type="http://schemas.openxmlformats.org/officeDocument/2006/relationships/hyperlink" Id="rId366" Target="https://doi.org/10.1146/annurev-psych-120710-100452" TargetMode="External" /><Relationship Type="http://schemas.openxmlformats.org/officeDocument/2006/relationships/hyperlink" Id="rId327" Target="https://doi.org/10.1159/000270073" TargetMode="External" /><Relationship Type="http://schemas.openxmlformats.org/officeDocument/2006/relationships/hyperlink" Id="rId278" Target="https://doi.org/10.1176/appi.ajp.160.9.1566" TargetMode="External" /><Relationship Type="http://schemas.openxmlformats.org/officeDocument/2006/relationships/hyperlink" Id="rId252" Target="https://doi.org/10.1176/appi.ajp.2008.08030366" TargetMode="External" /><Relationship Type="http://schemas.openxmlformats.org/officeDocument/2006/relationships/hyperlink" Id="rId444" Target="https://doi.org/10.1177/0049124121995521" TargetMode="External" /><Relationship Type="http://schemas.openxmlformats.org/officeDocument/2006/relationships/hyperlink" Id="rId446" Target="https://doi.org/10.1177/00491241221091754" TargetMode="External" /><Relationship Type="http://schemas.openxmlformats.org/officeDocument/2006/relationships/hyperlink" Id="rId426" Target="https://doi.org/10.1177/0093854812443645" TargetMode="External" /><Relationship Type="http://schemas.openxmlformats.org/officeDocument/2006/relationships/hyperlink" Id="rId198" Target="https://doi.org/10.1177/0146621612470210" TargetMode="External" /><Relationship Type="http://schemas.openxmlformats.org/officeDocument/2006/relationships/hyperlink" Id="rId333" Target="https://doi.org/10.1177/0165025415618275" TargetMode="External" /><Relationship Type="http://schemas.openxmlformats.org/officeDocument/2006/relationships/hyperlink" Id="rId451" Target="https://doi.org/10.1177/0165025419880610" TargetMode="External" /><Relationship Type="http://schemas.openxmlformats.org/officeDocument/2006/relationships/hyperlink" Id="rId149" Target="https://doi.org/10.1177/0269758014537147" TargetMode="External" /><Relationship Type="http://schemas.openxmlformats.org/officeDocument/2006/relationships/hyperlink" Id="rId229" Target="https://doi.org/10.1177/08902070241228338" TargetMode="External" /><Relationship Type="http://schemas.openxmlformats.org/officeDocument/2006/relationships/hyperlink" Id="rId339" Target="https://doi.org/10.1177/0962280214534588" TargetMode="External" /><Relationship Type="http://schemas.openxmlformats.org/officeDocument/2006/relationships/hyperlink" Id="rId406" Target="https://doi.org/10.1177/1362361320908972" TargetMode="External" /><Relationship Type="http://schemas.openxmlformats.org/officeDocument/2006/relationships/hyperlink" Id="rId180" Target="https://doi.org/10.1177/2167702613497473" TargetMode="External" /><Relationship Type="http://schemas.openxmlformats.org/officeDocument/2006/relationships/hyperlink" Id="rId375" Target="https://doi.org/10.1177/25152459251342750" TargetMode="External" /><Relationship Type="http://schemas.openxmlformats.org/officeDocument/2006/relationships/hyperlink" Id="rId227" Target="https://doi.org/10.1207/S15374424JCCP3301_6" TargetMode="External" /><Relationship Type="http://schemas.openxmlformats.org/officeDocument/2006/relationships/hyperlink" Id="rId343" Target="https://doi.org/10.1371/journal.pone.0063109" TargetMode="External" /><Relationship Type="http://schemas.openxmlformats.org/officeDocument/2006/relationships/hyperlink" Id="rId236" Target="https://doi.org/10.1378/chest.116.5.1208" TargetMode="External" /><Relationship Type="http://schemas.openxmlformats.org/officeDocument/2006/relationships/hyperlink" Id="rId190" Target="https://doi.org/10.14283/jfa.2012.9" TargetMode="External" /><Relationship Type="http://schemas.openxmlformats.org/officeDocument/2006/relationships/hyperlink" Id="rId49" Target="https://doi.org/10.1590/1980-57642018dn12-030001" TargetMode="External" /><Relationship Type="http://schemas.openxmlformats.org/officeDocument/2006/relationships/hyperlink" Id="rId388" Target="https://doi.org/10.18148/srm/2018.v12i1.7210" TargetMode="External" /><Relationship Type="http://schemas.openxmlformats.org/officeDocument/2006/relationships/hyperlink" Id="rId238" Target="https://doi.org/10.22237/jmasm/1209614640" TargetMode="External" /><Relationship Type="http://schemas.openxmlformats.org/officeDocument/2006/relationships/hyperlink" Id="rId214" Target="https://doi.org/10.2307/2095245" TargetMode="External" /><Relationship Type="http://schemas.openxmlformats.org/officeDocument/2006/relationships/hyperlink" Id="rId416" Target="https://doi.org/10.2307/j.ctt2jbxs1" TargetMode="External" /><Relationship Type="http://schemas.openxmlformats.org/officeDocument/2006/relationships/hyperlink" Id="rId127" Target="https://doi.org/10.25820/work.007199" TargetMode="External" /><Relationship Type="http://schemas.openxmlformats.org/officeDocument/2006/relationships/hyperlink" Id="rId418" Target="https://doi.org/10.3389/fpsyg.2013.00770" TargetMode="External" /><Relationship Type="http://schemas.openxmlformats.org/officeDocument/2006/relationships/hyperlink" Id="rId331" Target="https://doi.org/10.3389/fpsyg.2014.00978" TargetMode="External" /><Relationship Type="http://schemas.openxmlformats.org/officeDocument/2006/relationships/hyperlink" Id="rId194" Target="https://doi.org/10.3389/fpsyg.2014.00982" TargetMode="External" /><Relationship Type="http://schemas.openxmlformats.org/officeDocument/2006/relationships/hyperlink" Id="rId321" Target="https://doi.org/10.3389/fpsyg.2015.01389" TargetMode="External" /><Relationship Type="http://schemas.openxmlformats.org/officeDocument/2006/relationships/hyperlink" Id="rId39" Target="https://github.com/DevPsyLab/studying-psychopathology-development-lifespan" TargetMode="External" /><Relationship Type="http://schemas.openxmlformats.org/officeDocument/2006/relationships/hyperlink" Id="rId453" Target="https://icd.who.int" TargetMode="External" /><Relationship Type="http://schemas.openxmlformats.org/officeDocument/2006/relationships/hyperlink" Id="rId319"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40" Target="https://osf.io/t3zf9" TargetMode="External" /><Relationship Type="http://schemas.openxmlformats.org/officeDocument/2006/relationships/hyperlink" Id="rId240" Target="https://quantitudepod.org/latent-means/ (archived at: https://perma.cc/5JL3-YUPA)" TargetMode="External" /><Relationship Type="http://schemas.openxmlformats.org/officeDocument/2006/relationships/hyperlink" Id="rId41" Target="mailto:isaac-t-petersen@uiowa.edu" TargetMode="External" /></Relationships>
</file>

<file path=word/_rels/footnotes.xml.rels><?xml version="1.0" encoding="UTF-8"?><Relationships xmlns="http://schemas.openxmlformats.org/package/2006/relationships"><Relationship Type="http://schemas.openxmlformats.org/officeDocument/2006/relationships/hyperlink" Id="rId58" Target="https://DevPsyLab.github.io/studying-psychopathology-development-lifespan/notebooks/analyses-preview.html#cell-fig-externalizing-by-age" TargetMode="External" /><Relationship Type="http://schemas.openxmlformats.org/officeDocument/2006/relationships/hyperlink" Id="rId51" Target="https://DevPsyLab.github.io/studying-psychopathology-development-lifespan/notebooks/analyses-preview.html#cell-fig-lifespancognitivetrajectories" TargetMode="External" /><Relationship Type="http://schemas.openxmlformats.org/officeDocument/2006/relationships/hyperlink" Id="rId75" Target="https://DevPsyLab.github.io/studying-psychopathology-development-lifespan/notebooks/analyses-preview.html#cell-fig-longitudinal-externalizing-studies" TargetMode="External" /><Relationship Type="http://schemas.openxmlformats.org/officeDocument/2006/relationships/hyperlink" Id="rId64" Target="https://DevPsyLab.github.io/studying-psychopathology-development-lifespan/notebooks/analyses-preview.html#cell-fig-longitudinalstudies" TargetMode="External" /><Relationship Type="http://schemas.openxmlformats.org/officeDocument/2006/relationships/hyperlink" Id="rId100" Target="https://DevPsyLab.github.io/studying-psychopathology-development-lifespan/notebooks/analyses-preview.html#cell-tbl-externalizingfacets" TargetMode="External" /><Relationship Type="http://schemas.openxmlformats.org/officeDocument/2006/relationships/hyperlink" Id="rId284" Target="https://doi.org/10.1001/archgenpsychiatry.2010.188" TargetMode="External" /><Relationship Type="http://schemas.openxmlformats.org/officeDocument/2006/relationships/hyperlink" Id="rId305" Target="https://doi.org/10.1001/archpsyc.62.12.1352" TargetMode="External" /><Relationship Type="http://schemas.openxmlformats.org/officeDocument/2006/relationships/hyperlink" Id="rId178" Target="https://doi.org/10.1001/jamanetworkopen.2020.3221" TargetMode="External" /><Relationship Type="http://schemas.openxmlformats.org/officeDocument/2006/relationships/hyperlink" Id="rId182" Target="https://doi.org/10.1002/9780470147658.chpsy0306" TargetMode="External" /><Relationship Type="http://schemas.openxmlformats.org/officeDocument/2006/relationships/hyperlink" Id="rId168" Target="https://doi.org/10.1002/9781119125556.devpsy101" TargetMode="External" /><Relationship Type="http://schemas.openxmlformats.org/officeDocument/2006/relationships/hyperlink" Id="rId263" Target="https://doi.org/10.1002/cbm.708" TargetMode="External" /><Relationship Type="http://schemas.openxmlformats.org/officeDocument/2006/relationships/hyperlink" Id="rId147" Target="https://doi.org/10.1002/jcv2.70043" TargetMode="External" /><Relationship Type="http://schemas.openxmlformats.org/officeDocument/2006/relationships/hyperlink" Id="rId282" Target="https://doi.org/10.1002/wps.20844" TargetMode="External" /><Relationship Type="http://schemas.openxmlformats.org/officeDocument/2006/relationships/hyperlink" Id="rId221" Target="https://doi.org/10.1007/978-1-0716-3335-9_5" TargetMode="External" /><Relationship Type="http://schemas.openxmlformats.org/officeDocument/2006/relationships/hyperlink" Id="rId153" Target="https://doi.org/10.1007/978-1-4614-9608-3_16" TargetMode="External" /><Relationship Type="http://schemas.openxmlformats.org/officeDocument/2006/relationships/hyperlink" Id="rId273" Target="https://doi.org/10.1007/978-1-4939-0317-7" TargetMode="External" /><Relationship Type="http://schemas.openxmlformats.org/officeDocument/2006/relationships/hyperlink" Id="rId298" Target="https://doi.org/10.1007/978-3-030-68429-7" TargetMode="External" /><Relationship Type="http://schemas.openxmlformats.org/officeDocument/2006/relationships/hyperlink" Id="rId301" Target="https://doi.org/10.1007/978-3-031-80549-3" TargetMode="External" /><Relationship Type="http://schemas.openxmlformats.org/officeDocument/2006/relationships/hyperlink" Id="rId368" Target="https://doi.org/10.1007/s00127-015-1048-8" TargetMode="External" /><Relationship Type="http://schemas.openxmlformats.org/officeDocument/2006/relationships/hyperlink" Id="rId232" Target="https://doi.org/10.1007/s00234-020-02562-1" TargetMode="External" /><Relationship Type="http://schemas.openxmlformats.org/officeDocument/2006/relationships/hyperlink" Id="rId434" Target="https://doi.org/10.1007/s10802-010-9478-y" TargetMode="External" /><Relationship Type="http://schemas.openxmlformats.org/officeDocument/2006/relationships/hyperlink" Id="rId170" Target="https://doi.org/10.1007/s10802-012-9669-9" TargetMode="External" /><Relationship Type="http://schemas.openxmlformats.org/officeDocument/2006/relationships/hyperlink" Id="rId432" Target="https://doi.org/10.1007/s10802-012-9700-1" TargetMode="External" /><Relationship Type="http://schemas.openxmlformats.org/officeDocument/2006/relationships/hyperlink" Id="rId267" Target="https://doi.org/10.1007/s10802-017-0383-5" TargetMode="External" /><Relationship Type="http://schemas.openxmlformats.org/officeDocument/2006/relationships/hyperlink" Id="rId269" Target="https://doi.org/10.1007/s10802-021-00885-y" TargetMode="External" /><Relationship Type="http://schemas.openxmlformats.org/officeDocument/2006/relationships/hyperlink" Id="rId144" Target="https://doi.org/10.1007/s10802-023-01119-z" TargetMode="External" /><Relationship Type="http://schemas.openxmlformats.org/officeDocument/2006/relationships/hyperlink" Id="rId254" Target="https://doi.org/10.1007/s10826-018-1272-4" TargetMode="External" /><Relationship Type="http://schemas.openxmlformats.org/officeDocument/2006/relationships/hyperlink" Id="rId312" Target="https://doi.org/10.1007/s11121-022-01467-0" TargetMode="External" /><Relationship Type="http://schemas.openxmlformats.org/officeDocument/2006/relationships/hyperlink" Id="rId428" Target="https://doi.org/10.1007/s12103-013-9235-1" TargetMode="External" /><Relationship Type="http://schemas.openxmlformats.org/officeDocument/2006/relationships/hyperlink" Id="rId430" Target="https://doi.org/10.1007/s12103-014-9272-4" TargetMode="External" /><Relationship Type="http://schemas.openxmlformats.org/officeDocument/2006/relationships/hyperlink" Id="rId184" Target="https://doi.org/10.1007/s40865-015-0012-3" TargetMode="External" /><Relationship Type="http://schemas.openxmlformats.org/officeDocument/2006/relationships/hyperlink" Id="rId292" Target="https://doi.org/10.1016/S0005-7967(02)00016-5" TargetMode="External" /><Relationship Type="http://schemas.openxmlformats.org/officeDocument/2006/relationships/hyperlink" Id="rId50" Target="https://doi.org/10.1016/j.arr.2026.103102" TargetMode="External" /><Relationship Type="http://schemas.openxmlformats.org/officeDocument/2006/relationships/hyperlink" Id="rId176" Target="https://doi.org/10.1016/j.cpr.2012.02.006" TargetMode="External" /><Relationship Type="http://schemas.openxmlformats.org/officeDocument/2006/relationships/hyperlink" Id="rId404" Target="https://doi.org/10.1016/j.cresp.2025.100261" TargetMode="External" /><Relationship Type="http://schemas.openxmlformats.org/officeDocument/2006/relationships/hyperlink" Id="rId307" Target="https://doi.org/10.1016/j.dr.2004.04.002" TargetMode="External" /><Relationship Type="http://schemas.openxmlformats.org/officeDocument/2006/relationships/hyperlink" Id="rId440" Target="https://doi.org/10.1016/j.dr.2008.01.001" TargetMode="External" /><Relationship Type="http://schemas.openxmlformats.org/officeDocument/2006/relationships/hyperlink" Id="rId353" Target="https://doi.org/10.1016/j.dr.2020.100935" TargetMode="External" /><Relationship Type="http://schemas.openxmlformats.org/officeDocument/2006/relationships/hyperlink" Id="rId420" Target="https://doi.org/10.1016/j.jaac.2013.10.011" TargetMode="External" /><Relationship Type="http://schemas.openxmlformats.org/officeDocument/2006/relationships/hyperlink" Id="rId163" Target="https://doi.org/10.1016/j.jaac.2017.05.019" TargetMode="External" /><Relationship Type="http://schemas.openxmlformats.org/officeDocument/2006/relationships/hyperlink" Id="rId92" Target="https://doi.org/10.1016/j.jaacop.2025.10.008" TargetMode="External" /><Relationship Type="http://schemas.openxmlformats.org/officeDocument/2006/relationships/hyperlink" Id="rId458" Target="https://doi.org/10.1016/j.jad.2026.121556" TargetMode="External" /><Relationship Type="http://schemas.openxmlformats.org/officeDocument/2006/relationships/hyperlink" Id="rId56" Target="https://doi.org/10.1016/j.jcrimjus.2024.102155" TargetMode="External" /><Relationship Type="http://schemas.openxmlformats.org/officeDocument/2006/relationships/hyperlink" Id="rId151" Target="https://doi.org/10.1016/j.jpsychires.2013.08.016" TargetMode="External" /><Relationship Type="http://schemas.openxmlformats.org/officeDocument/2006/relationships/hyperlink" Id="rId314" Target="https://doi.org/10.1016/j.jsp.2012.10.002" TargetMode="External" /><Relationship Type="http://schemas.openxmlformats.org/officeDocument/2006/relationships/hyperlink" Id="rId244" Target="https://doi.org/10.1017/S0033291711001966" TargetMode="External" /><Relationship Type="http://schemas.openxmlformats.org/officeDocument/2006/relationships/hyperlink" Id="rId246" Target="https://doi.org/10.1017/S003329172000183X" TargetMode="External" /><Relationship Type="http://schemas.openxmlformats.org/officeDocument/2006/relationships/hyperlink" Id="rId442" Target="https://doi.org/10.1017/S0954579403000221" TargetMode="External" /><Relationship Type="http://schemas.openxmlformats.org/officeDocument/2006/relationships/hyperlink" Id="rId402" Target="https://doi.org/10.1017/S0954579407070174" TargetMode="External" /><Relationship Type="http://schemas.openxmlformats.org/officeDocument/2006/relationships/hyperlink" Id="rId337" Target="https://doi.org/10.1017/S0954579408000333" TargetMode="External" /><Relationship Type="http://schemas.openxmlformats.org/officeDocument/2006/relationships/hyperlink" Id="rId296" Target="https://doi.org/10.1017/S0954579410000301" TargetMode="External" /><Relationship Type="http://schemas.openxmlformats.org/officeDocument/2006/relationships/hyperlink" Id="rId57" Target="https://doi.org/10.1017/S0954579414000789" TargetMode="External" /><Relationship Type="http://schemas.openxmlformats.org/officeDocument/2006/relationships/hyperlink" Id="rId225" Target="https://doi.org/10.1017/S0954579416000651" TargetMode="External" /><Relationship Type="http://schemas.openxmlformats.org/officeDocument/2006/relationships/hyperlink" Id="rId234" Target="https://doi.org/10.1017/S0954579421001772" TargetMode="External" /><Relationship Type="http://schemas.openxmlformats.org/officeDocument/2006/relationships/hyperlink" Id="rId161" Target="https://doi.org/10.1017/S0954579423001505" TargetMode="External" /><Relationship Type="http://schemas.openxmlformats.org/officeDocument/2006/relationships/hyperlink" Id="rId242" Target="https://doi.org/10.1017/S0954579424000713" TargetMode="External" /><Relationship Type="http://schemas.openxmlformats.org/officeDocument/2006/relationships/hyperlink" Id="rId341" Target="https://doi.org/10.1023/a:1026254005632" TargetMode="External" /><Relationship Type="http://schemas.openxmlformats.org/officeDocument/2006/relationships/hyperlink" Id="rId174" Target="https://doi.org/10.1027/1015-5759.17.1.25" TargetMode="External" /><Relationship Type="http://schemas.openxmlformats.org/officeDocument/2006/relationships/hyperlink" Id="rId386" Target="https://doi.org/10.1037/0003-066X.54.2.93" TargetMode="External" /><Relationship Type="http://schemas.openxmlformats.org/officeDocument/2006/relationships/hyperlink" Id="rId172" Target="https://doi.org/10.1037/0012-1649.39.2.222" TargetMode="External" /><Relationship Type="http://schemas.openxmlformats.org/officeDocument/2006/relationships/hyperlink" Id="rId200" Target="https://doi.org/10.1037/0012-1649.44.2.365" TargetMode="External" /><Relationship Type="http://schemas.openxmlformats.org/officeDocument/2006/relationships/hyperlink" Id="rId286" Target="https://doi.org/10.1037/0021-843X.116.4.645" TargetMode="External" /><Relationship Type="http://schemas.openxmlformats.org/officeDocument/2006/relationships/hyperlink" Id="rId288" Target="https://doi.org/10.1037/0021-843x.114.4.537" TargetMode="External" /><Relationship Type="http://schemas.openxmlformats.org/officeDocument/2006/relationships/hyperlink" Id="rId345" Target="https://doi.org/10.1037/0022-006X.61.6.911" TargetMode="External" /><Relationship Type="http://schemas.openxmlformats.org/officeDocument/2006/relationships/hyperlink" Id="rId192" Target="https://doi.org/10.1037/0022-006X.70.1.6" TargetMode="External" /><Relationship Type="http://schemas.openxmlformats.org/officeDocument/2006/relationships/hyperlink" Id="rId323" Target="https://doi.org/10.1037/0033-295X.100.4.674" TargetMode="External" /><Relationship Type="http://schemas.openxmlformats.org/officeDocument/2006/relationships/hyperlink" Id="rId248" Target="https://doi.org/10.1037/0882-7974.18.4.639" TargetMode="External" /><Relationship Type="http://schemas.openxmlformats.org/officeDocument/2006/relationships/hyperlink" Id="rId223" Target="https://doi.org/10.1037/0882-7974.19.2.243" TargetMode="External" /><Relationship Type="http://schemas.openxmlformats.org/officeDocument/2006/relationships/hyperlink" Id="rId290" Target="https://doi.org/10.1037/1040-3590.16.2.107" TargetMode="External" /><Relationship Type="http://schemas.openxmlformats.org/officeDocument/2006/relationships/hyperlink" Id="rId259" Target="https://doi.org/10.1037/13129-000" TargetMode="External" /><Relationship Type="http://schemas.openxmlformats.org/officeDocument/2006/relationships/hyperlink" Id="rId140" Target="https://doi.org/10.1037/14048-008" TargetMode="External" /><Relationship Type="http://schemas.openxmlformats.org/officeDocument/2006/relationships/hyperlink" Id="rId310" Target="https://doi.org/10.1037/a0015857" TargetMode="External" /><Relationship Type="http://schemas.openxmlformats.org/officeDocument/2006/relationships/hyperlink" Id="rId424" Target="https://doi.org/10.1037/a0021519" TargetMode="External" /><Relationship Type="http://schemas.openxmlformats.org/officeDocument/2006/relationships/hyperlink" Id="rId303" Target="https://doi.org/10.1037/a0023678" TargetMode="External" /><Relationship Type="http://schemas.openxmlformats.org/officeDocument/2006/relationships/hyperlink" Id="rId455" Target="https://doi.org/10.1037/a0030133" TargetMode="External" /><Relationship Type="http://schemas.openxmlformats.org/officeDocument/2006/relationships/hyperlink" Id="rId157" Target="https://doi.org/10.1037/a0032475" TargetMode="External" /><Relationship Type="http://schemas.openxmlformats.org/officeDocument/2006/relationships/hyperlink" Id="rId390" Target="https://doi.org/10.1037/abn0000171" TargetMode="External" /><Relationship Type="http://schemas.openxmlformats.org/officeDocument/2006/relationships/hyperlink" Id="rId381" Target="https://doi.org/10.1037/abn0000232" TargetMode="External" /><Relationship Type="http://schemas.openxmlformats.org/officeDocument/2006/relationships/hyperlink" Id="rId276" Target="https://doi.org/10.1037/abn0000258" TargetMode="External" /><Relationship Type="http://schemas.openxmlformats.org/officeDocument/2006/relationships/hyperlink" Id="rId358" Target="https://doi.org/10.1037/abn0000649" TargetMode="External" /><Relationship Type="http://schemas.openxmlformats.org/officeDocument/2006/relationships/hyperlink" Id="rId410" Target="https://doi.org/10.1037/abn0000751" TargetMode="External" /><Relationship Type="http://schemas.openxmlformats.org/officeDocument/2006/relationships/hyperlink" Id="rId204" Target="https://doi.org/10.1037/abn0001084" TargetMode="External" /><Relationship Type="http://schemas.openxmlformats.org/officeDocument/2006/relationships/hyperlink" Id="rId362" Target="https://doi.org/10.1037/dev0000449" TargetMode="External" /><Relationship Type="http://schemas.openxmlformats.org/officeDocument/2006/relationships/hyperlink" Id="rId392" Target="https://doi.org/10.1037/dev0001095" TargetMode="External" /><Relationship Type="http://schemas.openxmlformats.org/officeDocument/2006/relationships/hyperlink" Id="rId349" Target="https://doi.org/10.1037/dev0001657" TargetMode="External" /><Relationship Type="http://schemas.openxmlformats.org/officeDocument/2006/relationships/hyperlink" Id="rId118" Target="https://doi.org/10.1037/edu0000461" TargetMode="External" /><Relationship Type="http://schemas.openxmlformats.org/officeDocument/2006/relationships/hyperlink" Id="rId155" Target="https://doi.org/10.1037/met0000077" TargetMode="External" /><Relationship Type="http://schemas.openxmlformats.org/officeDocument/2006/relationships/hyperlink" Id="rId217" Target="https://doi.org/10.1037/met0000563" TargetMode="External" /><Relationship Type="http://schemas.openxmlformats.org/officeDocument/2006/relationships/hyperlink" Id="rId188" Target="https://doi.org/10.1037/met0000685" TargetMode="External" /><Relationship Type="http://schemas.openxmlformats.org/officeDocument/2006/relationships/hyperlink" Id="rId394" Target="https://doi.org/10.1037/pas0000648" TargetMode="External" /><Relationship Type="http://schemas.openxmlformats.org/officeDocument/2006/relationships/hyperlink" Id="rId370" Target="https://doi.org/10.1037/pas0000754" TargetMode="External" /><Relationship Type="http://schemas.openxmlformats.org/officeDocument/2006/relationships/hyperlink" Id="rId82" Target="https://doi.org/10.1037/pas0001441" TargetMode="External" /><Relationship Type="http://schemas.openxmlformats.org/officeDocument/2006/relationships/hyperlink" Id="rId412" Target="https://doi.org/10.1038/s44220-023-00057-5" TargetMode="External" /><Relationship Type="http://schemas.openxmlformats.org/officeDocument/2006/relationships/hyperlink" Id="rId325" Target="https://doi.org/10.1073/pnas.1010076108" TargetMode="External" /><Relationship Type="http://schemas.openxmlformats.org/officeDocument/2006/relationships/hyperlink" Id="rId202" Target="https://doi.org/10.1080/00273171.2014.889594" TargetMode="External" /><Relationship Type="http://schemas.openxmlformats.org/officeDocument/2006/relationships/hyperlink" Id="rId294" Target="https://doi.org/10.1080/00273171.2021.1941730" TargetMode="External" /><Relationship Type="http://schemas.openxmlformats.org/officeDocument/2006/relationships/hyperlink" Id="rId186" Target="https://doi.org/10.1080/00273171.2026.2640576" TargetMode="External" /><Relationship Type="http://schemas.openxmlformats.org/officeDocument/2006/relationships/hyperlink" Id="rId436" Target="https://doi.org/10.1080/02664763.2020.1817346" TargetMode="External" /><Relationship Type="http://schemas.openxmlformats.org/officeDocument/2006/relationships/hyperlink" Id="rId372" Target="https://doi.org/10.1080/10705511.2023.2191292" TargetMode="External" /><Relationship Type="http://schemas.openxmlformats.org/officeDocument/2006/relationships/hyperlink" Id="rId438" Target="https://doi.org/10.1080/15366367.2018.1502005" TargetMode="External" /><Relationship Type="http://schemas.openxmlformats.org/officeDocument/2006/relationships/hyperlink" Id="rId422" Target="https://doi.org/10.1080/15374416.2018.1561296" TargetMode="External" /><Relationship Type="http://schemas.openxmlformats.org/officeDocument/2006/relationships/hyperlink" Id="rId414" Target="https://doi.org/10.1080/15374416.2019.1622124" TargetMode="External" /><Relationship Type="http://schemas.openxmlformats.org/officeDocument/2006/relationships/hyperlink" Id="rId206" Target="https://doi.org/10.1080/15374416.2025.2484813" TargetMode="External" /><Relationship Type="http://schemas.openxmlformats.org/officeDocument/2006/relationships/hyperlink" Id="rId383" Target="https://doi.org/10.1086/269270" TargetMode="External" /><Relationship Type="http://schemas.openxmlformats.org/officeDocument/2006/relationships/hyperlink" Id="rId212" Target="https://doi.org/10.1108/978-1-61735-891-320251015" TargetMode="External" /><Relationship Type="http://schemas.openxmlformats.org/officeDocument/2006/relationships/hyperlink" Id="rId142" Target="https://doi.org/10.1111/acer.13525" TargetMode="External" /><Relationship Type="http://schemas.openxmlformats.org/officeDocument/2006/relationships/hyperlink" Id="rId329" Target="https://doi.org/10.1111/cdev.12036" TargetMode="External" /><Relationship Type="http://schemas.openxmlformats.org/officeDocument/2006/relationships/hyperlink" Id="rId364" Target="https://doi.org/10.1111/cdev.12880" TargetMode="External" /><Relationship Type="http://schemas.openxmlformats.org/officeDocument/2006/relationships/hyperlink" Id="rId360" Target="https://doi.org/10.1111/cdev.13433" TargetMode="External" /><Relationship Type="http://schemas.openxmlformats.org/officeDocument/2006/relationships/hyperlink" Id="rId250" Target="https://doi.org/10.1111/desc.13280" TargetMode="External" /><Relationship Type="http://schemas.openxmlformats.org/officeDocument/2006/relationships/hyperlink" Id="rId347" Target="https://doi.org/10.1111/desc.70216" TargetMode="External" /><Relationship Type="http://schemas.openxmlformats.org/officeDocument/2006/relationships/hyperlink" Id="rId165" Target="https://doi.org/10.1111/j.1467-8624.2004.00755.x" TargetMode="External" /><Relationship Type="http://schemas.openxmlformats.org/officeDocument/2006/relationships/hyperlink" Id="rId316" Target="https://doi.org/10.1111/j.1467-9507.2008.00480.x" TargetMode="External" /><Relationship Type="http://schemas.openxmlformats.org/officeDocument/2006/relationships/hyperlink" Id="rId377" Target="https://doi.org/10.1111/j.1469-7610.2006.01614.x" TargetMode="External" /><Relationship Type="http://schemas.openxmlformats.org/officeDocument/2006/relationships/hyperlink" Id="rId196" Target="https://doi.org/10.1111/j.1469-7610.2011.02511.x" TargetMode="External" /><Relationship Type="http://schemas.openxmlformats.org/officeDocument/2006/relationships/hyperlink" Id="rId261" Target="https://doi.org/10.1111/j.1469-7610.2012.02585.x" TargetMode="External" /><Relationship Type="http://schemas.openxmlformats.org/officeDocument/2006/relationships/hyperlink" Id="rId449" Target="https://doi.org/10.1111/j.1750-8606.2009.00110.x" TargetMode="External" /><Relationship Type="http://schemas.openxmlformats.org/officeDocument/2006/relationships/hyperlink" Id="rId271" Target="https://doi.org/10.1111/j.1750-8606.2009.00112.x" TargetMode="External" /><Relationship Type="http://schemas.openxmlformats.org/officeDocument/2006/relationships/hyperlink" Id="rId219" Target="https://doi.org/10.1111/jcpp.12102" TargetMode="External" /><Relationship Type="http://schemas.openxmlformats.org/officeDocument/2006/relationships/hyperlink" Id="rId397" Target="https://doi.org/10.1111/jcpp.13549" TargetMode="External" /><Relationship Type="http://schemas.openxmlformats.org/officeDocument/2006/relationships/hyperlink" Id="rId159" Target="https://doi.org/10.1111/jcpp.70057" TargetMode="External" /><Relationship Type="http://schemas.openxmlformats.org/officeDocument/2006/relationships/hyperlink" Id="rId379" Target="https://doi.org/10.1111/jcpp.70180" TargetMode="External" /><Relationship Type="http://schemas.openxmlformats.org/officeDocument/2006/relationships/hyperlink" Id="rId408" Target="https://doi.org/10.1111/jedm.70019" TargetMode="External" /><Relationship Type="http://schemas.openxmlformats.org/officeDocument/2006/relationships/hyperlink" Id="rId265" Target="https://doi.org/10.1111/jora.12252" TargetMode="External" /><Relationship Type="http://schemas.openxmlformats.org/officeDocument/2006/relationships/hyperlink" Id="rId280" Target="https://doi.org/10.1111/psyp.12551" TargetMode="External" /><Relationship Type="http://schemas.openxmlformats.org/officeDocument/2006/relationships/hyperlink" Id="rId210" Target="https://doi.org/10.1126/science.2270481" TargetMode="External" /><Relationship Type="http://schemas.openxmlformats.org/officeDocument/2006/relationships/hyperlink" Id="rId208" Target="https://doi.org/10.1146/annurev-clinpsy-050212-185617" TargetMode="External" /><Relationship Type="http://schemas.openxmlformats.org/officeDocument/2006/relationships/hyperlink" Id="rId335" Target="https://doi.org/10.1146/annurev-clinpsy-061324-073435" TargetMode="External" /><Relationship Type="http://schemas.openxmlformats.org/officeDocument/2006/relationships/hyperlink" Id="rId400" Target="https://doi.org/10.1146/annurev-criminol-111523-122451" TargetMode="External" /><Relationship Type="http://schemas.openxmlformats.org/officeDocument/2006/relationships/hyperlink" Id="rId366" Target="https://doi.org/10.1146/annurev-psych-120710-100452" TargetMode="External" /><Relationship Type="http://schemas.openxmlformats.org/officeDocument/2006/relationships/hyperlink" Id="rId327" Target="https://doi.org/10.1159/000270073" TargetMode="External" /><Relationship Type="http://schemas.openxmlformats.org/officeDocument/2006/relationships/hyperlink" Id="rId278" Target="https://doi.org/10.1176/appi.ajp.160.9.1566" TargetMode="External" /><Relationship Type="http://schemas.openxmlformats.org/officeDocument/2006/relationships/hyperlink" Id="rId252" Target="https://doi.org/10.1176/appi.ajp.2008.08030366" TargetMode="External" /><Relationship Type="http://schemas.openxmlformats.org/officeDocument/2006/relationships/hyperlink" Id="rId444" Target="https://doi.org/10.1177/0049124121995521" TargetMode="External" /><Relationship Type="http://schemas.openxmlformats.org/officeDocument/2006/relationships/hyperlink" Id="rId446" Target="https://doi.org/10.1177/00491241221091754" TargetMode="External" /><Relationship Type="http://schemas.openxmlformats.org/officeDocument/2006/relationships/hyperlink" Id="rId426" Target="https://doi.org/10.1177/0093854812443645" TargetMode="External" /><Relationship Type="http://schemas.openxmlformats.org/officeDocument/2006/relationships/hyperlink" Id="rId198" Target="https://doi.org/10.1177/0146621612470210" TargetMode="External" /><Relationship Type="http://schemas.openxmlformats.org/officeDocument/2006/relationships/hyperlink" Id="rId333" Target="https://doi.org/10.1177/0165025415618275" TargetMode="External" /><Relationship Type="http://schemas.openxmlformats.org/officeDocument/2006/relationships/hyperlink" Id="rId451" Target="https://doi.org/10.1177/0165025419880610" TargetMode="External" /><Relationship Type="http://schemas.openxmlformats.org/officeDocument/2006/relationships/hyperlink" Id="rId149" Target="https://doi.org/10.1177/0269758014537147" TargetMode="External" /><Relationship Type="http://schemas.openxmlformats.org/officeDocument/2006/relationships/hyperlink" Id="rId229" Target="https://doi.org/10.1177/08902070241228338" TargetMode="External" /><Relationship Type="http://schemas.openxmlformats.org/officeDocument/2006/relationships/hyperlink" Id="rId339" Target="https://doi.org/10.1177/0962280214534588" TargetMode="External" /><Relationship Type="http://schemas.openxmlformats.org/officeDocument/2006/relationships/hyperlink" Id="rId406" Target="https://doi.org/10.1177/1362361320908972" TargetMode="External" /><Relationship Type="http://schemas.openxmlformats.org/officeDocument/2006/relationships/hyperlink" Id="rId180" Target="https://doi.org/10.1177/2167702613497473" TargetMode="External" /><Relationship Type="http://schemas.openxmlformats.org/officeDocument/2006/relationships/hyperlink" Id="rId375" Target="https://doi.org/10.1177/25152459251342750" TargetMode="External" /><Relationship Type="http://schemas.openxmlformats.org/officeDocument/2006/relationships/hyperlink" Id="rId227" Target="https://doi.org/10.1207/S15374424JCCP3301_6" TargetMode="External" /><Relationship Type="http://schemas.openxmlformats.org/officeDocument/2006/relationships/hyperlink" Id="rId343" Target="https://doi.org/10.1371/journal.pone.0063109" TargetMode="External" /><Relationship Type="http://schemas.openxmlformats.org/officeDocument/2006/relationships/hyperlink" Id="rId236" Target="https://doi.org/10.1378/chest.116.5.1208" TargetMode="External" /><Relationship Type="http://schemas.openxmlformats.org/officeDocument/2006/relationships/hyperlink" Id="rId190" Target="https://doi.org/10.14283/jfa.2012.9" TargetMode="External" /><Relationship Type="http://schemas.openxmlformats.org/officeDocument/2006/relationships/hyperlink" Id="rId49" Target="https://doi.org/10.1590/1980-57642018dn12-030001" TargetMode="External" /><Relationship Type="http://schemas.openxmlformats.org/officeDocument/2006/relationships/hyperlink" Id="rId388" Target="https://doi.org/10.18148/srm/2018.v12i1.7210" TargetMode="External" /><Relationship Type="http://schemas.openxmlformats.org/officeDocument/2006/relationships/hyperlink" Id="rId238" Target="https://doi.org/10.22237/jmasm/1209614640" TargetMode="External" /><Relationship Type="http://schemas.openxmlformats.org/officeDocument/2006/relationships/hyperlink" Id="rId214" Target="https://doi.org/10.2307/2095245" TargetMode="External" /><Relationship Type="http://schemas.openxmlformats.org/officeDocument/2006/relationships/hyperlink" Id="rId416" Target="https://doi.org/10.2307/j.ctt2jbxs1" TargetMode="External" /><Relationship Type="http://schemas.openxmlformats.org/officeDocument/2006/relationships/hyperlink" Id="rId127" Target="https://doi.org/10.25820/work.007199" TargetMode="External" /><Relationship Type="http://schemas.openxmlformats.org/officeDocument/2006/relationships/hyperlink" Id="rId418" Target="https://doi.org/10.3389/fpsyg.2013.00770" TargetMode="External" /><Relationship Type="http://schemas.openxmlformats.org/officeDocument/2006/relationships/hyperlink" Id="rId331" Target="https://doi.org/10.3389/fpsyg.2014.00978" TargetMode="External" /><Relationship Type="http://schemas.openxmlformats.org/officeDocument/2006/relationships/hyperlink" Id="rId194" Target="https://doi.org/10.3389/fpsyg.2014.00982" TargetMode="External" /><Relationship Type="http://schemas.openxmlformats.org/officeDocument/2006/relationships/hyperlink" Id="rId321" Target="https://doi.org/10.3389/fpsyg.2015.01389" TargetMode="External" /><Relationship Type="http://schemas.openxmlformats.org/officeDocument/2006/relationships/hyperlink" Id="rId39" Target="https://github.com/DevPsyLab/studying-psychopathology-development-lifespan" TargetMode="External" /><Relationship Type="http://schemas.openxmlformats.org/officeDocument/2006/relationships/hyperlink" Id="rId453" Target="https://icd.who.int" TargetMode="External" /><Relationship Type="http://schemas.openxmlformats.org/officeDocument/2006/relationships/hyperlink" Id="rId319"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40" Target="https://osf.io/t3zf9" TargetMode="External" /><Relationship Type="http://schemas.openxmlformats.org/officeDocument/2006/relationships/hyperlink" Id="rId240" Target="https://quantitudepod.org/latent-means/ (archived at: https://perma.cc/5JL3-YUPA)" TargetMode="External" /><Relationship Type="http://schemas.openxmlformats.org/officeDocument/2006/relationships/hyperlink" Id="rId41" Target="mailto:isaac-t-petersen@uiowa.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207</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2026-09-25T04:25:47Z</dcterms:created>
  <dcterms:modified xsi:type="dcterms:W3CDTF">2026-09-25T04:25:47Z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2026-09-25</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fig-cap-location">
    <vt:lpwstr>top</vt:lpwstr>
  </property>
  <property fmtid="{D5CDD505-2E9C-101B-9397-08002B2CF9AE}" pid="23" name="floatsintext">
    <vt:lpwstr>True</vt:lpwstr>
  </property>
  <property fmtid="{D5CDD505-2E9C-101B-9397-08002B2CF9AE}" pid="24" name="google-scholar">
    <vt:lpwstr>True</vt:lpwstr>
  </property>
  <property fmtid="{D5CDD505-2E9C-101B-9397-08002B2CF9AE}" pid="25" name="header-includes">
    <vt:lpwstr/>
  </property>
  <property fmtid="{D5CDD505-2E9C-101B-9397-08002B2CF9AE}" pid="26" name="impact-statement">
    <vt:lpwstr/>
  </property>
  <property fmtid="{D5CDD505-2E9C-101B-9397-08002B2CF9AE}" pid="27" name="include-after">
    <vt:lpwstr/>
  </property>
  <property fmtid="{D5CDD505-2E9C-101B-9397-08002B2CF9AE}" pid="28" name="include-before">
    <vt:lpwstr/>
  </property>
  <property fmtid="{D5CDD505-2E9C-101B-9397-08002B2CF9AE}" pid="29" name="jou-running-authors">
    <vt:lpwstr>Petersen, Demko, &amp; Schumer</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cite">
    <vt:lpwstr>@Borelli2018, @Abrous2026, @Sivertsson2024, @Steffensmeier2025</vt:lpwstr>
  </property>
  <property fmtid="{D5CDD505-2E9C-101B-9397-08002B2CF9AE}" pid="40" name="notebook-preview-options">
    <vt:lpwstr/>
  </property>
  <property fmtid="{D5CDD505-2E9C-101B-9397-08002B2CF9AE}" pid="41" name="number-depth">
    <vt:lpwstr>3</vt:lpwstr>
  </property>
  <property fmtid="{D5CDD505-2E9C-101B-9397-08002B2CF9AE}" pid="42" name="numbered-lines">
    <vt:lpwstr>False</vt:lpwstr>
  </property>
  <property fmtid="{D5CDD505-2E9C-101B-9397-08002B2CF9AE}" pid="43" name="numbersections">
    <vt:lpwstr>False</vt:lpwstr>
  </property>
  <property fmtid="{D5CDD505-2E9C-101B-9397-08002B2CF9AE}" pid="44" name="oneaffiliation">
    <vt:lpwstr>True</vt:lpwstr>
  </property>
  <property fmtid="{D5CDD505-2E9C-101B-9397-08002B2CF9AE}" pid="45" name="oneauthor">
    <vt:lpwstr>False</vt:lpwstr>
  </property>
  <property fmtid="{D5CDD505-2E9C-101B-9397-08002B2CF9AE}" pid="46" name="quarto-internal">
    <vt:lpwstr/>
  </property>
  <property fmtid="{D5CDD505-2E9C-101B-9397-08002B2CF9AE}" pid="47" name="references">
    <vt:lpwstr/>
  </property>
  <property fmtid="{D5CDD505-2E9C-101B-9397-08002B2CF9AE}" pid="48" name="remove-hidden">
    <vt:lpwstr>all</vt:lpwstr>
  </property>
  <property fmtid="{D5CDD505-2E9C-101B-9397-08002B2CF9AE}" pid="49" name="revealjs-plugins">
    <vt:lpwstr/>
  </property>
  <property fmtid="{D5CDD505-2E9C-101B-9397-08002B2CF9AE}" pid="50" name="shorttitle">
    <vt:lpwstr>PSYCHOPATHOLOGY DEVELOPMENT ACROSS LIFESPAN</vt:lpwstr>
  </property>
  <property fmtid="{D5CDD505-2E9C-101B-9397-08002B2CF9AE}" pid="51" name="suppress-abstract">
    <vt:lpwstr>False</vt:lpwstr>
  </property>
  <property fmtid="{D5CDD505-2E9C-101B-9397-08002B2CF9AE}" pid="52" name="suppress-affiliation">
    <vt:lpwstr>False</vt:lpwstr>
  </property>
  <property fmtid="{D5CDD505-2E9C-101B-9397-08002B2CF9AE}" pid="53" name="suppress-author">
    <vt:lpwstr>False</vt:lpwstr>
  </property>
  <property fmtid="{D5CDD505-2E9C-101B-9397-08002B2CF9AE}" pid="54" name="suppress-author-note">
    <vt:lpwstr>False</vt:lpwstr>
  </property>
  <property fmtid="{D5CDD505-2E9C-101B-9397-08002B2CF9AE}" pid="55" name="suppress-corresponding-address">
    <vt:lpwstr>False</vt:lpwstr>
  </property>
  <property fmtid="{D5CDD505-2E9C-101B-9397-08002B2CF9AE}" pid="56" name="suppress-corresponding-affiliation-name">
    <vt:lpwstr>False</vt:lpwstr>
  </property>
  <property fmtid="{D5CDD505-2E9C-101B-9397-08002B2CF9AE}" pid="57" name="suppress-corresponding-city">
    <vt:lpwstr>False</vt:lpwstr>
  </property>
  <property fmtid="{D5CDD505-2E9C-101B-9397-08002B2CF9AE}" pid="58" name="suppress-corresponding-country">
    <vt:lpwstr>False</vt:lpwstr>
  </property>
  <property fmtid="{D5CDD505-2E9C-101B-9397-08002B2CF9AE}" pid="59" name="suppress-corresponding-department">
    <vt:lpwstr>False</vt:lpwstr>
  </property>
  <property fmtid="{D5CDD505-2E9C-101B-9397-08002B2CF9AE}" pid="60" name="suppress-corresponding-email">
    <vt:lpwstr>False</vt:lpwstr>
  </property>
  <property fmtid="{D5CDD505-2E9C-101B-9397-08002B2CF9AE}" pid="61" name="suppress-corresponding-group">
    <vt:lpwstr>False</vt:lpwstr>
  </property>
  <property fmtid="{D5CDD505-2E9C-101B-9397-08002B2CF9AE}" pid="62" name="suppress-corresponding-paragraph">
    <vt:lpwstr>False</vt:lpwstr>
  </property>
  <property fmtid="{D5CDD505-2E9C-101B-9397-08002B2CF9AE}" pid="63" name="suppress-corresponding-postal-code">
    <vt:lpwstr>False</vt:lpwstr>
  </property>
  <property fmtid="{D5CDD505-2E9C-101B-9397-08002B2CF9AE}" pid="64" name="suppress-corresponding-region">
    <vt:lpwstr>False</vt:lpwstr>
  </property>
  <property fmtid="{D5CDD505-2E9C-101B-9397-08002B2CF9AE}" pid="65" name="suppress-credit-statement">
    <vt:lpwstr>False</vt:lpwstr>
  </property>
  <property fmtid="{D5CDD505-2E9C-101B-9397-08002B2CF9AE}" pid="66" name="suppress-disclosures-paragraph">
    <vt:lpwstr>False</vt:lpwstr>
  </property>
  <property fmtid="{D5CDD505-2E9C-101B-9397-08002B2CF9AE}" pid="67" name="suppress-impact-statement">
    <vt:lpwstr>False</vt:lpwstr>
  </property>
  <property fmtid="{D5CDD505-2E9C-101B-9397-08002B2CF9AE}" pid="68" name="suppress-keywords">
    <vt:lpwstr>False</vt:lpwstr>
  </property>
  <property fmtid="{D5CDD505-2E9C-101B-9397-08002B2CF9AE}" pid="69" name="suppress-orcid">
    <vt:lpwstr>False</vt:lpwstr>
  </property>
  <property fmtid="{D5CDD505-2E9C-101B-9397-08002B2CF9AE}" pid="70" name="suppress-short-title">
    <vt:lpwstr>False</vt:lpwstr>
  </property>
  <property fmtid="{D5CDD505-2E9C-101B-9397-08002B2CF9AE}" pid="71" name="suppress-status-change-paragraph">
    <vt:lpwstr>False</vt:lpwstr>
  </property>
  <property fmtid="{D5CDD505-2E9C-101B-9397-08002B2CF9AE}" pid="72" name="suppress-supplemental-materials">
    <vt:lpwstr>False</vt:lpwstr>
  </property>
  <property fmtid="{D5CDD505-2E9C-101B-9397-08002B2CF9AE}" pid="73" name="suppress-title">
    <vt:lpwstr>False</vt:lpwstr>
  </property>
  <property fmtid="{D5CDD505-2E9C-101B-9397-08002B2CF9AE}" pid="74" name="suppress-title-introduction">
    <vt:lpwstr>False</vt:lpwstr>
  </property>
  <property fmtid="{D5CDD505-2E9C-101B-9397-08002B2CF9AE}" pid="75" name="suppress-title-page">
    <vt:lpwstr>False</vt:lpwstr>
  </property>
  <property fmtid="{D5CDD505-2E9C-101B-9397-08002B2CF9AE}" pid="76" name="suppress-title-page-number">
    <vt:lpwstr>False</vt:lpwstr>
  </property>
  <property fmtid="{D5CDD505-2E9C-101B-9397-08002B2CF9AE}" pid="77" name="tbl-cap-location">
    <vt:lpwstr>top</vt:lpwstr>
  </property>
  <property fmtid="{D5CDD505-2E9C-101B-9397-08002B2CF9AE}" pid="78" name="template-partials">
    <vt:lpwstr/>
  </property>
  <property fmtid="{D5CDD505-2E9C-101B-9397-08002B2CF9AE}" pid="79" name="theme">
    <vt:lpwstr>cosmo</vt:lpwstr>
  </property>
  <property fmtid="{D5CDD505-2E9C-101B-9397-08002B2CF9AE}" pid="80" name="title-block-style">
    <vt:lpwstr>manuscript</vt:lpwstr>
  </property>
  <property fmtid="{D5CDD505-2E9C-101B-9397-08002B2CF9AE}" pid="81" name="toc-title">
    <vt:lpwstr>Table of contents</vt:lpwstr>
  </property>
  <property fmtid="{D5CDD505-2E9C-101B-9397-08002B2CF9AE}" pid="82" name="unroll-markdown-cells">
    <vt:lpwstr>True</vt:lpwstr>
  </property>
  <property fmtid="{D5CDD505-2E9C-101B-9397-08002B2CF9AE}" pid="83" name="word-count">
    <vt:lpwstr>False</vt:lpwstr>
  </property>
  <property fmtid="{D5CDD505-2E9C-101B-9397-08002B2CF9AE}" pid="84" name="wordn">
    <vt:lpwstr>12504</vt:lpwstr>
  </property>
  <property fmtid="{D5CDD505-2E9C-101B-9397-08002B2CF9AE}" pid="85" name="zerocitations">
    <vt:lpwstr>False</vt:lpwstr>
  </property>
</Properties>
</file>