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has led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Because existing measures do not capture the full range of individual differences, this naturally limits the measures’ sensitivity to detect change (i.e., responsiveness), which is crucial for clinical utility and for longitudinal research.</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2026-06-16T15:05:47Z</dcterms:created>
  <dcterms:modified xsi:type="dcterms:W3CDTF">2026-06-16T15:05:47Z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6969</vt:lpwstr>
  </property>
  <property fmtid="{D5CDD505-2E9C-101B-9397-08002B2CF9AE}" pid="83" name="zerocitations">
    <vt:lpwstr>False</vt:lpwstr>
  </property>
</Properties>
</file>