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2.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agingTrajectoriesHeteogeneity">
        <w:r>
          <w:rPr>
            <w:rStyle w:val="Hyperlink"/>
          </w:rPr>
          <w:t xml:space="preserve">Figure 1</w:t>
        </w:r>
      </w:hyperlink>
      <w:r>
        <w:t xml:space="preserve">.</w:t>
      </w:r>
      <w:r>
        <w:t xml:space="preserve"> </w:t>
      </w:r>
      <w:r>
        <w:t xml:space="preserve">If we rely on normative age-related patterns of cognitive functioning or psychopathology from cross-sectional research, we would miss the great individual differences in people’s developmental courses.</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47" w:name="fig-agingTrajectoriesHeteogeneity"/>
    <w:tbl>
      <w:tblPr>
        <w:tblStyle w:val="Table"/>
        <w:tblW w:type="pct" w:w="4900"/>
        <w:tblLayout w:type="fixed"/>
        <w:tblLook w:firstRow="0" w:lastRow="0" w:firstColumn="0" w:lastColumn="0" w:noHBand="0" w:noVBand="0" w:val="0000"/>
      </w:tblPr>
      <w:tblGrid>
        <w:gridCol w:w="7761"/>
      </w:tblGrid>
      <w:tr>
        <w:tc>
          <w:tcPr/>
          <w:p>
            <w:pPr>
              <w:pStyle w:val="Compact"/>
              <w:jc w:val="left"/>
            </w:pPr>
            <w:r>
              <w:drawing>
                <wp:inline>
                  <wp:extent cx="5943600" cy="3995420"/>
                  <wp:effectExtent b="0" l="0" r="0" t="0"/>
                  <wp:docPr descr="Hypothetical models for different cognitive trajectories of aging."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5943600" cy="3995420"/>
                          </a:xfrm>
                          <a:prstGeom prst="rect">
                            <a:avLst/>
                          </a:prstGeom>
                          <a:noFill/>
                          <a:ln w="9525">
                            <a:noFill/>
                            <a:headEnd/>
                            <a:tailEnd/>
                          </a:ln>
                        </pic:spPr>
                      </pic:pic>
                    </a:graphicData>
                  </a:graphic>
                </wp:inline>
              </w:drawing>
            </w:r>
          </w:p>
        </w:tc>
      </w:tr>
    </w:tbl>
    <w:p>
      <w:pPr>
        <w:pStyle w:val="FigureTitle"/>
      </w:pPr>
      <w:r>
        <w:t xml:space="preserve">Figure </w:t>
      </w:r>
    </w:p>
    <w:p>
      <w:pPr>
        <w:pStyle w:val="Caption"/>
      </w:pPr>
      <w:r>
        <w:rPr>
          <w:b/>
          <w:bCs/>
        </w:rPr>
        <w:t xml:space="preserve">Panel A</w:t>
      </w:r>
      <w:r>
        <w:t xml:space="preserve">: Hypothetical models for different cognitive trajectories of aging.</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8"/>
    <w:bookmarkStart w:id="49"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49"/>
    <w:bookmarkStart w:id="6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0"/>
      </w:r>
      <w:r>
        <w:t xml:space="preserve">—the diagnostic criteria do not differ across development, even though diagnostic manuals acknowledge that developmental factors impact symptom presentation</w:t>
      </w:r>
      <w:r>
        <w:rPr>
          <w:rStyle w:val="FootnoteReference"/>
        </w:rPr>
        <w:footnoteReference w:id="51"/>
      </w:r>
      <w:r>
        <w:t xml:space="preserve">.</w:t>
      </w:r>
    </w:p>
    <w:bookmarkEnd w:id="52"/>
    <w:bookmarkEnd w:id="53"/>
    <w:bookmarkStart w:id="5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4" w:name="X4c94655489fd3e3efea19c584555f75e74709d7"/>
    <w:p>
      <w:pPr>
        <w:pStyle w:val="Heading3"/>
      </w:pPr>
      <w:r>
        <w:t xml:space="preserve">Do Not Adequately Capture Constructs’ Change in Behavioral Manifestation Across Development</w:t>
      </w:r>
    </w:p>
    <w:bookmarkEnd w:id="54"/>
    <w:bookmarkStart w:id="55" w:name="Xdc13d281466e499f4855c3876fd0a0cd5a1ffa2"/>
    <w:p>
      <w:pPr>
        <w:pStyle w:val="Heading3"/>
      </w:pPr>
      <w:r>
        <w:t xml:space="preserve">Do Not Allow Charting Individuals’ Change Over Time When the Construct Changes in Behavioral Manifestation</w:t>
      </w:r>
    </w:p>
    <w:bookmarkEnd w:id="55"/>
    <w:bookmarkStart w:id="56" w:name="X5b5ec984eec4bed4d234d034c192bb08d883361"/>
    <w:p>
      <w:pPr>
        <w:pStyle w:val="Heading3"/>
      </w:pPr>
      <w:r>
        <w:t xml:space="preserve">Not Well-Suited For Capturing the Full Range of Individual Differences</w:t>
      </w:r>
    </w:p>
    <w:bookmarkEnd w:id="56"/>
    <w:bookmarkStart w:id="57" w:name="X7a68df1e46d6eb3875992be7e28db94db9dbc3e"/>
    <w:p>
      <w:pPr>
        <w:pStyle w:val="Heading3"/>
      </w:pPr>
      <w:r>
        <w:t xml:space="preserve">Not Well-Suited for Capturing Individuals’ Change Over Time</w:t>
      </w:r>
    </w:p>
    <w:bookmarkEnd w:id="57"/>
    <w:bookmarkEnd w:id="58"/>
    <w:bookmarkStart w:id="59" w:name="example-externalizing-psychopathology"/>
    <w:p>
      <w:pPr>
        <w:pStyle w:val="Heading2"/>
      </w:pPr>
      <w:r>
        <w:t xml:space="preserve">Example: Externalizing Psychopathology</w:t>
      </w:r>
    </w:p>
    <w:bookmarkEnd w:id="59"/>
    <w:bookmarkEnd w:id="60"/>
    <w:bookmarkStart w:id="61" w:name="X90173f212147643646723f86a6ce6f8ad77bf31"/>
    <w:p>
      <w:pPr>
        <w:pStyle w:val="Heading1"/>
      </w:pPr>
      <w:r>
        <w:t xml:space="preserve">Solution: A Developmental Scaling Framework</w:t>
      </w:r>
    </w:p>
    <w:bookmarkEnd w:id="61"/>
    <w:bookmarkStart w:id="69" w:name="other-key-challenges-to-address"/>
    <w:p>
      <w:pPr>
        <w:pStyle w:val="Heading1"/>
      </w:pPr>
      <w:r>
        <w:t xml:space="preserve">Other Key Challenges to Address</w:t>
      </w:r>
    </w:p>
    <w:bookmarkStart w:id="66" w:name="sec-potential-confounds-of-change"/>
    <w:p>
      <w:pPr>
        <w:pStyle w:val="Heading2"/>
      </w:pPr>
      <w:r>
        <w:t xml:space="preserve">Potential Confounds of Change</w:t>
      </w:r>
    </w:p>
    <w:bookmarkStart w:id="62" w:name="practiceretest-effects"/>
    <w:p>
      <w:pPr>
        <w:pStyle w:val="Heading3"/>
      </w:pPr>
      <w:r>
        <w:t xml:space="preserve">Practice/Retest Effects</w:t>
      </w:r>
    </w:p>
    <w:bookmarkEnd w:id="62"/>
    <w:bookmarkStart w:id="63" w:name="period-and-cohort-effects"/>
    <w:p>
      <w:pPr>
        <w:pStyle w:val="Heading3"/>
      </w:pPr>
      <w:r>
        <w:t xml:space="preserve">Period and Cohort Effects</w:t>
      </w:r>
    </w:p>
    <w:bookmarkEnd w:id="63"/>
    <w:bookmarkStart w:id="64" w:name="measurement-error"/>
    <w:p>
      <w:pPr>
        <w:pStyle w:val="Heading3"/>
      </w:pPr>
      <w:r>
        <w:t xml:space="preserve">Measurement Error</w:t>
      </w:r>
    </w:p>
    <w:bookmarkEnd w:id="64"/>
    <w:bookmarkStart w:id="65" w:name="change-in-meaning-of-the-scores"/>
    <w:p>
      <w:pPr>
        <w:pStyle w:val="Heading3"/>
      </w:pPr>
      <w:r>
        <w:t xml:space="preserve">Change in Meaning of the Scores</w:t>
      </w:r>
    </w:p>
    <w:bookmarkEnd w:id="65"/>
    <w:bookmarkEnd w:id="66"/>
    <w:bookmarkStart w:id="67" w:name="factorial-invariance-across-time"/>
    <w:p>
      <w:pPr>
        <w:pStyle w:val="Heading2"/>
      </w:pPr>
      <w:r>
        <w:t xml:space="preserve">Factorial Invariance Across Time</w:t>
      </w:r>
    </w:p>
    <w:bookmarkEnd w:id="67"/>
    <w:bookmarkStart w:id="68" w:name="obsolescence-of-items-and-measures"/>
    <w:p>
      <w:pPr>
        <w:pStyle w:val="Heading2"/>
      </w:pPr>
      <w:r>
        <w:t xml:space="preserve">Obsolescence of Items and Measures</w:t>
      </w:r>
    </w:p>
    <w:bookmarkEnd w:id="68"/>
    <w:bookmarkEnd w:id="69"/>
    <w:bookmarkStart w:id="7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70"/>
    <w:bookmarkStart w:id="108" w:name="references"/>
    <w:p>
      <w:pPr>
        <w:pStyle w:val="Heading1"/>
      </w:pPr>
      <w:r>
        <w:t xml:space="preserve">References</w:t>
      </w:r>
    </w:p>
    <w:bookmarkStart w:id="107" w:name="refs"/>
    <w:bookmarkStart w:id="7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71"/>
    <w:bookmarkStart w:id="7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2"/>
    <w:bookmarkStart w:id="7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3"/>
    <w:bookmarkStart w:id="7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4">
        <w:r>
          <w:rPr>
            <w:rStyle w:val="Hyperlink"/>
          </w:rPr>
          <w:t xml:space="preserve">https://doi.org/10.1002/jcv2.70043</w:t>
        </w:r>
      </w:hyperlink>
    </w:p>
    <w:bookmarkEnd w:id="75"/>
    <w:bookmarkStart w:id="7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76"/>
    <w:bookmarkStart w:id="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77"/>
    <w:bookmarkStart w:id="7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78">
        <w:r>
          <w:rPr>
            <w:rStyle w:val="Hyperlink"/>
          </w:rPr>
          <w:t xml:space="preserve">https://doi.org/10.1037/0022-006X.70.1.6</w:t>
        </w:r>
      </w:hyperlink>
    </w:p>
    <w:bookmarkEnd w:id="79"/>
    <w:bookmarkStart w:id="8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80">
        <w:r>
          <w:rPr>
            <w:rStyle w:val="Hyperlink"/>
          </w:rPr>
          <w:t xml:space="preserve">https://doi.org/10.1007/s00234-020-02562-1</w:t>
        </w:r>
      </w:hyperlink>
    </w:p>
    <w:bookmarkEnd w:id="81"/>
    <w:bookmarkStart w:id="8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82">
        <w:r>
          <w:rPr>
            <w:rStyle w:val="Hyperlink"/>
          </w:rPr>
          <w:t xml:space="preserve">https://doi.org/10.1176/appi.ajp.2008.08030366</w:t>
        </w:r>
      </w:hyperlink>
    </w:p>
    <w:bookmarkEnd w:id="83"/>
    <w:bookmarkStart w:id="8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84">
        <w:r>
          <w:rPr>
            <w:rStyle w:val="Hyperlink"/>
          </w:rPr>
          <w:t xml:space="preserve">https://doi.org/10.1111/j.1467-9507.2008.00480.x</w:t>
        </w:r>
      </w:hyperlink>
    </w:p>
    <w:bookmarkEnd w:id="85"/>
    <w:bookmarkStart w:id="8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86">
        <w:r>
          <w:rPr>
            <w:rStyle w:val="Hyperlink"/>
          </w:rPr>
          <w:t xml:space="preserve">https://doi.org/10.1037/0022-006X.61.6.911</w:t>
        </w:r>
      </w:hyperlink>
    </w:p>
    <w:bookmarkEnd w:id="87"/>
    <w:bookmarkStart w:id="8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88">
        <w:r>
          <w:rPr>
            <w:rStyle w:val="Hyperlink"/>
          </w:rPr>
          <w:t xml:space="preserve">https://doi.org/10.1037/dev0001657</w:t>
        </w:r>
      </w:hyperlink>
    </w:p>
    <w:bookmarkEnd w:id="89"/>
    <w:bookmarkStart w:id="9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90">
        <w:r>
          <w:rPr>
            <w:rStyle w:val="Hyperlink"/>
          </w:rPr>
          <w:t xml:space="preserve">https://doi.org/10.1016/j.dr.2020.100935</w:t>
        </w:r>
      </w:hyperlink>
    </w:p>
    <w:bookmarkEnd w:id="91"/>
    <w:bookmarkStart w:id="93"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93"/>
    <w:bookmarkStart w:id="9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94">
        <w:r>
          <w:rPr>
            <w:rStyle w:val="Hyperlink"/>
          </w:rPr>
          <w:t xml:space="preserve">https://doi.org/10.1037/dev0000449</w:t>
        </w:r>
      </w:hyperlink>
    </w:p>
    <w:bookmarkEnd w:id="95"/>
    <w:bookmarkStart w:id="9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96">
        <w:r>
          <w:rPr>
            <w:rStyle w:val="Hyperlink"/>
          </w:rPr>
          <w:t xml:space="preserve">https://doi.org/10.1111/j.1469-7610.2006.01614.x</w:t>
        </w:r>
      </w:hyperlink>
    </w:p>
    <w:bookmarkEnd w:id="97"/>
    <w:bookmarkStart w:id="9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98"/>
    <w:bookmarkStart w:id="10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99">
        <w:r>
          <w:rPr>
            <w:rStyle w:val="Hyperlink"/>
          </w:rPr>
          <w:t xml:space="preserve">https://doi.org/10.1080/15374416.2018.1561296</w:t>
        </w:r>
      </w:hyperlink>
    </w:p>
    <w:bookmarkEnd w:id="100"/>
    <w:bookmarkStart w:id="10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01">
        <w:r>
          <w:rPr>
            <w:rStyle w:val="Hyperlink"/>
          </w:rPr>
          <w:t xml:space="preserve">https://doi.org/10.1016/j.dr.2008.01.001</w:t>
        </w:r>
      </w:hyperlink>
    </w:p>
    <w:bookmarkEnd w:id="102"/>
    <w:bookmarkStart w:id="10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03">
        <w:r>
          <w:rPr>
            <w:rStyle w:val="Hyperlink"/>
          </w:rPr>
          <w:t xml:space="preserve">https://doi.org/10.1017/S0954579403000221</w:t>
        </w:r>
      </w:hyperlink>
    </w:p>
    <w:bookmarkEnd w:id="104"/>
    <w:bookmarkStart w:id="10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05">
        <w:r>
          <w:rPr>
            <w:rStyle w:val="Hyperlink"/>
          </w:rPr>
          <w:t xml:space="preserve">https://icd.who.int</w:t>
        </w:r>
      </w:hyperlink>
    </w:p>
    <w:bookmarkEnd w:id="106"/>
    <w:bookmarkEnd w:id="107"/>
    <w:p>
      <w:r>
        <w:br w:type="page"/>
      </w:r>
    </w:p>
    <w:bookmarkEnd w:id="108"/>
    <w:p>
      <w:pPr>
        <w:pStyle w:val="Heading1"/>
      </w:pPr>
      <w:r>
        <w:t xml:space="preserve">Appendix A</w:t>
      </w:r>
    </w:p>
    <w:bookmarkStart w:id="109" w:name="apx-a"/>
    <w:p>
      <w:pPr>
        <w:pStyle w:val="Heading1"/>
      </w:pPr>
      <w:r>
        <w:t xml:space="preserve">This Section Is an Appendix</w:t>
      </w:r>
    </w:p>
    <w:p>
      <w:r>
        <w:br w:type="page"/>
      </w:r>
    </w:p>
    <w:bookmarkEnd w:id="109"/>
    <w:p>
      <w:pPr>
        <w:pStyle w:val="Heading1"/>
      </w:pPr>
      <w:r>
        <w:t xml:space="preserve">Appendix B</w:t>
      </w:r>
    </w:p>
    <w:bookmarkStart w:id="110" w:name="apx-b"/>
    <w:p>
      <w:pPr>
        <w:pStyle w:val="Heading1"/>
      </w:pPr>
      <w:r>
        <w:t xml:space="preserve">Another Appendix</w:t>
      </w:r>
    </w:p>
    <w:bookmarkEnd w:id="1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2" Target="media/rId42.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4" Target="https://doi.org/10.1002/jcv2.70043" TargetMode="External" /><Relationship Type="http://schemas.openxmlformats.org/officeDocument/2006/relationships/hyperlink" Id="rId80" Target="https://doi.org/10.1007/s00234-020-02562-1" TargetMode="External" /><Relationship Type="http://schemas.openxmlformats.org/officeDocument/2006/relationships/hyperlink" Id="rId46" Target="https://doi.org/10.1016/j.arr.2026.103102" TargetMode="External" /><Relationship Type="http://schemas.openxmlformats.org/officeDocument/2006/relationships/hyperlink" Id="rId101" Target="https://doi.org/10.1016/j.dr.2008.01.001" TargetMode="External" /><Relationship Type="http://schemas.openxmlformats.org/officeDocument/2006/relationships/hyperlink" Id="rId90" Target="https://doi.org/10.1016/j.dr.2020.100935" TargetMode="External" /><Relationship Type="http://schemas.openxmlformats.org/officeDocument/2006/relationships/hyperlink" Id="rId92" Target="https://doi.org/10.1016/j.jaacop.2025.10.008" TargetMode="External" /><Relationship Type="http://schemas.openxmlformats.org/officeDocument/2006/relationships/hyperlink" Id="rId103" Target="https://doi.org/10.1017/S0954579403000221" TargetMode="External" /><Relationship Type="http://schemas.openxmlformats.org/officeDocument/2006/relationships/hyperlink" Id="rId86" Target="https://doi.org/10.1037/0022-006X.61.6.911" TargetMode="External" /><Relationship Type="http://schemas.openxmlformats.org/officeDocument/2006/relationships/hyperlink" Id="rId78" Target="https://doi.org/10.1037/0022-006X.70.1.6" TargetMode="External" /><Relationship Type="http://schemas.openxmlformats.org/officeDocument/2006/relationships/hyperlink" Id="rId94" Target="https://doi.org/10.1037/dev0000449" TargetMode="External" /><Relationship Type="http://schemas.openxmlformats.org/officeDocument/2006/relationships/hyperlink" Id="rId88" Target="https://doi.org/10.1037/dev0001657" TargetMode="External" /><Relationship Type="http://schemas.openxmlformats.org/officeDocument/2006/relationships/hyperlink" Id="rId99" Target="https://doi.org/10.1080/15374416.2018.1561296" TargetMode="External" /><Relationship Type="http://schemas.openxmlformats.org/officeDocument/2006/relationships/hyperlink" Id="rId84" Target="https://doi.org/10.1111/j.1467-9507.2008.00480.x" TargetMode="External" /><Relationship Type="http://schemas.openxmlformats.org/officeDocument/2006/relationships/hyperlink" Id="rId96" Target="https://doi.org/10.1111/j.1469-7610.2006.01614.x" TargetMode="External" /><Relationship Type="http://schemas.openxmlformats.org/officeDocument/2006/relationships/hyperlink" Id="rId82" Target="https://doi.org/10.1176/appi.ajp.2008.08030366" TargetMode="External" /><Relationship Type="http://schemas.openxmlformats.org/officeDocument/2006/relationships/hyperlink" Id="rId45" Target="https://doi.org/10.1590/1980-57642018dn12-030001" TargetMode="External" /><Relationship Type="http://schemas.openxmlformats.org/officeDocument/2006/relationships/hyperlink" Id="rId10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2/jcv2.70043" TargetMode="External" /><Relationship Type="http://schemas.openxmlformats.org/officeDocument/2006/relationships/hyperlink" Id="rId80" Target="https://doi.org/10.1007/s00234-020-02562-1" TargetMode="External" /><Relationship Type="http://schemas.openxmlformats.org/officeDocument/2006/relationships/hyperlink" Id="rId46" Target="https://doi.org/10.1016/j.arr.2026.103102" TargetMode="External" /><Relationship Type="http://schemas.openxmlformats.org/officeDocument/2006/relationships/hyperlink" Id="rId101" Target="https://doi.org/10.1016/j.dr.2008.01.001" TargetMode="External" /><Relationship Type="http://schemas.openxmlformats.org/officeDocument/2006/relationships/hyperlink" Id="rId90" Target="https://doi.org/10.1016/j.dr.2020.100935" TargetMode="External" /><Relationship Type="http://schemas.openxmlformats.org/officeDocument/2006/relationships/hyperlink" Id="rId92" Target="https://doi.org/10.1016/j.jaacop.2025.10.008" TargetMode="External" /><Relationship Type="http://schemas.openxmlformats.org/officeDocument/2006/relationships/hyperlink" Id="rId103" Target="https://doi.org/10.1017/S0954579403000221" TargetMode="External" /><Relationship Type="http://schemas.openxmlformats.org/officeDocument/2006/relationships/hyperlink" Id="rId86" Target="https://doi.org/10.1037/0022-006X.61.6.911" TargetMode="External" /><Relationship Type="http://schemas.openxmlformats.org/officeDocument/2006/relationships/hyperlink" Id="rId78" Target="https://doi.org/10.1037/0022-006X.70.1.6" TargetMode="External" /><Relationship Type="http://schemas.openxmlformats.org/officeDocument/2006/relationships/hyperlink" Id="rId94" Target="https://doi.org/10.1037/dev0000449" TargetMode="External" /><Relationship Type="http://schemas.openxmlformats.org/officeDocument/2006/relationships/hyperlink" Id="rId88" Target="https://doi.org/10.1037/dev0001657" TargetMode="External" /><Relationship Type="http://schemas.openxmlformats.org/officeDocument/2006/relationships/hyperlink" Id="rId99" Target="https://doi.org/10.1080/15374416.2018.1561296" TargetMode="External" /><Relationship Type="http://schemas.openxmlformats.org/officeDocument/2006/relationships/hyperlink" Id="rId84" Target="https://doi.org/10.1111/j.1467-9507.2008.00480.x" TargetMode="External" /><Relationship Type="http://schemas.openxmlformats.org/officeDocument/2006/relationships/hyperlink" Id="rId96" Target="https://doi.org/10.1111/j.1469-7610.2006.01614.x" TargetMode="External" /><Relationship Type="http://schemas.openxmlformats.org/officeDocument/2006/relationships/hyperlink" Id="rId82" Target="https://doi.org/10.1176/appi.ajp.2008.08030366" TargetMode="External" /><Relationship Type="http://schemas.openxmlformats.org/officeDocument/2006/relationships/hyperlink" Id="rId45" Target="https://doi.org/10.1590/1980-57642018dn12-030001" TargetMode="External" /><Relationship Type="http://schemas.openxmlformats.org/officeDocument/2006/relationships/hyperlink" Id="rId105"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2026-05-29T17:55:11Z</dcterms:created>
  <dcterms:modified xsi:type="dcterms:W3CDTF">2026-05-29T17:55:11Z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2459</vt:lpwstr>
  </property>
  <property fmtid="{D5CDD505-2E9C-101B-9397-08002B2CF9AE}" pid="83" name="zerocitations">
    <vt:lpwstr>False</vt:lpwstr>
  </property>
</Properties>
</file>