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104.png" ContentType="image/png"/>
  <Override PartName="/word/media/rId71.png" ContentType="image/png"/>
  <Override PartName="/word/media/rId88.png" ContentType="image/png"/>
  <Override PartName="/word/media/rId81.jpg" ContentType="image/jpeg"/>
  <Override PartName="/word/media/rId98.png" ContentType="image/png"/>
  <Override PartName="/word/media/rId112.png" ContentType="image/png"/>
  <Override PartName="/word/media/rId23.svg" ContentType="image/svg+xml"/>
  <Override PartName="/word/media/rId47.png" ContentType="image/png"/>
  <Override PartName="/word/media/rId42.png" ContentType="image/png"/>
  <Override PartName="/word/media/rId64.png" ContentType="image/png"/>
  <Override PartName="/word/media/rId53.png" ContentType="image/png"/>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52"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age,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45" w:name="fig-lifespancognitivetrajectories"/>
    <w:p>
      <w:pPr>
        <w:pStyle w:val="FigureTitle"/>
      </w:pPr>
      <w:r>
        <w:t xml:space="preserve">Figure 1</w:t>
      </w:r>
    </w:p>
    <w:p>
      <w:pPr>
        <w:pStyle w:val="Caption"/>
      </w:pPr>
      <w:r>
        <w:t xml:space="preserve">Different Cognitive Trajectories of Aging</w:t>
      </w:r>
    </w:p>
    <w:p>
      <w:pPr>
        <w:pStyle w:val="FigureWithoutNote"/>
      </w:pPr>
      <w:r>
        <w:drawing>
          <wp:inline>
            <wp:extent cx="5943600" cy="2476500"/>
            <wp:effectExtent b="0" l="0" r="0" t="0"/>
            <wp:docPr descr="" title="" id="43" name="Picture"/>
            <a:graphic>
              <a:graphicData uri="http://schemas.openxmlformats.org/drawingml/2006/picture">
                <pic:pic>
                  <pic:nvPicPr>
                    <pic:cNvPr descr="index_files/figure-docx/notebooks-analyses-fig-lifespancognitivetrajectories-output-1.png" id="44" name="Picture"/>
                    <pic:cNvPicPr>
                      <a:picLocks noChangeArrowheads="1" noChangeAspect="1"/>
                    </pic:cNvPicPr>
                  </pic:nvPicPr>
                  <pic:blipFill>
                    <a:blip r:embed="rId42"/>
                    <a:stretch>
                      <a:fillRect/>
                    </a:stretch>
                  </pic:blipFill>
                  <pic:spPr bwMode="auto">
                    <a:xfrm>
                      <a:off x="0" y="0"/>
                      <a:ext cx="5943600" cy="2476500"/>
                    </a:xfrm>
                    <a:prstGeom prst="rect">
                      <a:avLst/>
                    </a:prstGeom>
                    <a:noFill/>
                    <a:ln w="9525">
                      <a:noFill/>
                      <a:headEnd/>
                      <a:tailEnd/>
                    </a:ln>
                  </pic:spPr>
                </pic:pic>
              </a:graphicData>
            </a:graphic>
          </wp:inline>
        </w:drawing>
      </w:r>
    </w:p>
    <w:bookmarkEnd w:id="45"/>
    <w:p>
      <w:pPr>
        <w:pStyle w:val="FigureWithoutNote"/>
      </w:pPr>
      <w:r>
        <w:rPr>
          <w:vertAlign w:val="subscript"/>
        </w:rPr>
        <w:t xml:space="preserve">Source:</w:t>
      </w:r>
      <w:r>
        <w:rPr>
          <w:vertAlign w:val="subscript"/>
        </w:rPr>
        <w:t xml:space="preserve"> </w:t>
      </w:r>
      <w:hyperlink r:id="rId46">
        <w:r>
          <w:rPr>
            <w:rStyle w:val="Hyperlink"/>
            <w:vertAlign w:val="subscript"/>
          </w:rPr>
          <w:t xml:space="preserve">Analyses</w:t>
        </w:r>
      </w:hyperlink>
    </w:p>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externalizingbyage">
        <w:r>
          <w:rPr>
            <w:rStyle w:val="Hyperlink"/>
          </w:rPr>
          <w:t xml:space="preserve">Figure 2</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externalizingbyage">
        <w:r>
          <w:rPr>
            <w:rStyle w:val="Hyperlink"/>
          </w:rPr>
          <w:t xml:space="preserve">Figure 2</w:t>
        </w:r>
      </w:hyperlink>
      <w:r>
        <w:t xml:space="preserve">.</w:t>
      </w:r>
      <w:r>
        <w:t xml:space="preserve"> </w:t>
      </w: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not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ernalizingbyage">
        <w:r>
          <w:rPr>
            <w:rStyle w:val="Hyperlink"/>
          </w:rPr>
          <w:t xml:space="preserve">Figure 2</w:t>
        </w:r>
      </w:hyperlink>
      <w:r>
        <w:t xml:space="preserve">.</w:t>
      </w:r>
    </w:p>
    <w:p>
      <w:pPr>
        <w:pStyle w:val="BodyText"/>
      </w:pPr>
      <w:r>
        <w:t xml:space="preserve">In sum, if we rely solely on normative age-related patterns of cognitive functioning or psychopathology from cross-sectional research, we would miss the great individual differences in people’s developmental courses.</w:t>
      </w:r>
      <w:r>
        <w:t xml:space="preserve"> </w:t>
      </w:r>
      <w:r>
        <w:t xml:space="preserve">And these individual differences are crucial to identify the risk and protective mechanisms that explain these differing developmental courses.</w:t>
      </w:r>
      <w:r>
        <w:t xml:space="preserve"> </w:t>
      </w:r>
    </w:p>
    <w:bookmarkStart w:id="50" w:name="fig-externalizingbyage"/>
    <w:p>
      <w:pPr>
        <w:pStyle w:val="FigureTitle"/>
      </w:pPr>
      <w:r>
        <w:t xml:space="preserve">Figure 2</w:t>
      </w:r>
    </w:p>
    <w:p>
      <w:pPr>
        <w:pStyle w:val="Caption"/>
      </w:pPr>
      <w:r>
        <w:t xml:space="preserve">Externalizing Behavior Across Development</w:t>
      </w:r>
    </w:p>
    <w:p>
      <w:pPr>
        <w:pStyle w:val="FigureWithoutNote"/>
      </w:pPr>
      <w:r>
        <w:drawing>
          <wp:inline>
            <wp:extent cx="5943600" cy="3962400"/>
            <wp:effectExtent b="0" l="0" r="0" t="0"/>
            <wp:docPr descr="" title="" id="48" name="Picture"/>
            <a:graphic>
              <a:graphicData uri="http://schemas.openxmlformats.org/drawingml/2006/picture">
                <pic:pic>
                  <pic:nvPicPr>
                    <pic:cNvPr descr="index_files/figure-docx/notebooks-analyses-fig-externalizingbyage-output-1.png" id="49" name="Picture"/>
                    <pic:cNvPicPr>
                      <a:picLocks noChangeArrowheads="1" noChangeAspect="1"/>
                    </pic:cNvPicPr>
                  </pic:nvPicPr>
                  <pic:blipFill>
                    <a:blip r:embed="rId47"/>
                    <a:stretch>
                      <a:fillRect/>
                    </a:stretch>
                  </pic:blipFill>
                  <pic:spPr bwMode="auto">
                    <a:xfrm>
                      <a:off x="0" y="0"/>
                      <a:ext cx="5943600" cy="3962400"/>
                    </a:xfrm>
                    <a:prstGeom prst="rect">
                      <a:avLst/>
                    </a:prstGeom>
                    <a:noFill/>
                    <a:ln w="9525">
                      <a:noFill/>
                      <a:headEnd/>
                      <a:tailEnd/>
                    </a:ln>
                  </pic:spPr>
                </pic:pic>
              </a:graphicData>
            </a:graphic>
          </wp:inline>
        </w:drawing>
      </w:r>
    </w:p>
    <w:bookmarkEnd w:id="50"/>
    <w:p>
      <w:pPr>
        <w:pStyle w:val="FigureWithoutNote"/>
      </w:pPr>
      <w:r>
        <w:rPr>
          <w:vertAlign w:val="subscript"/>
        </w:rPr>
        <w:t xml:space="preserve">Source:</w:t>
      </w:r>
      <w:r>
        <w:rPr>
          <w:vertAlign w:val="subscript"/>
        </w:rPr>
        <w:t xml:space="preserve"> </w:t>
      </w:r>
      <w:hyperlink r:id="rId51">
        <w:r>
          <w:rPr>
            <w:rStyle w:val="Hyperlink"/>
            <w:vertAlign w:val="subscript"/>
          </w:rPr>
          <w:t xml:space="preserve">Analyses</w:t>
        </w:r>
      </w:hyperlink>
    </w:p>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r>
        <w:t xml:space="preserve"> </w:t>
      </w:r>
      <w:r>
        <w:t xml:space="preserve">Fourth, findings from cross-sectional studies can differ from findings examining the same people over time, which violates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52"/>
    <w:bookmarkStart w:id="70"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for lengthy developmental periods.</w:t>
      </w:r>
      <w:r>
        <w:t xml:space="preserve"> </w:t>
      </w:r>
      <w:r>
        <w:t xml:space="preserve">We overview some of the seminal longitudinal studies covering a lengthy span of development.</w:t>
      </w:r>
      <w:r>
        <w:t xml:space="preserve"> </w:t>
      </w:r>
      <w:r>
        <w:t xml:space="preserve">A depiction of the ages spanned by various longitudinal studies is in</w:t>
      </w:r>
      <w:r>
        <w:t xml:space="preserve"> </w:t>
      </w:r>
      <w:hyperlink w:anchor="fig-longitudinalstudies">
        <w:r>
          <w:rPr>
            <w:rStyle w:val="Hyperlink"/>
          </w:rPr>
          <w:t xml:space="preserve">Figure 3</w:t>
        </w:r>
      </w:hyperlink>
      <w:r>
        <w:t xml:space="preserve">.</w:t>
      </w:r>
    </w:p>
    <w:bookmarkStart w:id="56" w:name="fig-longitudinalstudies"/>
    <w:p>
      <w:pPr>
        <w:pStyle w:val="FigureTitle"/>
      </w:pPr>
      <w:r>
        <w:t xml:space="preserve">Figure 3</w:t>
      </w:r>
    </w:p>
    <w:p>
      <w:pPr>
        <w:pStyle w:val="Caption"/>
      </w:pPr>
      <w:r>
        <w:t xml:space="preserve">(Approximate) Ages Spanned by Various Lengthy Longitudinal Studies</w:t>
      </w:r>
    </w:p>
    <w:p>
      <w:pPr>
        <w:pStyle w:val="FigureWithoutNote"/>
      </w:pPr>
      <w:r>
        <w:drawing>
          <wp:inline>
            <wp:extent cx="5943600" cy="6792685"/>
            <wp:effectExtent b="0" l="0" r="0" t="0"/>
            <wp:docPr descr="" title="" id="54" name="Picture"/>
            <a:graphic>
              <a:graphicData uri="http://schemas.openxmlformats.org/drawingml/2006/picture">
                <pic:pic>
                  <pic:nvPicPr>
                    <pic:cNvPr descr="index_files/figure-docx/notebooks-analyses-fig-longitudinalstudies-output-1.png" id="55" name="Picture"/>
                    <pic:cNvPicPr>
                      <a:picLocks noChangeArrowheads="1" noChangeAspect="1"/>
                    </pic:cNvPicPr>
                  </pic:nvPicPr>
                  <pic:blipFill>
                    <a:blip r:embed="rId53"/>
                    <a:stretch>
                      <a:fillRect/>
                    </a:stretch>
                  </pic:blipFill>
                  <pic:spPr bwMode="auto">
                    <a:xfrm>
                      <a:off x="0" y="0"/>
                      <a:ext cx="5943600" cy="6792685"/>
                    </a:xfrm>
                    <a:prstGeom prst="rect">
                      <a:avLst/>
                    </a:prstGeom>
                    <a:noFill/>
                    <a:ln w="9525">
                      <a:noFill/>
                      <a:headEnd/>
                      <a:tailEnd/>
                    </a:ln>
                  </pic:spPr>
                </pic:pic>
              </a:graphicData>
            </a:graphic>
          </wp:inline>
        </w:drawing>
      </w:r>
    </w:p>
    <w:bookmarkEnd w:id="56"/>
    <w:p>
      <w:pPr>
        <w:pStyle w:val="FigureWithoutNote"/>
      </w:pPr>
      <w:r>
        <w:rPr>
          <w:vertAlign w:val="subscript"/>
        </w:rPr>
        <w:t xml:space="preserve">Source:</w:t>
      </w:r>
      <w:r>
        <w:rPr>
          <w:vertAlign w:val="subscript"/>
        </w:rPr>
        <w:t xml:space="preserve"> </w:t>
      </w:r>
      <w:hyperlink r:id="rId57">
        <w:r>
          <w:rPr>
            <w:rStyle w:val="Hyperlink"/>
            <w:vertAlign w:val="subscript"/>
          </w:rPr>
          <w:t xml:space="preserve">Analyses</w:t>
        </w:r>
      </w:hyperlink>
    </w:p>
    <w:bookmarkStart w:id="62" w:name="seminal-longitudinal-studies"/>
    <w:p>
      <w:pPr>
        <w:pStyle w:val="Heading2"/>
      </w:pPr>
      <w:r>
        <w:t xml:space="preserve">Seminal Longitudinal Studies</w:t>
      </w:r>
    </w:p>
    <w:bookmarkStart w:id="58"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w:t>
      </w:r>
      <w:r>
        <w:t xml:space="preserve"> </w:t>
      </w:r>
      <w:r>
        <w:t xml:space="preserve">Kagan and Moss (</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58"/>
    <w:bookmarkStart w:id="59"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59"/>
    <w:bookmarkStart w:id="60" w:name="harvard-study-of-adult-development"/>
    <w:p>
      <w:pPr>
        <w:pStyle w:val="Heading3"/>
      </w:pPr>
      <w:r>
        <w:t xml:space="preserve">Harvard Study of Adult Development</w:t>
      </w:r>
    </w:p>
    <w:p>
      <w:pPr>
        <w:pStyle w:val="FirstParagraph"/>
      </w:pPr>
      <w:r>
        <w:t xml:space="preserve">The Harvard Study of Adult Development, which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Massachusetts, and has followed them into their 80s.</w:t>
      </w:r>
      <w:r>
        <w:t xml:space="preserve"> </w:t>
      </w:r>
      <w:r>
        <w:t xml:space="preserve">One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60"/>
    <w:bookmarkStart w:id="61"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4-year-old children the year before kindergarten in 1987 and 1988 in Nashville, Tennessee, Knoxville, Tennessee, and Bloomington, Indiana.</w:t>
      </w:r>
      <w:r>
        <w:t xml:space="preserve"> </w:t>
      </w:r>
      <w:r>
        <w:t xml:space="preserve">Participants included 585 children, and they have been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later aggression and that part of the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61"/>
    <w:bookmarkEnd w:id="62"/>
    <w:bookmarkStart w:id="69"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longitudinal designs.</w:t>
      </w:r>
      <w:r>
        <w:t xml:space="preserve"> </w:t>
      </w:r>
      <w:r>
        <w:t xml:space="preserve">Some long-term longitudinal studies have even followed children of those children who were initially recruited, and are thus uniquely positioned to study questions of intergenerational transmission</w:t>
      </w:r>
      <w:r>
        <w:t xml:space="preserve"> </w:t>
      </w:r>
      <w:r>
        <w:t xml:space="preserve">(e.g.,</w:t>
      </w:r>
      <w:r>
        <w:t xml:space="preserve"> </w:t>
      </w:r>
      <w:hyperlink w:anchor="ref-Kim2009">
        <w:r>
          <w:rPr>
            <w:rStyle w:val="Hyperlink"/>
          </w:rPr>
          <w:t xml:space="preserve">Kim et al., 2009</w:t>
        </w:r>
      </w:hyperlink>
      <w:r>
        <w:t xml:space="preserve">)</w:t>
      </w:r>
      <w:r>
        <w:t xml:space="preserve">.</w:t>
      </w:r>
      <w:r>
        <w:t xml:space="preserve"> </w:t>
      </w:r>
      <w:r>
        <w:t xml:space="preserve">However, relatively few longitudinal studies attempt to assess people’s</w:t>
      </w:r>
      <w:r>
        <w:t xml:space="preserve"> </w:t>
      </w:r>
      <w:r>
        <w:rPr>
          <w:i/>
          <w:iCs/>
        </w:rPr>
        <w:t xml:space="preserve">change</w:t>
      </w:r>
      <w:r>
        <w:t xml:space="preserve"> </w:t>
      </w:r>
      <w:r>
        <w:t xml:space="preserve">in a given psychopathology construct over a long period.</w:t>
      </w:r>
      <w:r>
        <w:t xml:space="preserve"> </w:t>
      </w:r>
      <w:r>
        <w:t xml:space="preserve">Here, we focus on studies that have examined trajectories of externalizing behavior.</w:t>
      </w:r>
      <w:r>
        <w:rPr>
          <w:rStyle w:val="FootnoteReference"/>
        </w:rPr>
        <w:footnoteReference w:id="63"/>
      </w:r>
    </w:p>
    <w:p>
      <w:pPr>
        <w:pStyle w:val="BodyText"/>
      </w:pPr>
      <w:r>
        <w:t xml:space="preserve">A depiction of the ages spanned by various longitudinal studies is in</w:t>
      </w:r>
      <w:r>
        <w:t xml:space="preserve"> </w:t>
      </w:r>
      <w:hyperlink w:anchor="fig-longitudinalexternalizingstudies">
        <w:r>
          <w:rPr>
            <w:rStyle w:val="Hyperlink"/>
          </w:rPr>
          <w:t xml:space="preserve">Figure 4</w:t>
        </w:r>
      </w:hyperlink>
      <w:r>
        <w:t xml:space="preserve">.</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 with 20 measurement occasions.</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antisocial conduct problems from ages 7–26 with 8 measurement occasions.</w:t>
      </w:r>
      <w:r>
        <w:t xml:space="preserve"> </w:t>
      </w:r>
      <w:r>
        <w:t xml:space="preserve">In the Mannheim Study of Children at Risk,</w:t>
      </w:r>
      <w:r>
        <w:t xml:space="preserve"> </w:t>
      </w:r>
      <w:r>
        <w:t xml:space="preserve">Sacu et al. (</w:t>
      </w:r>
      <w:hyperlink w:anchor="ref-SacuInPress">
        <w:r>
          <w:rPr>
            <w:rStyle w:val="Hyperlink"/>
          </w:rPr>
          <w:t xml:space="preserve">in press</w:t>
        </w:r>
      </w:hyperlink>
      <w:r>
        <w:t xml:space="preserve">)</w:t>
      </w:r>
      <w:r>
        <w:t xml:space="preserve"> </w:t>
      </w:r>
      <w:r>
        <w:t xml:space="preserve">examined trajectories of externalizing behavior from ages 8–33 with 8 measurement occasions.</w:t>
      </w:r>
      <w:r>
        <w:t xml:space="preserve"> </w:t>
      </w:r>
      <w:r>
        <w:t xml:space="preserve">A study using six longitudinal datasets examined trajectories of disruptive behaviors and delinquency, with the longest trajectory spanning ages 6–15 with 7 measurement occasions</w:t>
      </w:r>
      <w:r>
        <w:t xml:space="preserve"> </w:t>
      </w:r>
      <w:r>
        <w:t xml:space="preserve">(</w:t>
      </w:r>
      <w:hyperlink w:anchor="ref-Broidy2003">
        <w:r>
          <w:rPr>
            <w:rStyle w:val="Hyperlink"/>
          </w:rPr>
          <w:t xml:space="preserve">Broidy et al., 2003</w:t>
        </w:r>
      </w:hyperlink>
      <w:r>
        <w:t xml:space="preserve">)</w:t>
      </w:r>
      <w:r>
        <w:t xml:space="preserve">.</w:t>
      </w:r>
      <w:r>
        <w:t xml:space="preserve"> </w:t>
      </w:r>
      <w:r>
        <w:t xml:space="preserve">In addition, a study examined trajectories of externalizing problems from ages 4–17 with 3 measurement occasions in predicting externalizing problems at age 27</w:t>
      </w:r>
      <w:r>
        <w:t xml:space="preserve"> </w:t>
      </w:r>
      <w:r>
        <w:t xml:space="preserve">(</w:t>
      </w:r>
      <w:hyperlink w:anchor="ref-Korhonen2018">
        <w:r>
          <w:rPr>
            <w:rStyle w:val="Hyperlink"/>
          </w:rPr>
          <w:t xml:space="preserve">Korhonen et al., 2018</w:t>
        </w:r>
      </w:hyperlink>
      <w:r>
        <w:t xml:space="preserve">)</w:t>
      </w:r>
      <w:r>
        <w:t xml:space="preserve">.</w:t>
      </w:r>
      <w:r>
        <w:t xml:space="preserve"> </w:t>
      </w:r>
      <w:r>
        <w:t xml:space="preserve">Other studies have examined trajectories of externalizing problems from ages 5–17 with 5 measurement occasions</w:t>
      </w:r>
      <w:r>
        <w:t xml:space="preserve"> </w:t>
      </w:r>
      <w:r>
        <w:t xml:space="preserve">(</w:t>
      </w:r>
      <w:hyperlink w:anchor="ref-Bista2025">
        <w:r>
          <w:rPr>
            <w:rStyle w:val="Hyperlink"/>
          </w:rPr>
          <w:t xml:space="preserve">Bista et al., 2025</w:t>
        </w:r>
      </w:hyperlink>
      <w:r>
        <w:t xml:space="preserve">)</w:t>
      </w:r>
      <w:r>
        <w:t xml:space="preserve">, from ages 6–18 with 12 measurement occasions</w:t>
      </w:r>
      <w:r>
        <w:t xml:space="preserve"> </w:t>
      </w:r>
      <w:r>
        <w:t xml:space="preserve">(</w:t>
      </w:r>
      <w:hyperlink w:anchor="ref-Shi2020">
        <w:r>
          <w:rPr>
            <w:rStyle w:val="Hyperlink"/>
          </w:rPr>
          <w:t xml:space="preserve">Shi et al., 2020</w:t>
        </w:r>
      </w:hyperlink>
      <w:r>
        <w:t xml:space="preserve">)</w:t>
      </w:r>
      <w:r>
        <w:t xml:space="preserve">, from ages 1.5–14.5 with 6 measurement occasions</w:t>
      </w:r>
      <w:r>
        <w:t xml:space="preserve"> </w:t>
      </w:r>
      <w:r>
        <w:t xml:space="preserve">(</w:t>
      </w:r>
      <w:hyperlink w:anchor="ref-Kjeldsen2016">
        <w:r>
          <w:rPr>
            <w:rStyle w:val="Hyperlink"/>
          </w:rPr>
          <w:t xml:space="preserve">Kjeldsen et al., 2016</w:t>
        </w:r>
      </w:hyperlink>
      <w:r>
        <w:t xml:space="preserve">)</w:t>
      </w:r>
      <w:r>
        <w:t xml:space="preserve">, from ages 4–16 with 7 measurement occasions</w:t>
      </w:r>
      <w:r>
        <w:t xml:space="preserve"> </w:t>
      </w:r>
      <w:r>
        <w:t xml:space="preserve">(Avon Longitudinal Study of Parents and Children (ALSPAC);</w:t>
      </w:r>
      <w:r>
        <w:t xml:space="preserve"> </w:t>
      </w:r>
      <w:hyperlink w:anchor="ref-Speyer2022">
        <w:r>
          <w:rPr>
            <w:rStyle w:val="Hyperlink"/>
          </w:rPr>
          <w:t xml:space="preserve">Speyer et al., 2022</w:t>
        </w:r>
      </w:hyperlink>
      <w:r>
        <w:t xml:space="preserve">)</w:t>
      </w:r>
      <w:r>
        <w:t xml:space="preserve">, from ages 3–17 with 6 measurement occasions</w:t>
      </w:r>
      <w:r>
        <w:t xml:space="preserve"> </w:t>
      </w:r>
      <w:r>
        <w:t xml:space="preserve">(UK Millennium Cohort Study;</w:t>
      </w:r>
      <w:r>
        <w:t xml:space="preserve"> </w:t>
      </w:r>
      <w:hyperlink w:anchor="ref-Zhai2026">
        <w:r>
          <w:rPr>
            <w:rStyle w:val="Hyperlink"/>
          </w:rPr>
          <w:t xml:space="preserve">Zhai et al., 2026</w:t>
        </w:r>
      </w:hyperlink>
      <w:r>
        <w:t xml:space="preserve">)</w:t>
      </w:r>
      <w:r>
        <w:t xml:space="preserve">, from ages 12–23 with 3 measurement occasions</w:t>
      </w:r>
      <w:r>
        <w:t xml:space="preserve"> </w:t>
      </w:r>
      <w:r>
        <w:t xml:space="preserve">(</w:t>
      </w:r>
      <w:hyperlink w:anchor="ref-Stringer2020">
        <w:r>
          <w:rPr>
            <w:rStyle w:val="Hyperlink"/>
          </w:rPr>
          <w:t xml:space="preserve">Stringer et al., 2020</w:t>
        </w:r>
      </w:hyperlink>
      <w:r>
        <w:t xml:space="preserve">)</w:t>
      </w:r>
      <w:r>
        <w:t xml:space="preserve">, from ages 2–15 with 11 measurement occasions</w:t>
      </w:r>
      <w:r>
        <w:t xml:space="preserve"> </w:t>
      </w:r>
      <w:r>
        <w:t xml:space="preserve">(NICHD Study of Early Child Care and Youth Development [SECCYD];</w:t>
      </w:r>
      <w:r>
        <w:t xml:space="preserve"> </w:t>
      </w:r>
      <w:hyperlink w:anchor="ref-Harris2025">
        <w:r>
          <w:rPr>
            <w:rStyle w:val="Hyperlink"/>
          </w:rPr>
          <w:t xml:space="preserve">Harris et al., 2025</w:t>
        </w:r>
      </w:hyperlink>
      <w:r>
        <w:t xml:space="preserve">)</w:t>
      </w:r>
      <w:r>
        <w:t xml:space="preserve">, and from ages 3–17</w:t>
      </w:r>
      <w:r>
        <w:t xml:space="preserve"> </w:t>
      </w:r>
      <w:r>
        <w:t xml:space="preserve">(</w:t>
      </w:r>
      <w:hyperlink w:anchor="ref-Gornik2023">
        <w:r>
          <w:rPr>
            <w:rStyle w:val="Hyperlink"/>
          </w:rPr>
          <w:t xml:space="preserve">Gornik et al., 2023</w:t>
        </w:r>
      </w:hyperlink>
      <w:r>
        <w:t xml:space="preserve">)</w:t>
      </w:r>
      <w:r>
        <w:t xml:space="preserve">.</w:t>
      </w:r>
      <w:r>
        <w:t xml:space="preserve"> </w:t>
      </w:r>
      <w:r>
        <w:t xml:space="preserve">Bongers et al. (</w:t>
      </w:r>
      <w:hyperlink w:anchor="ref-Bongers2004">
        <w:r>
          <w:rPr>
            <w:rStyle w:val="Hyperlink"/>
          </w:rPr>
          <w:t xml:space="preserve">2004</w:t>
        </w:r>
      </w:hyperlink>
      <w:r>
        <w:t xml:space="preserve">)</w:t>
      </w:r>
      <w:r>
        <w:t xml:space="preserve"> </w:t>
      </w:r>
      <w:r>
        <w:t xml:space="preserve">examined trajectories of various externalizing problems from ages 4–18 spanning 13 differing birth cohorts with up to 5 measurement occasions per cohort, such that any individual was followed for up to 8 years</w:t>
      </w:r>
      <w:r>
        <w:t xml:space="preserve"> </w:t>
      </w:r>
      <w:r>
        <w:t xml:space="preserve">(</w:t>
      </w:r>
      <w:hyperlink w:anchor="ref-Bongers2004">
        <w:r>
          <w:rPr>
            <w:rStyle w:val="Hyperlink"/>
          </w:rPr>
          <w:t xml:space="preserve">Bongers et al., 2004</w:t>
        </w:r>
      </w:hyperlink>
      <w:r>
        <w:t xml:space="preserve">)</w:t>
      </w:r>
      <w:r>
        <w:t xml:space="preserve">.</w:t>
      </w:r>
      <w:r>
        <w:t xml:space="preserve"> </w:t>
      </w:r>
      <w:r>
        <w:t xml:space="preserve">Studies have also examined trajectories of delinquency from ages 7–19 with 13 measurement occasions</w:t>
      </w:r>
      <w:r>
        <w:t xml:space="preserve"> </w:t>
      </w:r>
      <w:r>
        <w:t xml:space="preserve">(Pittsburgh Youth Study;</w:t>
      </w:r>
      <w:r>
        <w:t xml:space="preserve"> </w:t>
      </w:r>
      <w:hyperlink w:anchor="ref-Keijsers2012">
        <w:r>
          <w:rPr>
            <w:rStyle w:val="Hyperlink"/>
          </w:rPr>
          <w:t xml:space="preserve">Keijsers et al., 2012</w:t>
        </w:r>
      </w:hyperlink>
      <w:r>
        <w:t xml:space="preserve">)</w:t>
      </w:r>
      <w:r>
        <w:t xml:space="preserve">.</w:t>
      </w:r>
      <w:r>
        <w:t xml:space="preserve"> </w:t>
      </w:r>
      <w:r>
        <w:t xml:space="preserve">Demonstrating an analytic method (moderated nonlinear factor analysis) to link scores across measures onto the same scale,</w:t>
      </w:r>
      <w:r>
        <w:t xml:space="preserve"> </w:t>
      </w:r>
      <w:r>
        <w:t xml:space="preserve">S. M. Chen and Bauer (</w:t>
      </w:r>
      <w:hyperlink w:anchor="ref-ChenPM">
        <w:r>
          <w:rPr>
            <w:rStyle w:val="Hyperlink"/>
          </w:rPr>
          <w:t xml:space="preserve">in pressb</w:t>
        </w:r>
      </w:hyperlink>
      <w:r>
        <w:t xml:space="preserve">)</w:t>
      </w:r>
      <w:r>
        <w:t xml:space="preserve"> </w:t>
      </w:r>
      <w:r>
        <w:t xml:space="preserve">examined trajectories of delinquency from ages 12–26 with 3 measurement occasions in the National Longitudinal Study of Adolescent to Adult Health (Add Health), and</w:t>
      </w:r>
      <w:r>
        <w:t xml:space="preserve"> </w:t>
      </w:r>
      <w:r>
        <w:t xml:space="preserve">S. M. Chen and Bauer (</w:t>
      </w:r>
      <w:hyperlink w:anchor="ref-ChenMBR">
        <w:r>
          <w:rPr>
            <w:rStyle w:val="Hyperlink"/>
          </w:rPr>
          <w:t xml:space="preserve">in pressa</w:t>
        </w:r>
      </w:hyperlink>
      <w:r>
        <w:t xml:space="preserve">)</w:t>
      </w:r>
      <w:r>
        <w:t xml:space="preserve"> </w:t>
      </w:r>
      <w:r>
        <w:t xml:space="preserve">examined trajectories of externalizing behavior from ages 5–12 with 3 measurement occasions in the National Longitudinal Survey of Youth 1979 Child and Young Adult (NLSCYA).</w:t>
      </w:r>
      <w:r>
        <w:t xml:space="preserve"> </w:t>
      </w:r>
      <w:r>
        <w:t xml:space="preserve">Studies have also leveraged registry data to examine trajectories of offending from ages 8–61</w:t>
      </w:r>
      <w:r>
        <w:t xml:space="preserve"> </w:t>
      </w:r>
      <w:r>
        <w:t xml:space="preserve">(</w:t>
      </w:r>
      <w:hyperlink w:anchor="ref-LeBlanc2021">
        <w:r>
          <w:rPr>
            <w:rStyle w:val="Hyperlink"/>
          </w:rPr>
          <w:t xml:space="preserve">Le Blanc, 2021</w:t>
        </w:r>
      </w:hyperlink>
      <w:r>
        <w:t xml:space="preserve">)</w:t>
      </w:r>
      <w:r>
        <w:t xml:space="preserve">, from ages 10–61</w:t>
      </w:r>
      <w:r>
        <w:t xml:space="preserve"> </w:t>
      </w:r>
      <w:r>
        <w:t xml:space="preserve">(Cambridge Study in Delinquent Development;</w:t>
      </w:r>
      <w:r>
        <w:t xml:space="preserve"> </w:t>
      </w:r>
      <w:hyperlink w:anchor="ref-Farrington2023">
        <w:r>
          <w:rPr>
            <w:rStyle w:val="Hyperlink"/>
          </w:rPr>
          <w:t xml:space="preserve">Farrington et al., 2023</w:t>
        </w:r>
      </w:hyperlink>
      <w:r>
        <w:t xml:space="preserve">)</w:t>
      </w:r>
      <w:r>
        <w:t xml:space="preserve">, and from ages 9–64</w:t>
      </w:r>
      <w:r>
        <w:t xml:space="preserve"> </w:t>
      </w:r>
      <w:r>
        <w:t xml:space="preserve">(Stockholm Metropolitan Study;</w:t>
      </w:r>
      <w:r>
        <w:t xml:space="preserve"> </w:t>
      </w:r>
      <w:hyperlink w:anchor="ref-Sivertsson2024">
        <w:r>
          <w:rPr>
            <w:rStyle w:val="Hyperlink"/>
          </w:rPr>
          <w:t xml:space="preserve">Sivertsson et al., 2024</w:t>
        </w:r>
      </w:hyperlink>
      <w:r>
        <w:t xml:space="preserve">)</w:t>
      </w:r>
      <w:r>
        <w:t xml:space="preserve">.</w:t>
      </w:r>
    </w:p>
    <w:bookmarkStart w:id="67" w:name="fig-longitudinalexternalizingstudies"/>
    <w:p>
      <w:pPr>
        <w:pStyle w:val="FigureTitle"/>
      </w:pPr>
      <w:r>
        <w:t xml:space="preserve">Figure 4</w:t>
      </w:r>
    </w:p>
    <w:p>
      <w:pPr>
        <w:pStyle w:val="Caption"/>
      </w:pPr>
      <w:r>
        <w:t xml:space="preserve">(Approximate) Ages Spanned by Externalizing Trajectories in Various Lengthy Longitudinal Studies Examining Individuals’ Trajectories of Externalizing Behavior</w:t>
      </w:r>
    </w:p>
    <w:p>
      <w:pPr>
        <w:pStyle w:val="FigureWithoutNote"/>
      </w:pPr>
      <w:r>
        <w:drawing>
          <wp:inline>
            <wp:extent cx="5943600" cy="6792685"/>
            <wp:effectExtent b="0" l="0" r="0" t="0"/>
            <wp:docPr descr="" title="" id="65" name="Picture"/>
            <a:graphic>
              <a:graphicData uri="http://schemas.openxmlformats.org/drawingml/2006/picture">
                <pic:pic>
                  <pic:nvPicPr>
                    <pic:cNvPr descr="index_files/figure-docx/notebooks-analyses-fig-longitudinalexternalizingstudies-output-1.png" id="66" name="Picture"/>
                    <pic:cNvPicPr>
                      <a:picLocks noChangeArrowheads="1" noChangeAspect="1"/>
                    </pic:cNvPicPr>
                  </pic:nvPicPr>
                  <pic:blipFill>
                    <a:blip r:embed="rId64"/>
                    <a:stretch>
                      <a:fillRect/>
                    </a:stretch>
                  </pic:blipFill>
                  <pic:spPr bwMode="auto">
                    <a:xfrm>
                      <a:off x="0" y="0"/>
                      <a:ext cx="5943600" cy="6792685"/>
                    </a:xfrm>
                    <a:prstGeom prst="rect">
                      <a:avLst/>
                    </a:prstGeom>
                    <a:noFill/>
                    <a:ln w="9525">
                      <a:noFill/>
                      <a:headEnd/>
                      <a:tailEnd/>
                    </a:ln>
                  </pic:spPr>
                </pic:pic>
              </a:graphicData>
            </a:graphic>
          </wp:inline>
        </w:drawing>
      </w:r>
    </w:p>
    <w:bookmarkEnd w:id="67"/>
    <w:p>
      <w:pPr>
        <w:pStyle w:val="FigureWithoutNote"/>
      </w:pPr>
      <w:r>
        <w:rPr>
          <w:vertAlign w:val="subscript"/>
        </w:rPr>
        <w:t xml:space="preserve">Source:</w:t>
      </w:r>
      <w:r>
        <w:rPr>
          <w:vertAlign w:val="subscript"/>
        </w:rPr>
        <w:t xml:space="preserve"> </w:t>
      </w:r>
      <w:hyperlink r:id="rId68">
        <w:r>
          <w:rPr>
            <w:rStyle w:val="Hyperlink"/>
            <w:vertAlign w:val="subscript"/>
          </w:rPr>
          <w:t xml:space="preserve">Analyses</w:t>
        </w:r>
      </w:hyperlink>
    </w:p>
    <w:p>
      <w:pPr>
        <w:pStyle w:val="AfterWithoutNote"/>
      </w:pP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one of our own</w:t>
      </w:r>
      <w:r>
        <w:t xml:space="preserve"> </w:t>
      </w:r>
      <w:r>
        <w:t xml:space="preserve">(</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that prevent strong inferences regarding individuals’ change over time.</w:t>
      </w:r>
    </w:p>
    <w:bookmarkEnd w:id="69"/>
    <w:bookmarkEnd w:id="70"/>
    <w:bookmarkStart w:id="97"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79"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a lion and then a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w:t>
      </w:r>
      <w:r>
        <w:t xml:space="preserve"> </w:t>
      </w:r>
      <w:r>
        <w:t xml:space="preserve">(</w:t>
      </w:r>
      <w:hyperlink w:anchor="ref-Moffitt1993">
        <w:r>
          <w:rPr>
            <w:rStyle w:val="Hyperlink"/>
          </w:rPr>
          <w:t xml:space="preserve">1993, p. 679</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w:t>
      </w:r>
      <w:r>
        <w:t xml:space="preserve"> </w:t>
      </w: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a">
        <w:r>
          <w:rPr>
            <w:rStyle w:val="Hyperlink"/>
          </w:rPr>
          <w:t xml:space="preserve">Petersen, Demko, Lee,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As depicted in</w:t>
      </w:r>
      <w:r>
        <w:t xml:space="preserve"> </w:t>
      </w:r>
      <w:hyperlink w:anchor="fig-absoluteFrequencyByAge">
        <w:r>
          <w:rPr>
            <w:rStyle w:val="Hyperlink"/>
          </w:rPr>
          <w:t xml:space="preserve">Figure 5</w:t>
        </w:r>
      </w:hyperlink>
      <w:r>
        <w:t xml:space="preserve">, different externalizing behaviors are most common at different developmental periods—even into adulthood, consistent with the notion that externalizing behavior demonstrates heterotypic continuity.</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p>
    <w:bookmarkStart w:id="74" w:name="fig-absoluteFrequencyByAge"/>
    <w:p>
      <w:pPr>
        <w:pStyle w:val="FigureTitle"/>
      </w:pPr>
      <w:r>
        <w:t xml:space="preserve">Figure 5</w:t>
      </w:r>
    </w:p>
    <w:p>
      <w:pPr>
        <w:pStyle w:val="Caption"/>
      </w:pPr>
      <w:r>
        <w:t xml:space="preserve">Frequency (Per Month) of Engaging in Various Externalizing Behaviors by Age (</w:t>
      </w:r>
      <w:r>
        <w:rPr>
          <w:i/>
          <w:iCs/>
        </w:rPr>
        <w:t xml:space="preserve">N</w:t>
      </w:r>
      <w:r>
        <w:t xml:space="preserve"> </w:t>
      </w:r>
      <w:r>
        <w:t xml:space="preserve">= 1,237)</w:t>
      </w:r>
    </w:p>
    <w:p>
      <w:pPr>
        <w:pStyle w:val="FigureWithNote"/>
      </w:pPr>
      <w:r>
        <w:drawing>
          <wp:inline>
            <wp:extent cx="5943600" cy="2377440"/>
            <wp:effectExtent b="0" l="0" r="0" t="0"/>
            <wp:docPr descr="" title="" id="72" name="Picture"/>
            <a:graphic>
              <a:graphicData uri="http://schemas.openxmlformats.org/drawingml/2006/picture">
                <pic:pic>
                  <pic:nvPicPr>
                    <pic:cNvPr descr="Figures/Petersen2026_figure1.png" id="73" name="Picture"/>
                    <pic:cNvPicPr>
                      <a:picLocks noChangeArrowheads="1" noChangeAspect="1"/>
                    </pic:cNvPicPr>
                  </pic:nvPicPr>
                  <pic:blipFill>
                    <a:blip r:embed="rId71"/>
                    <a:stretch>
                      <a:fillRect/>
                    </a:stretch>
                  </pic:blipFill>
                  <pic:spPr bwMode="auto">
                    <a:xfrm>
                      <a:off x="0" y="0"/>
                      <a:ext cx="5943600" cy="2377440"/>
                    </a:xfrm>
                    <a:prstGeom prst="rect">
                      <a:avLst/>
                    </a:prstGeom>
                    <a:noFill/>
                    <a:ln w="9525">
                      <a:noFill/>
                      <a:headEnd/>
                      <a:tailEnd/>
                    </a:ln>
                  </pic:spPr>
                </pic:pic>
              </a:graphicData>
            </a:graphic>
          </wp:inline>
        </w:drawing>
      </w:r>
    </w:p>
    <w:bookmarkEnd w:id="74"/>
    <w:p>
      <w:pPr>
        <w:pStyle w:val="FigureNote"/>
      </w:pPr>
      <w:r>
        <w:rPr>
          <w:i/>
          <w:iCs/>
        </w:rPr>
        <w:t xml:space="preserve">Note</w:t>
      </w:r>
      <w:r>
        <w:t xml:space="preserve">. Items are from the Externalizing Spectrum Inventory (ESI), but unlike the True/False ESI, participants rated items on an absolute frequency scale (times per day/week/month/year). The gray band is the 95% confidence interval. The figure demonstrates that different externalizing behaviors are most common at different developmental periods, consistent with heterotypic continuity. As examples, hurting others’ feelings on purpose (left panel) was most common in early adulthood; snapping or raising one’s voice (middle panel) was most common in middle adulthood; getting in power struggles with others (right panel) was most common in older adulthood.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1, p. 301.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5">
        <w:r>
          <w:rPr>
            <w:rStyle w:val="Hyperlink"/>
          </w:rPr>
          <w:t xml:space="preserve">https://doi.org/10.1037/pas0001441</w:t>
        </w:r>
      </w:hyperlink>
      <w:r>
        <w:t xml:space="preserve">).</w:t>
      </w:r>
    </w:p>
    <w:p>
      <w:pPr>
        <w:pStyle w:val="BodyText"/>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Tyrell2019">
        <w:r>
          <w:rPr>
            <w:rStyle w:val="Hyperlink"/>
          </w:rPr>
          <w:t xml:space="preserve">Tyrell et al., 2019</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InPress">
        <w:r>
          <w:rPr>
            <w:rStyle w:val="Hyperlink"/>
          </w:rPr>
          <w:t xml:space="preserve">Applegate &amp; Lahey, in press</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Indeed, fighting is considered to differ in meaning from childhood to adulthood</w:t>
      </w:r>
      <w:r>
        <w:t xml:space="preserve"> </w:t>
      </w:r>
      <w:r>
        <w:t xml:space="preserve">(</w:t>
      </w:r>
      <w:hyperlink w:anchor="ref-Patterson1993">
        <w:r>
          <w:rPr>
            <w:rStyle w:val="Hyperlink"/>
          </w:rPr>
          <w:t xml:space="preserve">Patterson, 1993</w:t>
        </w:r>
      </w:hyperlink>
      <w:r>
        <w:t xml:space="preserve">;</w:t>
      </w:r>
      <w:r>
        <w:t xml:space="preserve"> </w:t>
      </w:r>
      <w:hyperlink w:anchor="ref-Tyrell2019">
        <w:r>
          <w:rPr>
            <w:rStyle w:val="Hyperlink"/>
          </w:rPr>
          <w:t xml:space="preserve">Tyrell et al., 2019</w:t>
        </w:r>
      </w:hyperlink>
      <w:r>
        <w:t xml:space="preserve">)</w:t>
      </w:r>
      <w:r>
        <w:t xml:space="preserve">.</w:t>
      </w:r>
      <w:r>
        <w:t xml:space="preserve"> </w:t>
      </w:r>
      <w:r>
        <w:t xml:space="preserve">Thus, as noted by</w:t>
      </w:r>
      <w:r>
        <w:t xml:space="preserve"> </w:t>
      </w:r>
      <w:r>
        <w:t xml:space="preserve">Applegate and Lahey (</w:t>
      </w:r>
      <w:hyperlink w:anchor="ref-ApplegateInPress">
        <w:r>
          <w:rPr>
            <w:rStyle w:val="Hyperlink"/>
          </w:rPr>
          <w:t xml:space="preserve">in press</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78"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76"/>
      </w:r>
      <w:r>
        <w:t xml:space="preserve">—the diagnostic criteria do not differ across development, even though diagnostic manuals acknowledge that developmental factors impact symptom presentation</w:t>
      </w:r>
      <w:r>
        <w:rPr>
          <w:rStyle w:val="FootnoteReference"/>
        </w:rPr>
        <w:footnoteReference w:id="77"/>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78"/>
    <w:bookmarkEnd w:id="79"/>
    <w:bookmarkStart w:id="96"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86"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 Moffitt</w:t>
      </w:r>
      <w:r>
        <w:t xml:space="preserve"> </w:t>
      </w:r>
      <w:r>
        <w:t xml:space="preserve">(</w:t>
      </w:r>
      <w:hyperlink w:anchor="ref-Moffitt1993">
        <w:r>
          <w:rPr>
            <w:rStyle w:val="Hyperlink"/>
          </w:rPr>
          <w:t xml:space="preserve">1993, p. 694</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p>
    <w:p>
      <w:pPr>
        <w:pStyle w:val="BodyText"/>
      </w:pPr>
      <w:r>
        <w:t xml:space="preserve">However, measures show insufficient differences in which items are assessed at which ages to account for heterotypic continuity.</w:t>
      </w:r>
      <w:r>
        <w:t xml:space="preserve"> </w:t>
      </w:r>
      <w:r>
        <w:t xml:space="preserve">For example, among the most widely used measures of externalizing problems in research and practice is the Child Behavior Checklist (CBCL).</w:t>
      </w:r>
      <w:r>
        <w:t xml:space="preserve"> </w:t>
      </w:r>
      <w:r>
        <w:t xml:space="preserve">However, the same version of the Child Behavior Checklist (CBCL) spans ages 6–18.</w:t>
      </w:r>
      <w:r>
        <w:t xml:space="preserve"> </w:t>
      </w:r>
      <w:r>
        <w:t xml:space="preserve">Considerable development occurs during that span including key developmental transitions—from childhood to adolescence to emerging adulthood—and the CBCL does not capture such changes.</w:t>
      </w:r>
    </w:p>
    <w:p>
      <w:pPr>
        <w:pStyle w:val="BodyText"/>
      </w:pPr>
      <w:r>
        <w:t xml:space="preserve">There are two primary ways that researchers have examined people’s change in psychopathology across development</w:t>
      </w:r>
      <w:r>
        <w:t xml:space="preserve"> </w:t>
      </w:r>
      <w:hyperlink w:anchor="fig-approachesToLongitudinalAssessment">
        <w:r>
          <w:rPr>
            <w:rStyle w:val="Hyperlink"/>
          </w:rPr>
          <w:t xml:space="preserve">Figure 6</w:t>
        </w:r>
      </w:hyperlink>
      <w:r>
        <w:t xml:space="preserve">.</w:t>
      </w:r>
      <w:r>
        <w:t xml:space="preserve"> </w:t>
      </w:r>
      <w:r>
        <w:t xml:space="preserve">The</w:t>
      </w:r>
      <w:r>
        <w:t xml:space="preserve"> </w:t>
      </w:r>
      <w:r>
        <w:t xml:space="preserve">“common items”</w:t>
      </w:r>
      <w:r>
        <w:t xml:space="preserve"> </w:t>
      </w:r>
      <w:r>
        <w:t xml:space="preserve">approach removes items that are age specific.</w:t>
      </w:r>
      <w:r>
        <w:rPr>
          <w:rStyle w:val="FootnoteReference"/>
        </w:rPr>
        <w:footnoteReference w:id="80"/>
      </w:r>
      <w:r>
        <w:t xml:space="preserve"> </w:t>
      </w:r>
      <w:r>
        <w:t xml:space="preserve">For example, in a study of externalizing behavior from early childhood to adolescence, a study might remove some substance use items that might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the items across ages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r>
        <w:t xml:space="preserve"> </w:t>
      </w:r>
      <w:r>
        <w:t xml:space="preserve">As an example of the common items approach, Odgers et al.</w:t>
      </w:r>
      <w:r>
        <w:t xml:space="preserve"> </w:t>
      </w:r>
      <w:r>
        <w:t xml:space="preserve">(</w:t>
      </w:r>
      <w:hyperlink w:anchor="ref-Odgers2008">
        <w:r>
          <w:rPr>
            <w:rStyle w:val="Hyperlink"/>
          </w:rPr>
          <w:t xml:space="preserve">2008, p. 676</w:t>
        </w:r>
      </w:hyperlink>
      <w:r>
        <w:t xml:space="preserve">)</w:t>
      </w:r>
      <w:r>
        <w:t xml:space="preserve"> </w:t>
      </w:r>
      <w:r>
        <w:t xml:space="preserve">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w:t>
      </w:r>
      <w:r>
        <w:t xml:space="preserve"> </w:t>
      </w:r>
      <w:r>
        <w:t xml:space="preserve">(</w:t>
      </w:r>
      <w:hyperlink w:anchor="ref-Broeren2013">
        <w:r>
          <w:rPr>
            <w:rStyle w:val="Hyperlink"/>
          </w:rPr>
          <w:t xml:space="preserve">2013, p. 84</w:t>
        </w:r>
      </w:hyperlink>
      <w:r>
        <w:t xml:space="preserve">)</w:t>
      </w:r>
      <w:r>
        <w:t xml:space="preserve"> </w:t>
      </w:r>
      <w:r>
        <w:t xml:space="preserve">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p>
    <w:bookmarkStart w:id="84" w:name="fig-approachesToLongitudinalAssessment"/>
    <w:p>
      <w:pPr>
        <w:pStyle w:val="FigureTitle"/>
      </w:pPr>
      <w:r>
        <w:t xml:space="preserve">Figure 6</w:t>
      </w:r>
    </w:p>
    <w:p>
      <w:pPr>
        <w:pStyle w:val="Caption"/>
      </w:pPr>
      <w:r>
        <w:t xml:space="preserve">Approaches to Longitudinal Assessment</w:t>
      </w:r>
    </w:p>
    <w:p>
      <w:pPr>
        <w:pStyle w:val="FigureWithNote"/>
      </w:pPr>
      <w:r>
        <w:drawing>
          <wp:inline>
            <wp:extent cx="5943600" cy="2351289"/>
            <wp:effectExtent b="0" l="0" r="0" t="0"/>
            <wp:docPr descr="" title="" id="82" name="Picture"/>
            <a:graphic>
              <a:graphicData uri="http://schemas.openxmlformats.org/drawingml/2006/picture">
                <pic:pic>
                  <pic:nvPicPr>
                    <pic:cNvPr descr="Figures/approachesToLongitudinalAssessment.jpg" id="83" name="Picture"/>
                    <pic:cNvPicPr>
                      <a:picLocks noChangeArrowheads="1" noChangeAspect="1"/>
                    </pic:cNvPicPr>
                  </pic:nvPicPr>
                  <pic:blipFill>
                    <a:blip r:embed="rId81"/>
                    <a:stretch>
                      <a:fillRect/>
                    </a:stretch>
                  </pic:blipFill>
                  <pic:spPr bwMode="auto">
                    <a:xfrm>
                      <a:off x="0" y="0"/>
                      <a:ext cx="5943600" cy="2351289"/>
                    </a:xfrm>
                    <a:prstGeom prst="rect">
                      <a:avLst/>
                    </a:prstGeom>
                    <a:noFill/>
                    <a:ln w="9525">
                      <a:noFill/>
                      <a:headEnd/>
                      <a:tailEnd/>
                    </a:ln>
                  </pic:spPr>
                </pic:pic>
              </a:graphicData>
            </a:graphic>
          </wp:inline>
        </w:drawing>
      </w:r>
    </w:p>
    <w:bookmarkEnd w:id="84"/>
    <w:p>
      <w:pPr>
        <w:pStyle w:val="FigureNote"/>
      </w:pPr>
      <w:r>
        <w:rPr>
          <w:i/>
          <w:iCs/>
        </w:rPr>
        <w:t xml:space="preserve">Note</w:t>
      </w:r>
      <w:r>
        <w:t xml:space="preserve">. Item set A refers to items that are construct-valid at only timepoint 1 (T1); item set B is construct-valid at both T1 and T2; item set C is construct-valid at only T2. A dash indicates that the item set was not assessed at a given timepoint. A white box indicates invalid assessment in terms of either a content gap (i.e., important missing items) or intrusion (i.e., invalid items at a given timepoint). 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 The three approaches are: (1) common items: B at T1 and T2, (2) upward/downward extension: ABC at T1 and T2, or (3) construct-valid items: AB at T1; BC at T2.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 (Figure reprinted from</w:t>
      </w:r>
      <w:r>
        <w:t xml:space="preserve"> </w:t>
      </w:r>
      <w:r>
        <w:t xml:space="preserve">Petersen, Demko, Lee, et al. (</w:t>
      </w:r>
      <w:hyperlink w:anchor="ref-Petersen2026a">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85">
        <w:r>
          <w:rPr>
            <w:rStyle w:val="Hyperlink"/>
          </w:rPr>
          <w:t xml:space="preserve">https://doi.org/10.1016/j.jaacop.2025.10.008</w:t>
        </w:r>
      </w:hyperlink>
      <w:r>
        <w:t xml:space="preserve">).</w:t>
      </w:r>
    </w:p>
    <w:p>
      <w:pPr>
        <w:pStyle w:val="BodyText"/>
      </w:pP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p>
    <w:p>
      <w:pPr>
        <w:pStyle w:val="BodyText"/>
      </w:pPr>
      <w:r>
        <w:t xml:space="preserve">Due to these problems, both simulation</w:t>
      </w:r>
      <w:r>
        <w:t xml:space="preserve"> </w:t>
      </w:r>
      <w:r>
        <w:t xml:space="preserve">(</w:t>
      </w:r>
      <w:hyperlink w:anchor="ref-Petersen2021a">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F. R. 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r>
        <w:t xml:space="preserve">has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p>
      <w:pPr>
        <w:pStyle w:val="BodyText"/>
      </w:pPr>
      <w:r>
        <w:t xml:space="preserve">The problem cannot be solved merely by age-norming.</w:t>
      </w:r>
      <w:r>
        <w:t xml:space="preserve"> </w:t>
      </w:r>
      <w:r>
        <w:t xml:space="preserve">Generating norms from items that are invalid at a given age or from scales that have important content gaps at a given age leads to construct-invalid scores and resulting norms.</w:t>
      </w:r>
      <w:r>
        <w:t xml:space="preserve"> </w:t>
      </w:r>
      <w:r>
        <w:t xml:space="preserve">Moreover, using DSM disorders or diagnoses also does not solve the issue.</w:t>
      </w:r>
      <w:r>
        <w:t xml:space="preserve"> </w:t>
      </w:r>
    </w:p>
    <w:p>
      <w:pPr>
        <w:pStyle w:val="BodyText"/>
      </w:pPr>
      <w:r>
        <w:t xml:space="preserve">In addition, forcing use of the same measure across time naturally limits the ages a study can span, which prevents charting wider age spans.</w:t>
      </w:r>
      <w:r>
        <w:t xml:space="preserve"> </w:t>
      </w:r>
      <w:r>
        <w:t xml:space="preserve">For example, if a researcher used the CBCL and only wanted to study trajectories where the same measure was assessed across ages, they would not be able to examine development from ages 5–6, when there is a change in the CBCL version (i.e., one for ages 1.5–5 and another for ages 6–18).</w:t>
      </w:r>
      <w:r>
        <w:t xml:space="preserve"> </w:t>
      </w:r>
      <w:r>
        <w:t xml:space="preserve"> </w:t>
      </w:r>
    </w:p>
    <w:p>
      <w:pPr>
        <w:pStyle w:val="BodyText"/>
      </w:pPr>
      <w:r>
        <w:t xml:space="preserve">In addition to the behavioral expression of a construct changing across developmental time, the behavioral expression of a construct can also change across historical time.</w:t>
      </w:r>
      <w:r>
        <w:t xml:space="preserve"> </w:t>
      </w:r>
      <w:r>
        <w:t xml:space="preserve">Changes in the behavioral manifestation across historical time can lead existing items and measures to become obsolete and for new items to become relevant.</w:t>
      </w:r>
      <w:r>
        <w:t xml:space="preserve"> </w:t>
      </w:r>
      <w:r>
        <w:t xml:space="preserve">For instance, many measures and longitudinal studies do not assess important contemporary manifestations of externalizing behavior, including aggression on social media and cyberbullying</w:t>
      </w:r>
      <w:r>
        <w:t xml:space="preserve"> </w:t>
      </w:r>
      <w:r>
        <w:t xml:space="preserve">(</w:t>
      </w:r>
      <w:hyperlink w:anchor="ref-Nickerson2026">
        <w:r>
          <w:rPr>
            <w:rStyle w:val="Hyperlink"/>
          </w:rPr>
          <w:t xml:space="preserve">Nickerson &amp; Fredrick, 2026</w:t>
        </w:r>
      </w:hyperlink>
      <w:r>
        <w:t xml:space="preserve">)</w:t>
      </w:r>
      <w:r>
        <w:t xml:space="preserve">.</w:t>
      </w:r>
      <w:r>
        <w:t xml:space="preserve"> </w:t>
      </w:r>
      <w:r>
        <w:t xml:space="preserve">Changes in the behavioral manifestation across historical time provide additional reasons to change the measure by removing no-longer-valid items and by adding newer valid items.</w:t>
      </w:r>
    </w:p>
    <w:p>
      <w:pPr>
        <w:pStyle w:val="BodyText"/>
      </w:pPr>
      <w:r>
        <w:t xml:space="preserve">In sum, many problems arise from using the same measure across ages when the construct changes in behavioral manifestation across development and historical time.</w:t>
      </w:r>
    </w:p>
    <w:bookmarkEnd w:id="86"/>
    <w:bookmarkStart w:id="87"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assessments fail to implement the construct-valid item approach across development—existing measures show insufficient differences in which items are assessed at which ages.</w:t>
      </w:r>
      <w:r>
        <w:t xml:space="preserve"> </w:t>
      </w:r>
      <w:r>
        <w:t xml:space="preserve">Moreover, even in cases where the items of a measure differ across ages (e.g., CBCL: ages 1.5–5 vs. ages 6–18), the scoring systems do not link scores across ages to be on the same scale while preserving change in level.</w:t>
      </w:r>
      <w:r>
        <w:t xml:space="preserve"> </w:t>
      </w:r>
      <w:r>
        <w:t xml:space="preserve">For instance, when using age-differing measures of externalizing behavior to account for changes in behavioral manifestation across development, Kjeldsen et al.</w:t>
      </w:r>
      <w:r>
        <w:t xml:space="preserve"> </w:t>
      </w:r>
      <w:r>
        <w:t xml:space="preserve">(</w:t>
      </w:r>
      <w:hyperlink w:anchor="ref-Kjeldsen2016">
        <w:r>
          <w:rPr>
            <w:rStyle w:val="Hyperlink"/>
          </w:rPr>
          <w:t xml:space="preserve">2016, p. 999</w:t>
        </w:r>
      </w:hyperlink>
      <w:r>
        <w:t xml:space="preserve">)</w:t>
      </w:r>
      <w:r>
        <w:t xml:space="preserve"> </w:t>
      </w:r>
      <w:r>
        <w:t xml:space="preserve">noted in their study,</w:t>
      </w:r>
      <w:r>
        <w:t xml:space="preserve"> </w:t>
      </w:r>
      <w:r>
        <w:t xml:space="preserve">“Due to change in measures and rescaled variables, only relative change across classes can be interpreted and not absolute (developmental) change.”</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In some cases, mean scores and proportion of maximum scores have been used to account for the age-differing measures having different numbers of items</w:t>
      </w:r>
      <w:r>
        <w:t xml:space="preserve"> </w:t>
      </w:r>
      <w:r>
        <w:t xml:space="preserve">(</w:t>
      </w:r>
      <w:hyperlink w:anchor="ref-Owens2003">
        <w:r>
          <w:rPr>
            <w:rStyle w:val="Hyperlink"/>
          </w:rPr>
          <w:t xml:space="preserve">Owens &amp; Shaw, 2003</w:t>
        </w:r>
      </w:hyperlink>
      <w:r>
        <w:t xml:space="preserve">;</w:t>
      </w:r>
      <w:r>
        <w:t xml:space="preserve"> </w:t>
      </w:r>
      <w:hyperlink w:anchor="ref-Petersen2015">
        <w:r>
          <w:rPr>
            <w:rStyle w:val="Hyperlink"/>
          </w:rPr>
          <w:t xml:space="preserve">Petersen et al., 2015</w:t>
        </w:r>
      </w:hyperlink>
      <w:r>
        <w:t xml:space="preserve">;</w:t>
      </w:r>
      <w:r>
        <w:t xml:space="preserve"> </w:t>
      </w:r>
      <w:hyperlink w:anchor="ref-SacuInPress">
        <w:r>
          <w:rPr>
            <w:rStyle w:val="Hyperlink"/>
          </w:rPr>
          <w:t xml:space="preserve">Sacu et al., in press</w:t>
        </w:r>
      </w:hyperlink>
      <w:r>
        <w:t xml:space="preserve">)</w:t>
      </w:r>
      <w:r>
        <w:t xml:space="preserve">.</w:t>
      </w:r>
      <w:r>
        <w:t xml:space="preserve"> </w:t>
      </w:r>
      <w:r>
        <w:t xml:space="preserve">However, such approaches assume that the age-differing measures have the same overall functioning in terms of difficulty and discrimination (described later), which is unlikely.</w:t>
      </w:r>
      <w:r>
        <w:t xml:space="preserve"> </w:t>
      </w:r>
      <w:r>
        <w:t xml:space="preserve">Age norms and standardized scores (</w:t>
      </w:r>
      <w:r>
        <w:rPr>
          <w:i/>
          <w:iCs/>
        </w:rPr>
        <w:t xml:space="preserve">T</w:t>
      </w:r>
      <w:r>
        <w:t xml:space="preserve">- or</w:t>
      </w:r>
      <w:r>
        <w:t xml:space="preserve"> </w:t>
      </w:r>
      <w:r>
        <w:rPr>
          <w:i/>
          <w:iCs/>
        </w:rPr>
        <w:t xml:space="preserve">z</w:t>
      </w:r>
      <w:r>
        <w:t xml:space="preserve">-scores)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r>
        <w:t xml:space="preserve"> </w:t>
      </w:r>
      <w:r>
        <w:t xml:space="preserve">Moreover, it is important for scores across ages to be on the same apples-to-apples scale to be able to compare scores across ages, as would be valuable even in a cross-sectional study that spans a wide age range, as might be found in an epidemiological study.</w:t>
      </w:r>
    </w:p>
    <w:p>
      <w:pPr>
        <w:pStyle w:val="BodyText"/>
      </w:pPr>
      <w:r>
        <w:t xml:space="preserve">There is a misperception that no practical approach exists that can handle different measures across ages or time.</w:t>
      </w:r>
      <w:r>
        <w:t xml:space="preserve"> </w:t>
      </w:r>
      <w:r>
        <w:t xml:space="preserve">Consider the following statement by LeBlanc</w:t>
      </w:r>
      <w:r>
        <w:t xml:space="preserve"> </w:t>
      </w:r>
      <w:r>
        <w:t xml:space="preserve">(</w:t>
      </w:r>
      <w:hyperlink w:anchor="ref-LeBlanc2021">
        <w:r>
          <w:rPr>
            <w:rStyle w:val="Hyperlink"/>
          </w:rPr>
          <w:t xml:space="preserve">2021, p. 15</w:t>
        </w:r>
      </w:hyperlink>
      <w:r>
        <w:t xml:space="preserve">)</w:t>
      </w:r>
      <w:r>
        <w:t xml:space="preserve">,</w:t>
      </w:r>
      <w:r>
        <w:t xml:space="preserve"> </w:t>
      </w:r>
      <w:r>
        <w:t xml:space="preserve">“The theoretical position is that a form of antisocial behavior, for example, fraud, has to be measured by distinct behaviors with adolescents and adults, in summary adapted to their age.</w:t>
      </w:r>
      <w:r>
        <w:t xml:space="preserve"> </w:t>
      </w:r>
      <w:r>
        <w:t xml:space="preserve">Nevertheless, different scale composition is an integral part of the common concept of fraud.</w:t>
      </w:r>
      <w:r>
        <w:t xml:space="preserve"> </w:t>
      </w:r>
      <w:r>
        <w:t xml:space="preserve">To our knowledge there is no recognized analytical procedure to assess such a construct and the life cycle validity of heteromorphous measures.”</w:t>
      </w:r>
    </w:p>
    <w:p>
      <w:pPr>
        <w:pStyle w:val="BodyText"/>
      </w:pPr>
      <w:r>
        <w:t xml:space="preserve">The lack of scoring tools to link scores from age-differing assessments leads researchers to restrict the age range of study.</w:t>
      </w:r>
      <w:r>
        <w:t xml:space="preserve"> </w:t>
      </w:r>
      <w:r>
        <w:t xml:space="preserve">For instance, in their study, Bista et al.</w:t>
      </w:r>
      <w:r>
        <w:t xml:space="preserve"> </w:t>
      </w:r>
      <w:r>
        <w:t xml:space="preserve">(</w:t>
      </w:r>
      <w:hyperlink w:anchor="ref-Bista2025">
        <w:r>
          <w:rPr>
            <w:rStyle w:val="Hyperlink"/>
          </w:rPr>
          <w:t xml:space="preserve">2025, p. 179</w:t>
        </w:r>
      </w:hyperlink>
      <w:r>
        <w:t xml:space="preserve">)</w:t>
      </w:r>
      <w:r>
        <w:t xml:space="preserve"> </w:t>
      </w:r>
      <w:r>
        <w:t xml:space="preserve">noted</w:t>
      </w:r>
      <w:r>
        <w:t xml:space="preserve"> </w:t>
      </w:r>
      <w:r>
        <w:t xml:space="preserve">“A different version of the questionnaire (CBCL/2–3), designed for 2–3-year-olds, was used for the year 2 follow-up [compared to the CBCL/4–18 assessed from ages 5–17].</w:t>
      </w:r>
      <w:r>
        <w:t xml:space="preserve"> </w:t>
      </w:r>
      <w:r>
        <w:t xml:space="preserve">Therefore, we excluded age 2 from our trajectory analysis.”</w:t>
      </w:r>
    </w:p>
    <w:bookmarkEnd w:id="87"/>
    <w:bookmarkStart w:id="94"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 </w:t>
      </w:r>
      <w:r>
        <w:t xml:space="preserve">and insensitivity to change.</w:t>
      </w:r>
      <w:r>
        <w:t xml:space="preserve"> </w:t>
      </w:r>
      <w:r>
        <w:t xml:space="preserve">Items with few discrete response categories tend to show less sensitivity to the full range of individual differences</w:t>
      </w:r>
      <w:r>
        <w:t xml:space="preserve"> </w:t>
      </w:r>
      <w:r>
        <w:t xml:space="preserve">(</w:t>
      </w:r>
      <w:hyperlink w:anchor="ref-Elliott1980">
        <w:r>
          <w:rPr>
            <w:rStyle w:val="Hyperlink"/>
          </w:rPr>
          <w:t xml:space="preserve">Elliott &amp; Ageton, 1980</w:t>
        </w:r>
      </w:hyperlink>
      <w:r>
        <w:t xml:space="preserve">)</w:t>
      </w:r>
      <w:r>
        <w:t xml:space="preserve"> </w:t>
      </w:r>
      <w:r>
        <w:t xml:space="preserve">and less sensitivity to change</w:t>
      </w:r>
      <w:r>
        <w:t xml:space="preserve"> </w:t>
      </w:r>
      <w:r>
        <w:t xml:space="preserve">(i.e., responsiveness;</w:t>
      </w:r>
      <w:r>
        <w:t xml:space="preserve"> </w:t>
      </w:r>
      <w:hyperlink w:anchor="ref-Grant1999">
        <w:r>
          <w:rPr>
            <w:rStyle w:val="Hyperlink"/>
          </w:rPr>
          <w:t xml:space="preserve">Grant et al., 1999</w:t>
        </w:r>
      </w:hyperlink>
      <w:r>
        <w:t xml:space="preserve">)</w:t>
      </w:r>
      <w:r>
        <w:t xml:space="preserve"> </w:t>
      </w:r>
      <w:r>
        <w:t xml:space="preserve">compared to items with more response options that have greater variability in scores.</w:t>
      </w:r>
      <w:r>
        <w:t xml:space="preserve"> </w:t>
      </w:r>
      <w:r>
        <w:t xml:space="preserve">In general, items with more response options yield more information [i.e., greater reduction of uncertainty in estimates of a person’s construct level; though there are diminishing returns when using more than six response options;</w:t>
      </w:r>
      <w:r>
        <w:t xml:space="preserve"> </w:t>
      </w:r>
      <w:r>
        <w:t xml:space="preserve">Culpepper (</w:t>
      </w:r>
      <w:hyperlink w:anchor="ref-Culpepper2013">
        <w:r>
          <w:rPr>
            <w:rStyle w:val="Hyperlink"/>
          </w:rPr>
          <w:t xml:space="preserve">2013</w:t>
        </w:r>
      </w:hyperlink>
      <w:r>
        <w:t xml:space="preserve">)</w:t>
      </w:r>
      <w:r>
        <w:t xml:space="preserve">;</w:t>
      </w:r>
      <w:r>
        <w:t xml:space="preserve"> </w:t>
      </w:r>
      <w:r>
        <w:t xml:space="preserve">Simms et al. (</w:t>
      </w:r>
      <w:hyperlink w:anchor="ref-Simms2019">
        <w:r>
          <w:rPr>
            <w:rStyle w:val="Hyperlink"/>
          </w:rPr>
          <w:t xml:space="preserve">2019</w:t>
        </w:r>
      </w:hyperlink>
      <w:r>
        <w:t xml:space="preserve">)</w:t>
      </w:r>
      <w:r>
        <w:t xml:space="preserve">].</w:t>
      </w:r>
      <w:r>
        <w:t xml:space="preserve"> </w:t>
      </w:r>
      <w:r>
        <w:t xml:space="preserve">Indeed, as depicted in</w:t>
      </w:r>
      <w:r>
        <w:t xml:space="preserve"> </w:t>
      </w:r>
      <w:hyperlink w:anchor="fig-absoluteFrequencyInformation">
        <w:r>
          <w:rPr>
            <w:rStyle w:val="Hyperlink"/>
          </w:rPr>
          <w:t xml:space="preserve">Figure 7</w:t>
        </w:r>
      </w:hyperlink>
      <w:r>
        <w:t xml:space="preserve">, items assessing absolute frequency have been shown to yield more information than dichotomized versions of the same items and than the Achenbach Adult Self-Report, which uses Likert-type response options.</w:t>
      </w:r>
      <w:r>
        <w:t xml:space="preserve"> </w:t>
      </w:r>
      <w:r>
        <w:t xml:space="preserve">In addition, if a respondent implicitly uses the target’s same-aged peers as the normative reference group for determining the relative frequency of a behavior, this could have the implicit effect of resulting in age-normed scores, which works against the goal of detecting change.</w:t>
      </w:r>
      <w:r>
        <w:t xml:space="preserve"> </w:t>
      </w:r>
      <w:r>
        <w:t xml:space="preserve">Moreover, Likert-type scales tend to focus on frequency of misbehavior and ignore intensity and severity.</w:t>
      </w:r>
      <w:r>
        <w:t xml:space="preserve"> </w:t>
      </w:r>
      <w:r>
        <w:t xml:space="preserve">It can be helpful to explicitly assess—and distinguish—frequency versus problematic impact of behavior.</w:t>
      </w:r>
      <w:r>
        <w:t xml:space="preserve"> </w:t>
      </w:r>
      <w:r>
        <w:t xml:space="preserve">Instead of assessing relative frequency, researchers advise assessing absolute frequency of behavior</w:t>
      </w:r>
      <w:r>
        <w:t xml:space="preserve"> </w:t>
      </w:r>
      <w:r>
        <w:t xml:space="preserve">(</w:t>
      </w:r>
      <w:hyperlink w:anchor="ref-Burns2001">
        <w:r>
          <w:rPr>
            <w:rStyle w:val="Hyperlink"/>
          </w:rPr>
          <w:t xml:space="preserve">Burns et al., 2001</w:t>
        </w:r>
      </w:hyperlink>
      <w:r>
        <w:t xml:space="preserve">;</w:t>
      </w:r>
      <w:r>
        <w:t xml:space="preserve"> </w:t>
      </w:r>
      <w:hyperlink w:anchor="ref-Schwarz1999">
        <w:r>
          <w:rPr>
            <w:rStyle w:val="Hyperlink"/>
          </w:rPr>
          <w:t xml:space="preserve">Schwarz, 1999</w:t>
        </w:r>
      </w:hyperlink>
      <w:r>
        <w:t xml:space="preserve">)</w:t>
      </w:r>
      <w:r>
        <w:t xml:space="preserve">—in addition to other aspects of behavior including onset, timing, duration, intensity, function, and resulting impairment.</w:t>
      </w:r>
    </w:p>
    <w:bookmarkStart w:id="91" w:name="fig-absoluteFrequencyInformation"/>
    <w:p>
      <w:pPr>
        <w:pStyle w:val="FigureTitle"/>
      </w:pPr>
      <w:r>
        <w:t xml:space="preserve">Figure 7</w:t>
      </w:r>
    </w:p>
    <w:p>
      <w:pPr>
        <w:pStyle w:val="Caption"/>
      </w:pPr>
      <w:r>
        <w:t xml:space="preserve">Test Information Functions of Absolute Frequency Versus Dichotomized Versus Adult Self-Report Items: Test Information as a Function of Theta (θ)</w:t>
      </w:r>
    </w:p>
    <w:p>
      <w:pPr>
        <w:pStyle w:val="FigureWithNote"/>
      </w:pPr>
      <w:r>
        <w:drawing>
          <wp:inline>
            <wp:extent cx="5943600" cy="3668050"/>
            <wp:effectExtent b="0" l="0" r="0" t="0"/>
            <wp:docPr descr="" title="" id="89" name="Picture"/>
            <a:graphic>
              <a:graphicData uri="http://schemas.openxmlformats.org/drawingml/2006/picture">
                <pic:pic>
                  <pic:nvPicPr>
                    <pic:cNvPr descr="Figures/Petersen2026_figure4.png" id="90" name="Picture"/>
                    <pic:cNvPicPr>
                      <a:picLocks noChangeArrowheads="1" noChangeAspect="1"/>
                    </pic:cNvPicPr>
                  </pic:nvPicPr>
                  <pic:blipFill>
                    <a:blip r:embed="rId88"/>
                    <a:stretch>
                      <a:fillRect/>
                    </a:stretch>
                  </pic:blipFill>
                  <pic:spPr bwMode="auto">
                    <a:xfrm>
                      <a:off x="0" y="0"/>
                      <a:ext cx="5943600" cy="3668050"/>
                    </a:xfrm>
                    <a:prstGeom prst="rect">
                      <a:avLst/>
                    </a:prstGeom>
                    <a:noFill/>
                    <a:ln w="9525">
                      <a:noFill/>
                      <a:headEnd/>
                      <a:tailEnd/>
                    </a:ln>
                  </pic:spPr>
                </pic:pic>
              </a:graphicData>
            </a:graphic>
          </wp:inline>
        </w:drawing>
      </w:r>
    </w:p>
    <w:bookmarkEnd w:id="91"/>
    <w:p>
      <w:pPr>
        <w:pStyle w:val="FigureNote"/>
      </w:pPr>
      <w:r>
        <w:rPr>
          <w:i/>
          <w:iCs/>
        </w:rPr>
        <w:t xml:space="preserve">Note</w:t>
      </w:r>
      <w:r>
        <w:t xml:space="preserve">.</w:t>
      </w:r>
      <w:r>
        <w:t xml:space="preserve"> </w:t>
      </w:r>
      <w:r>
        <w:t xml:space="preserve">“Absolute Frequency”</w:t>
      </w:r>
      <w:r>
        <w:t xml:space="preserve"> </w:t>
      </w:r>
      <w:r>
        <w:t xml:space="preserve">refers to count items;</w:t>
      </w:r>
      <w:r>
        <w:t xml:space="preserve"> </w:t>
      </w:r>
      <w:r>
        <w:t xml:space="preserve">“Dichotomized”</w:t>
      </w:r>
      <w:r>
        <w:t xml:space="preserve"> </w:t>
      </w:r>
      <w:r>
        <w:t xml:space="preserve">refers to dichotomized versions of the count items;</w:t>
      </w:r>
      <w:r>
        <w:t xml:space="preserve"> </w:t>
      </w:r>
      <w:r>
        <w:t xml:space="preserve">“Adult Self-Report”</w:t>
      </w:r>
      <w:r>
        <w:t xml:space="preserve"> </w:t>
      </w:r>
      <w:r>
        <w:t xml:space="preserve">refers to items from the Achenbach Adult Self-Report.</w:t>
      </w:r>
      <w:r>
        <w:t xml:space="preserve"> </w:t>
      </w:r>
      <w:r>
        <w:t xml:space="preserve">“θ”</w:t>
      </w:r>
      <w:r>
        <w:t xml:space="preserve"> </w:t>
      </w:r>
      <w:r>
        <w:t xml:space="preserve">represents the person’s level on the latent externalizing problems factor. The figure demonstrates that items assessing absolute frequency yield more information than dichotomized versions of the same items and the Likert-type response options of the Adult Self-Report.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4, p. 303.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5">
        <w:r>
          <w:rPr>
            <w:rStyle w:val="Hyperlink"/>
          </w:rPr>
          <w:t xml:space="preserve">https://doi.org/10.1037/pas0001441</w:t>
        </w:r>
      </w:hyperlink>
      <w:r>
        <w:t xml:space="preserve">).</w:t>
      </w: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2005</w:t>
        </w:r>
      </w:hyperlink>
      <w:r>
        <w:t xml:space="preserve">,</w:t>
      </w:r>
      <w:r>
        <w:t xml:space="preserve"> </w:t>
      </w:r>
      <w:hyperlink w:anchor="ref-Krueger2007">
        <w:r>
          <w:rPr>
            <w:rStyle w:val="Hyperlink"/>
          </w:rPr>
          <w:t xml:space="preserve">2007</w:t>
        </w:r>
      </w:hyperlink>
      <w:r>
        <w:t xml:space="preserve">,</w:t>
      </w:r>
      <w:r>
        <w:t xml:space="preserve"> </w:t>
      </w:r>
      <w:hyperlink w:anchor="ref-Krueger2021">
        <w:r>
          <w:rPr>
            <w:rStyle w:val="Hyperlink"/>
          </w:rPr>
          <w:t xml:space="preserve">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r>
        <w:t xml:space="preserve"> </w:t>
      </w:r>
      <w:r>
        <w:t xml:space="preserve">As noted by Pavlovich et al.</w:t>
      </w:r>
      <w:r>
        <w:t xml:space="preserve"> </w:t>
      </w:r>
      <w:r>
        <w:t xml:space="preserve">(</w:t>
      </w:r>
      <w:hyperlink w:anchor="ref-Pavlovich2026">
        <w:r>
          <w:rPr>
            <w:rStyle w:val="Hyperlink"/>
          </w:rPr>
          <w:t xml:space="preserve">2026, p. 1</w:t>
        </w:r>
      </w:hyperlink>
      <w:r>
        <w:t xml:space="preserve">)</w:t>
      </w:r>
      <w:r>
        <w:t xml:space="preserve">,</w:t>
      </w:r>
      <w:r>
        <w:t xml:space="preserve"> </w:t>
      </w:r>
      <w:r>
        <w:t xml:space="preserve">“These findings…highlight the need for measures explicitly developed and validated for dimensional psychopathology in population-scale research.”</w:t>
      </w:r>
      <w:r>
        <w:t xml:space="preserve">.</w:t>
      </w:r>
    </w:p>
    <w:p>
      <w:pPr>
        <w:pStyle w:val="BodyText"/>
      </w:pPr>
      <w:r>
        <w:t xml:space="preserve">To provide better phenotypic resolution, and to better identify biological processes underlying psychopathology,</w:t>
      </w:r>
      <w:r>
        <w:t xml:space="preserve"> </w:t>
      </w:r>
      <w:r>
        <w:t xml:space="preserve">Tiego et al.</w:t>
      </w:r>
      <w:r>
        <w:t xml:space="preserve"> </w:t>
      </w:r>
      <w:r>
        <w:t xml:space="preserve">(</w:t>
      </w:r>
      <w:hyperlink w:anchor="ref-Tiego2023">
        <w:r>
          <w:rPr>
            <w:rStyle w:val="Hyperlink"/>
          </w:rPr>
          <w:t xml:space="preserve">2023</w:t>
        </w:r>
      </w:hyperlink>
      <w:r>
        <w:t xml:space="preserve">)</w:t>
      </w:r>
      <w:r>
        <w:t xml:space="preserve"> </w:t>
      </w:r>
      <w:r>
        <w:t xml:space="preserve">argue for including content covering the full range, including items assessing the adaptive end of the continuum.</w:t>
      </w:r>
      <w:r>
        <w:t xml:space="preserve"> </w:t>
      </w:r>
      <w:r>
        <w:t xml:space="preserve">Doing so would help move the field away from a focus of symptoms (and absence of symptoms) and toward consideration of the full range of functioning, including thriving.</w:t>
      </w:r>
      <w:r>
        <w:t xml:space="preserve"> </w:t>
      </w:r>
      <w:r>
        <w:t xml:space="preserve">As they note, low scores on clinical measures are typically intended to assess absence of pathological functioning rather than the opposite end of the latent continuum—i.e., the presence of adaptive functioning.</w:t>
      </w:r>
      <w:r>
        <w:t xml:space="preserve"> </w:t>
      </w:r>
      <w:r>
        <w:t xml:space="preserve">For instance, it can be valuable to consider</w:t>
      </w:r>
      <w:r>
        <w:t xml:space="preserve"> </w:t>
      </w:r>
      <w:r>
        <w:t xml:space="preserve">“positive opposites”</w:t>
      </w:r>
      <w:r>
        <w:t xml:space="preserve">—i.e., positive behaviors that compete with and are (simultaneously) incompatible with the particular antisocial behavior.</w:t>
      </w:r>
      <w:r>
        <w:t xml:space="preserve"> </w:t>
      </w:r>
      <w:r>
        <w:t xml:space="preserve">For instance, in a study of externalizing behavior, it would be valuable to consider prosocial behavior (e.g., kindness, helping others, sharing, dependability, compliance, accountability).</w:t>
      </w:r>
      <w:r>
        <w:t xml:space="preserve"> </w:t>
      </w:r>
      <w:r>
        <w:t xml:space="preserve">Indeed, in a machine learning study of children’s conduct problems in the ABCD study, prosocial behavior was the strongest predictor</w:t>
      </w:r>
      <w:r>
        <w:t xml:space="preserve"> </w:t>
      </w:r>
      <w:r>
        <w:t xml:space="preserve">(</w:t>
      </w:r>
      <w:hyperlink w:anchor="ref-Berluti2026">
        <w:r>
          <w:rPr>
            <w:rStyle w:val="Hyperlink"/>
          </w:rPr>
          <w:t xml:space="preserve">Berluti et al., 2026</w:t>
        </w:r>
      </w:hyperlink>
      <w:r>
        <w:t xml:space="preserve">)</w:t>
      </w:r>
      <w:r>
        <w:t xml:space="preserve">.</w:t>
      </w:r>
      <w:r>
        <w:t xml:space="preserve"> </w:t>
      </w:r>
      <w:r>
        <w:t xml:space="preserve">Moreover, measures of externalizing behavior tend to focus on just global scores or just one or a few subdimensions.</w:t>
      </w:r>
      <w:r>
        <w:t xml:space="preserve"> </w:t>
      </w:r>
      <w:r>
        <w:t xml:space="preserve">For better phenotypic resolution, instruments should assess a wide range of phenotypes to better capture the full range of externalizing behavior, which will be important to distinguish various forms of behavior—e.g., physical versus verbal versus destructive versus relational aggression—and their functions—e.g., proactive versus reactive.</w:t>
      </w:r>
    </w:p>
    <w:p>
      <w:pPr>
        <w:pStyle w:val="BodyText"/>
      </w:pPr>
      <w:r>
        <w:t xml:space="preserve">Based on our content analysis of over 270 measures of externalizing behavior, we identified a wide range of facets that would be important for measures of externalizing behavior to capture (see</w:t>
      </w:r>
      <w:r>
        <w:t xml:space="preserve"> </w:t>
      </w:r>
      <w:hyperlink w:anchor="tbl-externalizingfacets">
        <w:r>
          <w:rPr>
            <w:rStyle w:val="Hyperlink"/>
          </w:rPr>
          <w:t xml:space="preserve">Table 1</w:t>
        </w:r>
      </w:hyperlink>
      <w:r>
        <w:t xml:space="preserve">).</w:t>
      </w:r>
      <w:r>
        <w:t xml:space="preserve"> </w:t>
      </w:r>
      <w:r>
        <w:t xml:space="preserve">We also identified potential positive opposites of each facet.</w:t>
      </w:r>
    </w:p>
    <w:bookmarkStart w:id="92" w:name="tbl-externalizingfacets"/>
    <w:p>
      <w:pPr>
        <w:pStyle w:val="FigureTitle"/>
      </w:pPr>
      <w:r>
        <w:t xml:space="preserve">Table 1</w:t>
      </w:r>
    </w:p>
    <w:p>
      <w:pPr>
        <w:pStyle w:val="Caption"/>
      </w:pPr>
      <w:r>
        <w:t xml:space="preserve">Externalizing Facets Identified in Content Analysis of Externalizing Measures.</w:t>
      </w:r>
    </w:p>
    <w:tbl>
      <w:tblPr>
        <w:tblStyle w:val="Table"/>
        <w:tblW w:type="pct" w:w="4935"/>
        <w:tblLayout w:type="fixed"/>
        <w:tblLook w:firstRow="1" w:lastRow="0" w:firstColumn="0" w:lastColumn="0" w:noHBand="0" w:noVBand="0" w:val="0020"/>
      </w:tblPr>
      <w:tblGrid>
        <w:gridCol w:w="3727"/>
        <w:gridCol w:w="2277"/>
        <w:gridCol w:w="1811"/>
      </w:tblGrid>
      <w:tr>
        <w:trPr>
          <w:tblHeader w:val="on"/>
        </w:trPr>
        <w:tc>
          <w:tcPr/>
          <w:p>
            <w:pPr>
              <w:pStyle w:val="Compact"/>
              <w:jc w:val="left"/>
            </w:pPr>
            <w:r>
              <w:t xml:space="preserve">Facet</w:t>
            </w:r>
          </w:p>
        </w:tc>
        <w:tc>
          <w:tcPr/>
          <w:p>
            <w:pPr>
              <w:pStyle w:val="Compact"/>
              <w:jc w:val="left"/>
            </w:pPr>
            <w:r>
              <w:t xml:space="preserve">Definition</w:t>
            </w:r>
          </w:p>
        </w:tc>
        <w:tc>
          <w:tcPr/>
          <w:p>
            <w:pPr>
              <w:pStyle w:val="Compact"/>
              <w:jc w:val="left"/>
            </w:pPr>
            <w:r>
              <w:t xml:space="preserve">Potential Positive Opposite</w:t>
            </w:r>
          </w:p>
        </w:tc>
      </w:tr>
      <w:tr>
        <w:tc>
          <w:tcPr/>
          <w:p>
            <w:pPr>
              <w:pStyle w:val="Compact"/>
              <w:jc w:val="left"/>
            </w:pPr>
            <w:r>
              <w:t xml:space="preserve">Attention seeking/Exhibitionism</w:t>
            </w:r>
          </w:p>
        </w:tc>
        <w:tc>
          <w:tcPr/>
          <w:p>
            <w:pPr>
              <w:pStyle w:val="Compact"/>
              <w:jc w:val="left"/>
            </w:pPr>
            <w:r>
              <w:t xml:space="preserve">Exaggerated or dramatic expressions,</w:t>
            </w:r>
            <w:r>
              <w:t xml:space="preserve"> </w:t>
            </w:r>
            <w:r>
              <w:t xml:space="preserve">interrupting others, inappropriate or</w:t>
            </w:r>
            <w:r>
              <w:t xml:space="preserve"> </w:t>
            </w:r>
            <w:r>
              <w:t xml:space="preserve">provocative behaviors, provoking reactions</w:t>
            </w:r>
          </w:p>
        </w:tc>
        <w:tc>
          <w:tcPr/>
          <w:p>
            <w:pPr>
              <w:pStyle w:val="Compact"/>
              <w:jc w:val="left"/>
            </w:pPr>
            <w:r>
              <w:t xml:space="preserve">Humility/Appropriate</w:t>
            </w:r>
            <w:r>
              <w:t xml:space="preserve"> </w:t>
            </w:r>
            <w:r>
              <w:t xml:space="preserve">self-expression</w:t>
            </w:r>
          </w:p>
        </w:tc>
      </w:tr>
      <w:tr>
        <w:tc>
          <w:tcPr/>
          <w:p>
            <w:pPr>
              <w:pStyle w:val="Compact"/>
              <w:jc w:val="left"/>
            </w:pPr>
            <w:r>
              <w:t xml:space="preserve">Behavioral addiction</w:t>
            </w:r>
          </w:p>
        </w:tc>
        <w:tc>
          <w:tcPr/>
          <w:p>
            <w:pPr>
              <w:pStyle w:val="Compact"/>
              <w:jc w:val="left"/>
            </w:pPr>
            <w:r>
              <w:t xml:space="preserve">Non-substance addictions (e.g., gambling,</w:t>
            </w:r>
            <w:r>
              <w:t xml:space="preserve"> </w:t>
            </w:r>
            <w:r>
              <w:t xml:space="preserve">video games, risky sex, pornography, food,</w:t>
            </w:r>
            <w:r>
              <w:t xml:space="preserve"> </w:t>
            </w:r>
            <w:r>
              <w:t xml:space="preserve">the internet, mobile devices, shopping)</w:t>
            </w:r>
          </w:p>
        </w:tc>
        <w:tc>
          <w:tcPr/>
          <w:p>
            <w:pPr>
              <w:pStyle w:val="Compact"/>
              <w:jc w:val="left"/>
            </w:pPr>
            <w:r>
              <w:t xml:space="preserve">Self-regulated engagement/Balanced</w:t>
            </w:r>
            <w:r>
              <w:t xml:space="preserve"> </w:t>
            </w:r>
            <w:r>
              <w:t xml:space="preserve">lifestyle</w:t>
            </w:r>
          </w:p>
        </w:tc>
      </w:tr>
      <w:tr>
        <w:tc>
          <w:tcPr/>
          <w:p>
            <w:pPr>
              <w:pStyle w:val="Compact"/>
              <w:jc w:val="left"/>
            </w:pPr>
            <w:r>
              <w:t xml:space="preserve">Blame externalization</w:t>
            </w:r>
          </w:p>
        </w:tc>
        <w:tc>
          <w:tcPr/>
          <w:p>
            <w:pPr>
              <w:pStyle w:val="Compact"/>
              <w:jc w:val="left"/>
            </w:pPr>
            <w:r>
              <w:t xml:space="preserve">Attribute cause of problems or failures to</w:t>
            </w:r>
            <w:r>
              <w:t xml:space="preserve"> </w:t>
            </w:r>
            <w:r>
              <w:t xml:space="preserve">external factors, feeling like a victim,</w:t>
            </w:r>
            <w:r>
              <w:t xml:space="preserve"> </w:t>
            </w:r>
            <w:r>
              <w:t xml:space="preserve">blaming others</w:t>
            </w:r>
          </w:p>
        </w:tc>
        <w:tc>
          <w:tcPr/>
          <w:p>
            <w:pPr>
              <w:pStyle w:val="Compact"/>
              <w:jc w:val="left"/>
            </w:pPr>
            <w:r>
              <w:t xml:space="preserve">Personal</w:t>
            </w:r>
            <w:r>
              <w:t xml:space="preserve"> </w:t>
            </w:r>
            <w:r>
              <w:t xml:space="preserve">responsibility/Accountability</w:t>
            </w:r>
          </w:p>
        </w:tc>
      </w:tr>
      <w:tr>
        <w:tc>
          <w:tcPr/>
          <w:p>
            <w:pPr>
              <w:pStyle w:val="Compact"/>
              <w:jc w:val="left"/>
            </w:pPr>
            <w:r>
              <w:t xml:space="preserve">Boredom proneness</w:t>
            </w:r>
          </w:p>
        </w:tc>
        <w:tc>
          <w:tcPr/>
          <w:p>
            <w:pPr>
              <w:pStyle w:val="Compact"/>
              <w:jc w:val="left"/>
            </w:pPr>
            <w:r>
              <w:t xml:space="preserve">Expressing boredom often, difficulty</w:t>
            </w:r>
            <w:r>
              <w:t xml:space="preserve"> </w:t>
            </w:r>
            <w:r>
              <w:t xml:space="preserve">maintaining interest, lack of engagement</w:t>
            </w:r>
          </w:p>
        </w:tc>
        <w:tc>
          <w:tcPr/>
          <w:p>
            <w:pPr>
              <w:pStyle w:val="Compact"/>
              <w:jc w:val="left"/>
            </w:pPr>
            <w:r>
              <w:t xml:space="preserve">Curiosity/Sustained engagement</w:t>
            </w:r>
          </w:p>
        </w:tc>
      </w:tr>
      <w:tr>
        <w:tc>
          <w:tcPr/>
          <w:p>
            <w:pPr>
              <w:pStyle w:val="Compact"/>
              <w:jc w:val="left"/>
            </w:pPr>
            <w:r>
              <w:t xml:space="preserve">Callous aggression</w:t>
            </w:r>
          </w:p>
        </w:tc>
        <w:tc>
          <w:tcPr/>
          <w:p>
            <w:pPr>
              <w:pStyle w:val="Compact"/>
              <w:jc w:val="left"/>
            </w:pPr>
            <w:r>
              <w:t xml:space="preserve">Inflicting harm without feeling remorse or</w:t>
            </w:r>
            <w:r>
              <w:t xml:space="preserve"> </w:t>
            </w:r>
            <w:r>
              <w:t xml:space="preserve">concern, usually proactive/intentional</w:t>
            </w:r>
          </w:p>
        </w:tc>
        <w:tc>
          <w:tcPr/>
          <w:p>
            <w:pPr>
              <w:pStyle w:val="Compact"/>
              <w:jc w:val="left"/>
            </w:pPr>
            <w:r>
              <w:t xml:space="preserve">Compassionate</w:t>
            </w:r>
            <w:r>
              <w:t xml:space="preserve"> </w:t>
            </w:r>
            <w:r>
              <w:t xml:space="preserve">protection/Benevolence</w:t>
            </w:r>
          </w:p>
        </w:tc>
      </w:tr>
      <w:tr>
        <w:tc>
          <w:tcPr/>
          <w:p>
            <w:pPr>
              <w:pStyle w:val="Compact"/>
              <w:jc w:val="left"/>
            </w:pPr>
            <w:r>
              <w:t xml:space="preserve">Callousness/Disregard for others/Low concern/Low</w:t>
            </w:r>
            <w:r>
              <w:t xml:space="preserve"> </w:t>
            </w:r>
            <w:r>
              <w:t xml:space="preserve">empathy/Selfishness/Egocentricity</w:t>
            </w:r>
          </w:p>
        </w:tc>
        <w:tc>
          <w:tcPr/>
          <w:p>
            <w:pPr>
              <w:pStyle w:val="Compact"/>
              <w:jc w:val="left"/>
            </w:pPr>
            <w:r>
              <w:t xml:space="preserve">Emotional detachment, indifference to</w:t>
            </w:r>
            <w:r>
              <w:t xml:space="preserve"> </w:t>
            </w:r>
            <w:r>
              <w:t xml:space="preserve">well-being of others</w:t>
            </w:r>
          </w:p>
        </w:tc>
        <w:tc>
          <w:tcPr/>
          <w:p>
            <w:pPr>
              <w:pStyle w:val="Compact"/>
              <w:jc w:val="left"/>
            </w:pPr>
            <w:r>
              <w:t xml:space="preserve">Empathy/Compassion/Concern for</w:t>
            </w:r>
            <w:r>
              <w:t xml:space="preserve"> </w:t>
            </w:r>
            <w:r>
              <w:t xml:space="preserve">others/Helping others/Sharing</w:t>
            </w:r>
          </w:p>
        </w:tc>
      </w:tr>
      <w:tr>
        <w:tc>
          <w:tcPr/>
          <w:p>
            <w:pPr>
              <w:pStyle w:val="Compact"/>
              <w:jc w:val="left"/>
            </w:pPr>
            <w:r>
              <w:t xml:space="preserve">Deceitfulness/Fraud/Lying/Cheating/Dishonesty/Sneakiness/Exploitation</w:t>
            </w:r>
          </w:p>
        </w:tc>
        <w:tc>
          <w:tcPr/>
          <w:p>
            <w:pPr>
              <w:pStyle w:val="Compact"/>
              <w:jc w:val="left"/>
            </w:pPr>
            <w:r>
              <w:t xml:space="preserve">Keeping the truth hidden, especially to get</w:t>
            </w:r>
            <w:r>
              <w:t xml:space="preserve"> </w:t>
            </w:r>
            <w:r>
              <w:t xml:space="preserve">an advantage (e.g., lying, witholding</w:t>
            </w:r>
            <w:r>
              <w:t xml:space="preserve"> </w:t>
            </w:r>
            <w:r>
              <w:t xml:space="preserve">information, manipulation, making false</w:t>
            </w:r>
            <w:r>
              <w:t xml:space="preserve"> </w:t>
            </w:r>
            <w:r>
              <w:t xml:space="preserve">promises)</w:t>
            </w:r>
          </w:p>
        </w:tc>
        <w:tc>
          <w:tcPr/>
          <w:p>
            <w:pPr>
              <w:pStyle w:val="Compact"/>
              <w:jc w:val="left"/>
            </w:pPr>
            <w:r>
              <w:t xml:space="preserve">Honesty/Integrity/Fairness</w:t>
            </w:r>
          </w:p>
        </w:tc>
      </w:tr>
      <w:tr>
        <w:tc>
          <w:tcPr/>
          <w:p>
            <w:pPr>
              <w:pStyle w:val="Compact"/>
              <w:jc w:val="left"/>
            </w:pPr>
            <w:r>
              <w:t xml:space="preserve">Deviant peers</w:t>
            </w:r>
          </w:p>
        </w:tc>
        <w:tc>
          <w:tcPr/>
          <w:p>
            <w:pPr>
              <w:pStyle w:val="Compact"/>
              <w:jc w:val="left"/>
            </w:pPr>
            <w:r>
              <w:t xml:space="preserve">Affiliating with peer who engage in deviant</w:t>
            </w:r>
            <w:r>
              <w:t xml:space="preserve"> </w:t>
            </w:r>
            <w:r>
              <w:t xml:space="preserve">or delinquent behaviors</w:t>
            </w:r>
          </w:p>
        </w:tc>
        <w:tc>
          <w:tcPr/>
          <w:p>
            <w:pPr>
              <w:pStyle w:val="Compact"/>
              <w:jc w:val="left"/>
            </w:pPr>
            <w:r>
              <w:t xml:space="preserve">Prosocial peer affiliations</w:t>
            </w:r>
          </w:p>
        </w:tc>
      </w:tr>
      <w:tr>
        <w:tc>
          <w:tcPr/>
          <w:p>
            <w:pPr>
              <w:pStyle w:val="Compact"/>
              <w:jc w:val="left"/>
            </w:pPr>
            <w:r>
              <w:t xml:space="preserve">Destructive aggression/Destruction of property</w:t>
            </w:r>
          </w:p>
        </w:tc>
        <w:tc>
          <w:tcPr/>
          <w:p>
            <w:pPr>
              <w:pStyle w:val="Compact"/>
              <w:jc w:val="left"/>
            </w:pPr>
            <w:r>
              <w:t xml:space="preserve">Destruction of property, self, or others,</w:t>
            </w:r>
            <w:r>
              <w:t xml:space="preserve"> </w:t>
            </w:r>
            <w:r>
              <w:t xml:space="preserve">objects</w:t>
            </w:r>
          </w:p>
        </w:tc>
        <w:tc>
          <w:tcPr/>
          <w:p>
            <w:pPr>
              <w:pStyle w:val="Compact"/>
              <w:jc w:val="left"/>
            </w:pPr>
            <w:r>
              <w:t xml:space="preserve">Constructiveness/Care for property</w:t>
            </w:r>
          </w:p>
        </w:tc>
      </w:tr>
      <w:tr>
        <w:tc>
          <w:tcPr/>
          <w:p>
            <w:pPr>
              <w:pStyle w:val="Compact"/>
              <w:jc w:val="left"/>
            </w:pPr>
            <w:r>
              <w:t xml:space="preserve">Distractibility/Inattention/Attention</w:t>
            </w:r>
            <w:r>
              <w:t xml:space="preserve"> </w:t>
            </w:r>
            <w:r>
              <w:t xml:space="preserve">dysregulation/Forgetfulness/Daydreaming</w:t>
            </w:r>
          </w:p>
        </w:tc>
        <w:tc>
          <w:tcPr/>
          <w:p>
            <w:pPr>
              <w:pStyle w:val="Compact"/>
              <w:jc w:val="left"/>
            </w:pPr>
            <w:r>
              <w:t xml:space="preserve">Difficulty maintaining focus, attention, or</w:t>
            </w:r>
            <w:r>
              <w:t xml:space="preserve"> </w:t>
            </w:r>
            <w:r>
              <w:t xml:space="preserve">concentration , frequenct attention shifts</w:t>
            </w:r>
          </w:p>
        </w:tc>
        <w:tc>
          <w:tcPr/>
          <w:p>
            <w:pPr>
              <w:pStyle w:val="Compact"/>
              <w:jc w:val="left"/>
            </w:pPr>
            <w:r>
              <w:t xml:space="preserve">Attentional control/Sustained</w:t>
            </w:r>
            <w:r>
              <w:t xml:space="preserve"> </w:t>
            </w:r>
            <w:r>
              <w:t xml:space="preserve">attention</w:t>
            </w:r>
          </w:p>
        </w:tc>
      </w:tr>
      <w:tr>
        <w:tc>
          <w:tcPr/>
          <w:p>
            <w:pPr>
              <w:pStyle w:val="Compact"/>
              <w:jc w:val="left"/>
            </w:pPr>
            <w:r>
              <w:t xml:space="preserve">Domineering/Bossiness</w:t>
            </w:r>
          </w:p>
        </w:tc>
        <w:tc>
          <w:tcPr/>
          <w:p>
            <w:pPr>
              <w:pStyle w:val="Compact"/>
              <w:jc w:val="left"/>
            </w:pPr>
            <w:r>
              <w:t xml:space="preserve">Asserting control, power, and authority in</w:t>
            </w:r>
            <w:r>
              <w:t xml:space="preserve"> </w:t>
            </w:r>
            <w:r>
              <w:t xml:space="preserve">an overbearing or oppressive manner</w:t>
            </w:r>
          </w:p>
        </w:tc>
        <w:tc>
          <w:tcPr/>
          <w:p>
            <w:pPr>
              <w:pStyle w:val="Compact"/>
              <w:jc w:val="left"/>
            </w:pPr>
            <w:r>
              <w:t xml:space="preserve">Collaborativeness</w:t>
            </w:r>
          </w:p>
        </w:tc>
      </w:tr>
      <w:tr>
        <w:tc>
          <w:tcPr/>
          <w:p>
            <w:pPr>
              <w:pStyle w:val="Compact"/>
              <w:jc w:val="left"/>
            </w:pPr>
            <w:r>
              <w:t xml:space="preserve">Excitement seeking/Risk taking/Sensation seeking</w:t>
            </w:r>
          </w:p>
        </w:tc>
        <w:tc>
          <w:tcPr/>
          <w:p>
            <w:pPr>
              <w:pStyle w:val="Compact"/>
              <w:jc w:val="left"/>
            </w:pPr>
            <w:r>
              <w:t xml:space="preserve">Tendency to pursue new and different</w:t>
            </w:r>
            <w:r>
              <w:t xml:space="preserve"> </w:t>
            </w:r>
            <w:r>
              <w:t xml:space="preserve">sensations, especially intense,</w:t>
            </w:r>
            <w:r>
              <w:t xml:space="preserve"> </w:t>
            </w:r>
            <w:r>
              <w:t xml:space="preserve">exhilerating, thrilling, etc. (e.g., risk</w:t>
            </w:r>
            <w:r>
              <w:t xml:space="preserve"> </w:t>
            </w:r>
            <w:r>
              <w:t xml:space="preserve">taking, preference for novelty, intensity)</w:t>
            </w:r>
          </w:p>
        </w:tc>
        <w:tc>
          <w:tcPr/>
          <w:p>
            <w:pPr>
              <w:pStyle w:val="Compact"/>
              <w:jc w:val="left"/>
            </w:pPr>
            <w:r>
              <w:t xml:space="preserve">Prudent exploration/Measured</w:t>
            </w:r>
            <w:r>
              <w:t xml:space="preserve"> </w:t>
            </w:r>
            <w:r>
              <w:t xml:space="preserve">novelty seeking</w:t>
            </w:r>
          </w:p>
        </w:tc>
      </w:tr>
      <w:tr>
        <w:tc>
          <w:tcPr/>
          <w:p>
            <w:pPr>
              <w:pStyle w:val="Compact"/>
              <w:jc w:val="left"/>
            </w:pPr>
            <w:r>
              <w:t xml:space="preserve">Grandiosity/Overconfidence</w:t>
            </w:r>
          </w:p>
        </w:tc>
        <w:tc>
          <w:tcPr/>
          <w:p>
            <w:pPr>
              <w:pStyle w:val="Compact"/>
              <w:jc w:val="left"/>
            </w:pPr>
            <w:r>
              <w:t xml:space="preserve">Exhaggerated sense of self-importance,</w:t>
            </w:r>
            <w:r>
              <w:t xml:space="preserve"> </w:t>
            </w:r>
            <w:r>
              <w:t xml:space="preserve">sense of superiority or specialness</w:t>
            </w:r>
          </w:p>
        </w:tc>
        <w:tc>
          <w:tcPr/>
          <w:p>
            <w:pPr>
              <w:pStyle w:val="Compact"/>
              <w:jc w:val="left"/>
            </w:pPr>
            <w:r>
              <w:t xml:space="preserve">Realistic self-confidence</w:t>
            </w:r>
          </w:p>
        </w:tc>
      </w:tr>
      <w:tr>
        <w:tc>
          <w:tcPr/>
          <w:p>
            <w:pPr>
              <w:pStyle w:val="Compact"/>
              <w:jc w:val="left"/>
            </w:pPr>
            <w:r>
              <w:t xml:space="preserve">Hostility/Rudeness</w:t>
            </w:r>
          </w:p>
        </w:tc>
        <w:tc>
          <w:tcPr/>
          <w:p>
            <w:pPr>
              <w:pStyle w:val="Compact"/>
              <w:jc w:val="left"/>
            </w:pPr>
            <w:r>
              <w:t xml:space="preserve">Hostile behavior, unfriendliness,</w:t>
            </w:r>
            <w:r>
              <w:t xml:space="preserve"> </w:t>
            </w:r>
            <w:r>
              <w:t xml:space="preserve">resentment, antagonism, ranging from mild</w:t>
            </w:r>
            <w:r>
              <w:t xml:space="preserve"> </w:t>
            </w:r>
            <w:r>
              <w:t xml:space="preserve">irritation to intense rage, interpret</w:t>
            </w:r>
            <w:r>
              <w:t xml:space="preserve"> </w:t>
            </w:r>
            <w:r>
              <w:t xml:space="preserve">others’ behavior as hostile</w:t>
            </w:r>
          </w:p>
        </w:tc>
        <w:tc>
          <w:tcPr/>
          <w:p>
            <w:pPr>
              <w:pStyle w:val="Compact"/>
              <w:jc w:val="left"/>
            </w:pPr>
            <w:r>
              <w:t xml:space="preserve">Warmth/Friendliness/Kindness</w:t>
            </w:r>
          </w:p>
        </w:tc>
      </w:tr>
      <w:tr>
        <w:tc>
          <w:tcPr/>
          <w:p>
            <w:pPr>
              <w:pStyle w:val="Compact"/>
              <w:jc w:val="left"/>
            </w:pPr>
            <w:r>
              <w:t xml:space="preserve">Hyperactivity</w:t>
            </w:r>
          </w:p>
        </w:tc>
        <w:tc>
          <w:tcPr/>
          <w:p>
            <w:pPr>
              <w:pStyle w:val="Compact"/>
              <w:jc w:val="left"/>
            </w:pPr>
            <w:r>
              <w:t xml:space="preserve">High levels of physical activity,</w:t>
            </w:r>
            <w:r>
              <w:t xml:space="preserve"> </w:t>
            </w:r>
            <w:r>
              <w:t xml:space="preserve">restlessness, difficulty engaging in quiet</w:t>
            </w:r>
            <w:r>
              <w:t xml:space="preserve"> </w:t>
            </w:r>
            <w:r>
              <w:t xml:space="preserve">activities</w:t>
            </w:r>
          </w:p>
        </w:tc>
        <w:tc>
          <w:tcPr/>
          <w:p>
            <w:pPr>
              <w:pStyle w:val="Compact"/>
              <w:jc w:val="left"/>
            </w:pPr>
            <w:r>
              <w:t xml:space="preserve">Behavioral regulation/Calm</w:t>
            </w:r>
            <w:r>
              <w:t xml:space="preserve"> </w:t>
            </w:r>
            <w:r>
              <w:t xml:space="preserve">engagement</w:t>
            </w:r>
          </w:p>
        </w:tc>
      </w:tr>
      <w:tr>
        <w:tc>
          <w:tcPr/>
          <w:p>
            <w:pPr>
              <w:pStyle w:val="Compact"/>
              <w:jc w:val="left"/>
            </w:pPr>
            <w:r>
              <w:t xml:space="preserve">Impulsivity/Disinhibition/Impatient urgency/(Low) Planful control</w:t>
            </w:r>
          </w:p>
        </w:tc>
        <w:tc>
          <w:tcPr/>
          <w:p>
            <w:pPr>
              <w:pStyle w:val="Compact"/>
              <w:jc w:val="left"/>
            </w:pPr>
            <w:r>
              <w:t xml:space="preserve">Tendency to act without thinking,</w:t>
            </w:r>
            <w:r>
              <w:t xml:space="preserve"> </w:t>
            </w:r>
            <w:r>
              <w:t xml:space="preserve">disinhibited engagement</w:t>
            </w:r>
          </w:p>
        </w:tc>
        <w:tc>
          <w:tcPr/>
          <w:p>
            <w:pPr>
              <w:pStyle w:val="Compact"/>
              <w:jc w:val="left"/>
            </w:pPr>
            <w:r>
              <w:t xml:space="preserve">Planful control</w:t>
            </w:r>
          </w:p>
        </w:tc>
      </w:tr>
      <w:tr>
        <w:tc>
          <w:tcPr/>
          <w:p>
            <w:pPr>
              <w:pStyle w:val="Compact"/>
              <w:jc w:val="left"/>
            </w:pPr>
            <w:r>
              <w:t xml:space="preserve">Irresponsibility</w:t>
            </w:r>
          </w:p>
        </w:tc>
        <w:tc>
          <w:tcPr/>
          <w:p>
            <w:pPr>
              <w:pStyle w:val="Compact"/>
              <w:jc w:val="left"/>
            </w:pPr>
            <w:r>
              <w:t xml:space="preserve">Failing to meet obligations, avoiding</w:t>
            </w:r>
            <w:r>
              <w:t xml:space="preserve"> </w:t>
            </w:r>
            <w:r>
              <w:t xml:space="preserve">addressing difficulties</w:t>
            </w:r>
          </w:p>
        </w:tc>
        <w:tc>
          <w:tcPr/>
          <w:p>
            <w:pPr>
              <w:pStyle w:val="Compact"/>
              <w:jc w:val="left"/>
            </w:pPr>
            <w:r>
              <w:t xml:space="preserve">Responsibility/Conscientiousness</w:t>
            </w:r>
          </w:p>
        </w:tc>
      </w:tr>
      <w:tr>
        <w:tc>
          <w:tcPr/>
          <w:p>
            <w:pPr>
              <w:pStyle w:val="Compact"/>
              <w:jc w:val="left"/>
            </w:pPr>
            <w:r>
              <w:t xml:space="preserve">(Low) Dependability</w:t>
            </w:r>
          </w:p>
        </w:tc>
        <w:tc>
          <w:tcPr/>
          <w:p>
            <w:pPr>
              <w:pStyle w:val="Compact"/>
              <w:jc w:val="left"/>
            </w:pPr>
            <w:r>
              <w:t xml:space="preserve">Low reliability, consistency,</w:t>
            </w:r>
            <w:r>
              <w:t xml:space="preserve"> </w:t>
            </w:r>
            <w:r>
              <w:t xml:space="preserve">trustworthiness</w:t>
            </w:r>
          </w:p>
        </w:tc>
        <w:tc>
          <w:tcPr/>
          <w:p>
            <w:pPr>
              <w:pStyle w:val="Compact"/>
              <w:jc w:val="left"/>
            </w:pPr>
            <w:r>
              <w:t xml:space="preserve">Dependability/Reliability</w:t>
            </w:r>
          </w:p>
        </w:tc>
      </w:tr>
      <w:tr>
        <w:tc>
          <w:tcPr/>
          <w:p>
            <w:pPr>
              <w:pStyle w:val="Compact"/>
              <w:jc w:val="left"/>
            </w:pPr>
            <w:r>
              <w:t xml:space="preserve">(Low) Perfectionism/(Dis)organization/(Low) Planning</w:t>
            </w:r>
          </w:p>
        </w:tc>
        <w:tc>
          <w:tcPr/>
          <w:p>
            <w:pPr>
              <w:pStyle w:val="Compact"/>
              <w:jc w:val="left"/>
            </w:pPr>
            <w:r>
              <w:t xml:space="preserve">Unconcerned about achievement, low</w:t>
            </w:r>
            <w:r>
              <w:t xml:space="preserve"> </w:t>
            </w:r>
            <w:r>
              <w:t xml:space="preserve">motivation, lack of organization and</w:t>
            </w:r>
            <w:r>
              <w:t xml:space="preserve"> </w:t>
            </w:r>
            <w:r>
              <w:t xml:space="preserve">planning, doesn’t have to be about school</w:t>
            </w:r>
            <w:r>
              <w:t xml:space="preserve"> </w:t>
            </w:r>
            <w:r>
              <w:t xml:space="preserve">or work</w:t>
            </w:r>
          </w:p>
        </w:tc>
        <w:tc>
          <w:tcPr/>
          <w:p>
            <w:pPr>
              <w:pStyle w:val="Compact"/>
              <w:jc w:val="left"/>
            </w:pPr>
            <w:r>
              <w:t xml:space="preserve">Organization/Diligence</w:t>
            </w:r>
          </w:p>
        </w:tc>
      </w:tr>
      <w:tr>
        <w:tc>
          <w:tcPr/>
          <w:p>
            <w:pPr>
              <w:pStyle w:val="Compact"/>
              <w:jc w:val="left"/>
            </w:pPr>
            <w:r>
              <w:t xml:space="preserve">(Low) Performance Concern/(Low) School/Work Performance/ (Low)</w:t>
            </w:r>
            <w:r>
              <w:t xml:space="preserve"> </w:t>
            </w:r>
            <w:r>
              <w:t xml:space="preserve">Workaholism</w:t>
            </w:r>
          </w:p>
        </w:tc>
        <w:tc>
          <w:tcPr/>
          <w:p>
            <w:pPr>
              <w:pStyle w:val="Compact"/>
              <w:jc w:val="left"/>
            </w:pPr>
            <w:r>
              <w:t xml:space="preserve">Low concern about how one’s abilities or</w:t>
            </w:r>
            <w:r>
              <w:t xml:space="preserve"> </w:t>
            </w:r>
            <w:r>
              <w:t xml:space="preserve">actions are evaluated, specific to contexts</w:t>
            </w:r>
            <w:r>
              <w:t xml:space="preserve"> </w:t>
            </w:r>
            <w:r>
              <w:t xml:space="preserve">in which others have expectations for</w:t>
            </w:r>
            <w:r>
              <w:t xml:space="preserve"> </w:t>
            </w:r>
            <w:r>
              <w:t xml:space="preserve">performance (e.g., school and work),</w:t>
            </w:r>
            <w:r>
              <w:t xml:space="preserve"> </w:t>
            </w:r>
            <w:r>
              <w:t xml:space="preserve">specifically low effort rather than</w:t>
            </w:r>
            <w:r>
              <w:t xml:space="preserve"> </w:t>
            </w:r>
            <w:r>
              <w:t xml:space="preserve">performance; low workaholism</w:t>
            </w:r>
          </w:p>
        </w:tc>
        <w:tc>
          <w:tcPr/>
          <w:p>
            <w:pPr>
              <w:pStyle w:val="Compact"/>
              <w:jc w:val="left"/>
            </w:pPr>
            <w:r>
              <w:t xml:space="preserve">Achievement motivation</w:t>
            </w:r>
          </w:p>
        </w:tc>
      </w:tr>
      <w:tr>
        <w:tc>
          <w:tcPr/>
          <w:p>
            <w:pPr>
              <w:pStyle w:val="Compact"/>
              <w:jc w:val="left"/>
            </w:pPr>
            <w:r>
              <w:t xml:space="preserve">Manipulativeness/Psychological aggression</w:t>
            </w:r>
          </w:p>
        </w:tc>
        <w:tc>
          <w:tcPr/>
          <w:p>
            <w:pPr>
              <w:pStyle w:val="Compact"/>
              <w:jc w:val="left"/>
            </w:pPr>
            <w:r>
              <w:t xml:space="preserve">Tendency to influence or control others to</w:t>
            </w:r>
            <w:r>
              <w:t xml:space="preserve"> </w:t>
            </w:r>
            <w:r>
              <w:t xml:space="preserve">achieve one’s own goals or desires, e.g.,</w:t>
            </w:r>
            <w:r>
              <w:t xml:space="preserve"> </w:t>
            </w:r>
            <w:r>
              <w:t xml:space="preserve">playing the victim, flattery, gaslighting,</w:t>
            </w:r>
            <w:r>
              <w:t xml:space="preserve"> </w:t>
            </w:r>
            <w:r>
              <w:t xml:space="preserve">guilt-tripping, psychological aggression</w:t>
            </w:r>
          </w:p>
        </w:tc>
        <w:tc>
          <w:tcPr/>
          <w:p>
            <w:pPr>
              <w:pStyle w:val="Compact"/>
              <w:jc w:val="left"/>
            </w:pPr>
            <w:r>
              <w:t xml:space="preserve">Sincerity/Authenticity</w:t>
            </w:r>
          </w:p>
        </w:tc>
      </w:tr>
      <w:tr>
        <w:tc>
          <w:tcPr/>
          <w:p>
            <w:pPr>
              <w:pStyle w:val="Compact"/>
              <w:jc w:val="left"/>
            </w:pPr>
            <w:r>
              <w:t xml:space="preserve">Mistrust/Suspiciousness/Paranoia</w:t>
            </w:r>
          </w:p>
        </w:tc>
        <w:tc>
          <w:tcPr/>
          <w:p>
            <w:pPr>
              <w:pStyle w:val="Compact"/>
              <w:jc w:val="left"/>
            </w:pPr>
            <w:r>
              <w:t xml:space="preserve">Lack of confidence in the reliability,</w:t>
            </w:r>
            <w:r>
              <w:t xml:space="preserve"> </w:t>
            </w:r>
            <w:r>
              <w:t xml:space="preserve">intentions of others, difficulty forming</w:t>
            </w:r>
            <w:r>
              <w:t xml:space="preserve"> </w:t>
            </w:r>
            <w:r>
              <w:t xml:space="preserve">close relationships with others, difficulty</w:t>
            </w:r>
            <w:r>
              <w:t xml:space="preserve"> </w:t>
            </w:r>
            <w:r>
              <w:t xml:space="preserve">forgiving</w:t>
            </w:r>
          </w:p>
        </w:tc>
        <w:tc>
          <w:tcPr/>
          <w:p>
            <w:pPr>
              <w:pStyle w:val="Compact"/>
              <w:jc w:val="left"/>
            </w:pPr>
            <w:r>
              <w:t xml:space="preserve">Interpersonal trust (appropriately</w:t>
            </w:r>
            <w:r>
              <w:t xml:space="preserve"> </w:t>
            </w:r>
            <w:r>
              <w:t xml:space="preserve">calibrated)</w:t>
            </w:r>
          </w:p>
        </w:tc>
      </w:tr>
      <w:tr>
        <w:tc>
          <w:tcPr/>
          <w:p>
            <w:pPr>
              <w:pStyle w:val="Compact"/>
              <w:jc w:val="left"/>
            </w:pPr>
            <w:r>
              <w:t xml:space="preserve">Oppositionality/Stubbornness</w:t>
            </w:r>
          </w:p>
        </w:tc>
        <w:tc>
          <w:tcPr/>
          <w:p>
            <w:pPr>
              <w:pStyle w:val="Compact"/>
              <w:jc w:val="left"/>
            </w:pPr>
            <w:r>
              <w:t xml:space="preserve">Persistent and defiant attitude, tendency</w:t>
            </w:r>
            <w:r>
              <w:t xml:space="preserve"> </w:t>
            </w:r>
            <w:r>
              <w:t xml:space="preserve">to challenge authority, refusal to comply,</w:t>
            </w:r>
            <w:r>
              <w:t xml:space="preserve"> </w:t>
            </w:r>
            <w:r>
              <w:t xml:space="preserve">argumentativeness (could include while</w:t>
            </w:r>
            <w:r>
              <w:t xml:space="preserve"> </w:t>
            </w:r>
            <w:r>
              <w:t xml:space="preserve">complying), etc.</w:t>
            </w:r>
          </w:p>
        </w:tc>
        <w:tc>
          <w:tcPr/>
          <w:p>
            <w:pPr>
              <w:pStyle w:val="Compact"/>
              <w:jc w:val="left"/>
            </w:pPr>
            <w:r>
              <w:t xml:space="preserve">Cooperativeness</w:t>
            </w:r>
          </w:p>
        </w:tc>
      </w:tr>
      <w:tr>
        <w:tc>
          <w:tcPr/>
          <w:p>
            <w:pPr>
              <w:pStyle w:val="Compact"/>
              <w:jc w:val="left"/>
            </w:pPr>
            <w:r>
              <w:t xml:space="preserve">Physical aggression</w:t>
            </w:r>
          </w:p>
        </w:tc>
        <w:tc>
          <w:tcPr/>
          <w:p>
            <w:pPr>
              <w:pStyle w:val="Compact"/>
              <w:jc w:val="left"/>
            </w:pPr>
            <w:r>
              <w:t xml:space="preserve">Use of physical force or violence to harm</w:t>
            </w:r>
            <w:r>
              <w:t xml:space="preserve"> </w:t>
            </w:r>
            <w:r>
              <w:t xml:space="preserve">others or their property</w:t>
            </w:r>
          </w:p>
        </w:tc>
        <w:tc>
          <w:tcPr/>
          <w:p>
            <w:pPr>
              <w:pStyle w:val="Compact"/>
              <w:jc w:val="left"/>
            </w:pPr>
            <w:r>
              <w:t xml:space="preserve">Respect for others’ bodies/Helping</w:t>
            </w:r>
            <w:r>
              <w:t xml:space="preserve"> </w:t>
            </w:r>
            <w:r>
              <w:t xml:space="preserve">others</w:t>
            </w:r>
          </w:p>
        </w:tc>
      </w:tr>
      <w:tr>
        <w:tc>
          <w:tcPr/>
          <w:p>
            <w:pPr>
              <w:pStyle w:val="Compact"/>
              <w:jc w:val="left"/>
            </w:pPr>
            <w:r>
              <w:t xml:space="preserve">Punishment insensitivity</w:t>
            </w:r>
          </w:p>
        </w:tc>
        <w:tc>
          <w:tcPr/>
          <w:p>
            <w:pPr>
              <w:pStyle w:val="Compact"/>
              <w:jc w:val="left"/>
            </w:pPr>
            <w:r>
              <w:t xml:space="preserve">Doesn’t change behavior after punishment,</w:t>
            </w:r>
            <w:r>
              <w:t xml:space="preserve"> </w:t>
            </w:r>
            <w:r>
              <w:t xml:space="preserve">high tolerance for negative outcomes</w:t>
            </w:r>
          </w:p>
        </w:tc>
        <w:tc>
          <w:tcPr/>
          <w:p>
            <w:pPr>
              <w:pStyle w:val="Compact"/>
              <w:jc w:val="left"/>
            </w:pPr>
            <w:r>
              <w:t xml:space="preserve">Responsive to consequences</w:t>
            </w:r>
          </w:p>
        </w:tc>
      </w:tr>
      <w:tr>
        <w:tc>
          <w:tcPr/>
          <w:p>
            <w:pPr>
              <w:pStyle w:val="Compact"/>
              <w:jc w:val="left"/>
            </w:pPr>
            <w:r>
              <w:t xml:space="preserve">Rebelliousness/Rule-breaking/Noncompliance</w:t>
            </w:r>
          </w:p>
        </w:tc>
        <w:tc>
          <w:tcPr/>
          <w:p>
            <w:pPr>
              <w:pStyle w:val="Compact"/>
              <w:jc w:val="left"/>
            </w:pPr>
            <w:r>
              <w:t xml:space="preserve">Doing things differently than one is asked</w:t>
            </w:r>
            <w:r>
              <w:t xml:space="preserve"> </w:t>
            </w:r>
            <w:r>
              <w:t xml:space="preserve">to do (e.g., breaking house rules)</w:t>
            </w:r>
          </w:p>
        </w:tc>
        <w:tc>
          <w:tcPr/>
          <w:p>
            <w:pPr>
              <w:pStyle w:val="Compact"/>
              <w:jc w:val="left"/>
            </w:pPr>
            <w:r>
              <w:t xml:space="preserve">Compliance/Civic responsibility</w:t>
            </w:r>
          </w:p>
        </w:tc>
      </w:tr>
      <w:tr>
        <w:tc>
          <w:tcPr/>
          <w:p>
            <w:pPr>
              <w:pStyle w:val="Compact"/>
              <w:jc w:val="left"/>
            </w:pPr>
            <w:r>
              <w:t xml:space="preserve">Relational aggression</w:t>
            </w:r>
          </w:p>
        </w:tc>
        <w:tc>
          <w:tcPr/>
          <w:p>
            <w:pPr>
              <w:pStyle w:val="Compact"/>
              <w:jc w:val="left"/>
            </w:pPr>
            <w:r>
              <w:t xml:space="preserve">Aggression intended to harm others through</w:t>
            </w:r>
            <w:r>
              <w:t xml:space="preserve"> </w:t>
            </w:r>
            <w:r>
              <w:t xml:space="preserve">deliberate manipulation of their social</w:t>
            </w:r>
            <w:r>
              <w:t xml:space="preserve"> </w:t>
            </w:r>
            <w:r>
              <w:t xml:space="preserve">standing and relationships (e.g.,</w:t>
            </w:r>
            <w:r>
              <w:t xml:space="preserve"> </w:t>
            </w:r>
            <w:r>
              <w:t xml:space="preserve">exclusion, speaking negatively of another,</w:t>
            </w:r>
            <w:r>
              <w:t xml:space="preserve"> </w:t>
            </w:r>
            <w:r>
              <w:t xml:space="preserve">etc)</w:t>
            </w:r>
          </w:p>
        </w:tc>
        <w:tc>
          <w:tcPr/>
          <w:p>
            <w:pPr>
              <w:pStyle w:val="Compact"/>
              <w:jc w:val="left"/>
            </w:pPr>
            <w:r>
              <w:t xml:space="preserve">Inclusion</w:t>
            </w:r>
          </w:p>
        </w:tc>
      </w:tr>
      <w:tr>
        <w:tc>
          <w:tcPr/>
          <w:p>
            <w:pPr>
              <w:pStyle w:val="Compact"/>
              <w:jc w:val="left"/>
            </w:pPr>
            <w:r>
              <w:t xml:space="preserve">Sexual aggression</w:t>
            </w:r>
          </w:p>
        </w:tc>
        <w:tc>
          <w:tcPr/>
          <w:p>
            <w:pPr>
              <w:pStyle w:val="Compact"/>
              <w:jc w:val="left"/>
            </w:pPr>
            <w:r>
              <w:t xml:space="preserve">Engaging in sexual activity with someone</w:t>
            </w:r>
            <w:r>
              <w:t xml:space="preserve"> </w:t>
            </w:r>
            <w:r>
              <w:t xml:space="preserve">who does not or cannot consent to that</w:t>
            </w:r>
            <w:r>
              <w:t xml:space="preserve"> </w:t>
            </w:r>
            <w:r>
              <w:t xml:space="preserve">behavior, or threatening to do so (e.g.,</w:t>
            </w:r>
            <w:r>
              <w:t xml:space="preserve"> </w:t>
            </w:r>
            <w:r>
              <w:t xml:space="preserve">harrassment)</w:t>
            </w:r>
          </w:p>
        </w:tc>
        <w:tc>
          <w:tcPr/>
          <w:p>
            <w:pPr>
              <w:pStyle w:val="Compact"/>
              <w:jc w:val="left"/>
            </w:pPr>
            <w:r>
              <w:t xml:space="preserve">Respect for consent</w:t>
            </w:r>
          </w:p>
        </w:tc>
      </w:tr>
      <w:tr>
        <w:tc>
          <w:tcPr/>
          <w:p>
            <w:pPr>
              <w:pStyle w:val="Compact"/>
              <w:jc w:val="left"/>
            </w:pPr>
            <w:r>
              <w:t xml:space="preserve">Impulsive sexual behavior/Risky sexual behavior</w:t>
            </w:r>
          </w:p>
        </w:tc>
        <w:tc>
          <w:tcPr/>
          <w:p>
            <w:pPr>
              <w:pStyle w:val="Compact"/>
              <w:jc w:val="left"/>
            </w:pPr>
            <w:r>
              <w:t xml:space="preserve">Engaging in risky sexual activity (e.g.,</w:t>
            </w:r>
            <w:r>
              <w:t xml:space="preserve"> </w:t>
            </w:r>
            <w:r>
              <w:t xml:space="preserve">sex without contraceptives)</w:t>
            </w:r>
          </w:p>
        </w:tc>
        <w:tc>
          <w:tcPr/>
          <w:p>
            <w:pPr>
              <w:pStyle w:val="Compact"/>
              <w:jc w:val="left"/>
            </w:pPr>
            <w:r>
              <w:t xml:space="preserve">Responsible sexual decision-making</w:t>
            </w:r>
          </w:p>
        </w:tc>
      </w:tr>
      <w:tr>
        <w:tc>
          <w:tcPr/>
          <w:p>
            <w:pPr>
              <w:pStyle w:val="Compact"/>
              <w:jc w:val="left"/>
            </w:pPr>
            <w:r>
              <w:t xml:space="preserve">(Harmful) Substance Use/Problems</w:t>
            </w:r>
          </w:p>
        </w:tc>
        <w:tc>
          <w:tcPr/>
          <w:p>
            <w:pPr>
              <w:pStyle w:val="Compact"/>
              <w:jc w:val="left"/>
            </w:pPr>
            <w:r>
              <w:t xml:space="preserve">Harmful use of any drugs (e.g., alcohol,</w:t>
            </w:r>
            <w:r>
              <w:t xml:space="preserve"> </w:t>
            </w:r>
            <w:r>
              <w:t xml:space="preserve">tobacco, illegal drugs)</w:t>
            </w:r>
          </w:p>
        </w:tc>
        <w:tc>
          <w:tcPr/>
          <w:p>
            <w:pPr>
              <w:pStyle w:val="Compact"/>
              <w:jc w:val="left"/>
            </w:pPr>
            <w:r>
              <w:t xml:space="preserve">Healthy choices around substance</w:t>
            </w:r>
            <w:r>
              <w:t xml:space="preserve"> </w:t>
            </w:r>
            <w:r>
              <w:t xml:space="preserve">use</w:t>
            </w:r>
          </w:p>
        </w:tc>
      </w:tr>
      <w:tr>
        <w:tc>
          <w:tcPr/>
          <w:p>
            <w:pPr>
              <w:pStyle w:val="Compact"/>
              <w:jc w:val="left"/>
            </w:pPr>
            <w:r>
              <w:t xml:space="preserve">Theft/Stealing</w:t>
            </w:r>
          </w:p>
        </w:tc>
        <w:tc>
          <w:tcPr/>
          <w:p>
            <w:pPr>
              <w:pStyle w:val="Compact"/>
              <w:jc w:val="left"/>
            </w:pPr>
            <w:r>
              <w:t xml:space="preserve">Unauthorized taking of someone else’s</w:t>
            </w:r>
            <w:r>
              <w:t xml:space="preserve"> </w:t>
            </w:r>
            <w:r>
              <w:t xml:space="preserve">property without their knowledge or consent</w:t>
            </w:r>
          </w:p>
        </w:tc>
        <w:tc>
          <w:tcPr/>
          <w:p>
            <w:pPr>
              <w:pStyle w:val="Compact"/>
              <w:jc w:val="left"/>
            </w:pPr>
            <w:r>
              <w:t xml:space="preserve">Respect for people’s possessions</w:t>
            </w:r>
          </w:p>
        </w:tc>
      </w:tr>
      <w:tr>
        <w:tc>
          <w:tcPr/>
          <w:p>
            <w:pPr>
              <w:pStyle w:val="Compact"/>
              <w:jc w:val="left"/>
            </w:pPr>
            <w:r>
              <w:t xml:space="preserve">Verbal Aggression</w:t>
            </w:r>
          </w:p>
        </w:tc>
        <w:tc>
          <w:tcPr/>
          <w:p>
            <w:pPr>
              <w:pStyle w:val="Compact"/>
              <w:jc w:val="left"/>
            </w:pPr>
            <w:r>
              <w:t xml:space="preserve">Communication with an intention to harm an</w:t>
            </w:r>
            <w:r>
              <w:t xml:space="preserve"> </w:t>
            </w:r>
            <w:r>
              <w:t xml:space="preserve">individual through words, tone or manner</w:t>
            </w:r>
          </w:p>
        </w:tc>
        <w:tc>
          <w:tcPr/>
          <w:p>
            <w:pPr>
              <w:pStyle w:val="Compact"/>
              <w:jc w:val="left"/>
            </w:pPr>
            <w:r>
              <w:t xml:space="preserve">Respectful communication</w:t>
            </w:r>
          </w:p>
        </w:tc>
      </w:tr>
    </w:tbl>
    <w:bookmarkEnd w:id="92"/>
    <w:p>
      <w:pPr>
        <w:pStyle w:val="FigureWithoutNote"/>
      </w:pPr>
      <w:r>
        <w:rPr>
          <w:vertAlign w:val="subscript"/>
        </w:rPr>
        <w:t xml:space="preserve">Source:</w:t>
      </w:r>
      <w:r>
        <w:rPr>
          <w:vertAlign w:val="subscript"/>
        </w:rPr>
        <w:t xml:space="preserve"> </w:t>
      </w:r>
      <w:hyperlink r:id="rId93">
        <w:r>
          <w:rPr>
            <w:rStyle w:val="Hyperlink"/>
            <w:vertAlign w:val="subscript"/>
          </w:rPr>
          <w:t xml:space="preserve">Analyses</w:t>
        </w:r>
      </w:hyperlink>
    </w:p>
    <w:p>
      <w:pPr>
        <w:pStyle w:val="AfterWithoutNote"/>
      </w:pPr>
      <w:r>
        <w:t xml:space="preserve">Because existing measures do not capture the full range of individual differences, this naturally further limits the measures’ sensitivity to detect change (i.e., responsiveness), which is crucial for clinical utility and for longitudinal research.</w:t>
      </w:r>
    </w:p>
    <w:bookmarkEnd w:id="94"/>
    <w:bookmarkStart w:id="95"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r>
        <w:t xml:space="preserve"> </w:t>
      </w:r>
      <w:r>
        <w:t xml:space="preserve">As we described above, existing assessment of externalizing behavior—and other aspects of psychopathology—have key limitations.</w:t>
      </w:r>
      <w:r>
        <w:t xml:space="preserve"> </w:t>
      </w:r>
      <w:r>
        <w:t xml:space="preserve">To address this concern, the field will need to develop better assessments.</w:t>
      </w:r>
      <w:r>
        <w:t xml:space="preserve"> </w:t>
      </w:r>
      <w:r>
        <w:t xml:space="preserve">Moreover, there are problems with how assessments are used to examine development—studies have primarily used the common items approach or the upward/downward extension approach across ages, which are problematic approaches that lead to inaccurate scores and resulting trajectories and developmental inferences.</w:t>
      </w:r>
      <w:r>
        <w:t xml:space="preserve"> </w:t>
      </w:r>
      <w:r>
        <w:t xml:space="preserve">To address this concern, we propose a potential solution to account for heterotypic continuity and to allow charting individuals’ change across the lifespan: a developmental scaling framework.</w:t>
      </w:r>
    </w:p>
    <w:bookmarkEnd w:id="95"/>
    <w:bookmarkEnd w:id="96"/>
    <w:bookmarkEnd w:id="97"/>
    <w:bookmarkStart w:id="110" w:name="X90173f212147643646723f86a6ce6f8ad77bf31"/>
    <w:p>
      <w:pPr>
        <w:pStyle w:val="Heading1"/>
      </w:pPr>
      <w:r>
        <w:t xml:space="preserve">Solution: A Developmental Scaling Framework</w:t>
      </w:r>
    </w:p>
    <w:p>
      <w:pPr>
        <w:pStyle w:val="FirstParagraph"/>
      </w:pPr>
      <w:r>
        <w:t xml:space="preserve">A developmental scaling framework informs both assessment—including item selection—and linking of scores.</w:t>
      </w:r>
    </w:p>
    <w:bookmarkStart w:id="102" w:name="item-selection"/>
    <w:p>
      <w:pPr>
        <w:pStyle w:val="Heading2"/>
      </w:pPr>
      <w:r>
        <w:t xml:space="preserve">Item Selection</w:t>
      </w:r>
    </w:p>
    <w:p>
      <w:pPr>
        <w:pStyle w:val="FirstParagraph"/>
      </w:pPr>
      <w:r>
        <w:t xml:space="preserve">When a construct changes in behavioral manifestation across development, which we would argue is the norm rather than the exception when considering constructs across the lifespan, it is important to account for such changes in item selection.</w:t>
      </w:r>
      <w:r>
        <w:t xml:space="preserve"> </w:t>
      </w:r>
      <w:r>
        <w:t xml:space="preserve">Thus, it is important to use the construct-valid items at a given age, even if that leads to using different measures across ages.</w:t>
      </w:r>
      <w:r>
        <w:t xml:space="preserve"> </w:t>
      </w:r>
      <w:r>
        <w:t xml:space="preserve">A conceptual depiction of an example construct-valid item design spanning infancy to adulthood is in</w:t>
      </w:r>
      <w:r>
        <w:t xml:space="preserve"> </w:t>
      </w:r>
      <w:hyperlink w:anchor="fig-constructValidItemDesign">
        <w:r>
          <w:rPr>
            <w:rStyle w:val="Hyperlink"/>
          </w:rPr>
          <w:t xml:space="preserve">Figure 8</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age-common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8</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101" w:name="fig-constructValidItemDesign"/>
    <w:p>
      <w:pPr>
        <w:pStyle w:val="FigureTitle"/>
      </w:pPr>
      <w:r>
        <w:t xml:space="preserve">Figure 8</w:t>
      </w:r>
    </w:p>
    <w:p>
      <w:pPr>
        <w:pStyle w:val="Caption"/>
      </w:pPr>
      <w:r>
        <w:t xml:space="preserve">Conceptual Depiction of a Construct-Valid Item Design from Infancy to Adulthood</w:t>
      </w:r>
    </w:p>
    <w:p>
      <w:pPr>
        <w:pStyle w:val="FigureWithNote"/>
      </w:pPr>
      <w:r>
        <w:drawing>
          <wp:inline>
            <wp:extent cx="5877848" cy="3260034"/>
            <wp:effectExtent b="0" l="0" r="0" t="0"/>
            <wp:docPr descr="" title="" id="99" name="Picture"/>
            <a:graphic>
              <a:graphicData uri="http://schemas.openxmlformats.org/drawingml/2006/picture">
                <pic:pic>
                  <pic:nvPicPr>
                    <pic:cNvPr descr="Figures/constructValidItemDesign.png" id="100" name="Picture"/>
                    <pic:cNvPicPr>
                      <a:picLocks noChangeArrowheads="1" noChangeAspect="1"/>
                    </pic:cNvPicPr>
                  </pic:nvPicPr>
                  <pic:blipFill>
                    <a:blip r:embed="rId98"/>
                    <a:stretch>
                      <a:fillRect/>
                    </a:stretch>
                  </pic:blipFill>
                  <pic:spPr bwMode="auto">
                    <a:xfrm>
                      <a:off x="0" y="0"/>
                      <a:ext cx="5877848" cy="3260034"/>
                    </a:xfrm>
                    <a:prstGeom prst="rect">
                      <a:avLst/>
                    </a:prstGeom>
                    <a:noFill/>
                    <a:ln w="9525">
                      <a:noFill/>
                      <a:headEnd/>
                      <a:tailEnd/>
                    </a:ln>
                  </pic:spPr>
                </pic:pic>
              </a:graphicData>
            </a:graphic>
          </wp:inline>
        </w:drawing>
      </w:r>
    </w:p>
    <w:bookmarkEnd w:id="101"/>
    <w:p>
      <w:pPr>
        <w:pStyle w:val="FigureNote"/>
      </w:pPr>
      <w:r>
        <w:rPr>
          <w:i/>
          <w:iCs/>
        </w:rPr>
        <w:t xml:space="preserve">Note</w:t>
      </w:r>
      <w:r>
        <w:t xml:space="preserve">. The age(s) at which an item set is assessed are represented by the letter</w:t>
      </w:r>
      <w:r>
        <w:t xml:space="preserve"> </w:t>
      </w:r>
      <w:r>
        <w:rPr>
          <w:rStyle w:val="VerbatimChar"/>
        </w:rPr>
        <w:t xml:space="preserve">x</w:t>
      </w:r>
      <w:r>
        <w:t xml:space="preserve"> </w:t>
      </w:r>
      <w:r>
        <w:t xml:space="preserve">and a colored box. Some items (</w:t>
      </w:r>
      <w:r>
        <w:t xml:space="preserve">“Core”</w:t>
      </w:r>
      <w:r>
        <w:t xml:space="preserve">, in green) represent the core of the phenotype and are assessed across all ages. Some items (in varying shades of brown) are age-specific and are assessed at only one or a few ages. However, some of the items assessed at a given age are shared with those assessed at adjacent ages, to facilitate linking the scores across ages. 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 Hypothetically, items could be assessed for as many or as few years as desired—as long as the items are construct valid for those ages and there enough age-common items between adjacent ages for linking scores across ages.</w:t>
      </w:r>
    </w:p>
    <w:bookmarkEnd w:id="102"/>
    <w:bookmarkStart w:id="109" w:name="linking-of-scores"/>
    <w:p>
      <w:pPr>
        <w:pStyle w:val="Heading2"/>
      </w:pPr>
      <w:r>
        <w:t xml:space="preserve">Linking of Scores</w:t>
      </w:r>
    </w:p>
    <w:p>
      <w:pPr>
        <w:pStyle w:val="FirstParagraph"/>
      </w:pPr>
      <w:r>
        <w:t xml:space="preserve">After the age-differing measures have been assessed, the scores from the age-differing measures can be linked to be on the same scale.</w:t>
      </w:r>
      <w:r>
        <w:t xml:space="preserve"> </w:t>
      </w:r>
      <w:r>
        <w:t xml:space="preserve">To perform developmental scaling, a variety of approaches can be used, including partial measurement invariance, the alignment method, moderated nonlinear factor analysis (MNLFA), and item response theory (IRT).</w:t>
      </w:r>
      <w:r>
        <w:t xml:space="preserve"> </w:t>
      </w:r>
      <w:r>
        <w:t xml:space="preserve">These are all approaches to harmonization—i.e., linking scores from different measures onto the same scale so they can be meaningfully compared.</w:t>
      </w:r>
      <w:r>
        <w:t xml:space="preserve"> </w:t>
      </w:r>
      <w:r>
        <w:t xml:space="preserve">They attempt to estimate latent variables—using either confirmatory factor analysis (CFA) or IRT—on a common scale across ages.</w:t>
      </w:r>
      <w:r>
        <w:t xml:space="preserve"> </w:t>
      </w:r>
      <w:r>
        <w:t xml:space="preserve"> </w:t>
      </w:r>
      <w:r>
        <w:t xml:space="preserve">They do so by trying to align the item parameters for at least a subset of items.</w:t>
      </w:r>
      <w:r>
        <w:t xml:space="preserve"> </w:t>
      </w:r>
      <w:r>
        <w:t xml:space="preserve">In particular, to be able to chart individuals’ change over time, it is helpful to ensure that the scores are on the same number line across time—that is, they have the same scale and location across ages.</w:t>
      </w:r>
      <w:r>
        <w:t xml:space="preserve"> </w:t>
      </w:r>
      <w:r>
        <w:t xml:space="preserve">Scale refers to the size of a unit on the number line.</w:t>
      </w:r>
      <w:r>
        <w:t xml:space="preserve"> </w:t>
      </w:r>
      <w:r>
        <w:t xml:space="preserve">If scores have the same scale across ages, a one-unit difference represents the same amount of the construct at each age.</w:t>
      </w:r>
      <w:r>
        <w:t xml:space="preserve"> </w:t>
      </w:r>
      <w:r>
        <w:t xml:space="preserve">Location refers to the origin or zero point on the number line.</w:t>
      </w:r>
      <w:r>
        <w:t xml:space="preserve"> </w:t>
      </w:r>
      <w:r>
        <w:t xml:space="preserve">If scores have the same location across ages, a score of zero corresponds to the same position on the construct across ages.</w:t>
      </w:r>
      <w:r>
        <w:t xml:space="preserve"> </w:t>
      </w:r>
      <w:r>
        <w:t xml:space="preserve">Collectively, if scores have the same scale and location across ages, the measure is constantly calibrated across ages and the same score corresponds to the same level on the construct across ages.</w:t>
      </w:r>
      <w:r>
        <w:t xml:space="preserve"> </w:t>
      </w:r>
      <w:r>
        <w:t xml:space="preserve">CFA and IRT each have item parameters corresponding to scale and location.</w:t>
      </w:r>
    </w:p>
    <w:p>
      <w:pPr>
        <w:pStyle w:val="BodyText"/>
      </w:pPr>
      <w:r>
        <w:t xml:space="preserve">In CFA, scale is informed by an item’s factor loading, and location is informed by an item’s intercept.</w:t>
      </w:r>
      <w:r>
        <w:t xml:space="preserve"> </w:t>
      </w:r>
      <w:r>
        <w:t xml:space="preserve">A factor loading reflects the strength of association between the item and the latent factor, with larger loadings indicating stronger associations.</w:t>
      </w:r>
      <w:r>
        <w:t xml:space="preserve"> </w:t>
      </w:r>
      <w:r>
        <w:t xml:space="preserve">For instance, an item assessing the extent to which the child hits others would have a stronger factor loading on an externalizing factor than an item assessing the extent to which the child likes ice cream.</w:t>
      </w:r>
      <w:r>
        <w:t xml:space="preserve"> </w:t>
      </w:r>
      <w:r>
        <w:t xml:space="preserve">The intercept is the expected score on the item when the latent factor equals zero.</w:t>
      </w:r>
      <w:r>
        <w:t xml:space="preserve"> </w:t>
      </w:r>
      <w:r>
        <w:t xml:space="preserve">When the latent factor is centered to have a mean of zero, the intercept represents the expected score on the item for someone at the mean level of the construct.</w:t>
      </w:r>
      <w:r>
        <w:t xml:space="preserve"> </w:t>
      </w:r>
      <w:r>
        <w:t xml:space="preserve">Items with lower intercepts tend to be endorsed by individuals with higher levels of the latent factor and therefore often reflect more severe behaviors.</w:t>
      </w:r>
      <w:r>
        <w:t xml:space="preserve"> </w:t>
      </w:r>
      <w:r>
        <w:t xml:space="preserve">For example, an item assessing the extent to which the child sets fires would be expected to have a lower intercept than an item assessing the extent to which the child argues.</w:t>
      </w:r>
    </w:p>
    <w:p>
      <w:pPr>
        <w:pStyle w:val="BodyText"/>
      </w:pPr>
      <w:r>
        <w:t xml:space="preserve">In IRT, scale is informed by an item’s discrimination, and location is informed by an item’s difficulty.</w:t>
      </w:r>
      <w:r>
        <w:t xml:space="preserve"> </w:t>
      </w:r>
      <w:r>
        <w:t xml:space="preserve">An item’s discrimination reflects how strongly the item differentiates individuals at different levels of the construct, with higher discrimination indicating a stronger association with the latent factor.</w:t>
      </w:r>
      <w:r>
        <w:t xml:space="preserve"> </w:t>
      </w:r>
      <w:r>
        <w:t xml:space="preserve">In a two-parameter IRT model, an item’s difficulty reflects the level on the latent factor where there is a 50% probability of endorsing the item.</w:t>
      </w:r>
      <w:r>
        <w:t xml:space="preserve"> </w:t>
      </w:r>
      <w:r>
        <w:t xml:space="preserve">Items with higher difficulty require a higher level of the latent factor to have a 50% probability of endorsing the item and therefore represent more severe behaviors.</w:t>
      </w:r>
    </w:p>
    <w:p>
      <w:pPr>
        <w:pStyle w:val="BodyText"/>
      </w:pPr>
      <w:r>
        <w:t xml:space="preserve">The partial invariance method can be used to link scores across different measures</w:t>
      </w:r>
      <w:r>
        <w:t xml:space="preserve"> </w:t>
      </w:r>
      <w:r>
        <w:t xml:space="preserve">(</w:t>
      </w:r>
      <w:hyperlink w:anchor="ref-Tyrell2019">
        <w:r>
          <w:rPr>
            <w:rStyle w:val="Hyperlink"/>
          </w:rPr>
          <w:t xml:space="preserve">Tyrell et al., 2019</w:t>
        </w:r>
      </w:hyperlink>
      <w:r>
        <w:t xml:space="preserve">)</w:t>
      </w:r>
      <w:r>
        <w:t xml:space="preserve"> </w:t>
      </w:r>
      <w:r>
        <w:t xml:space="preserve">and can be paired with second-order growth functions to examine individuals’ change over time</w:t>
      </w:r>
      <w:r>
        <w:t xml:space="preserve"> </w:t>
      </w:r>
      <w:r>
        <w:t xml:space="preserve">(</w:t>
      </w:r>
      <w:hyperlink w:anchor="ref-Hancock2008">
        <w:r>
          <w:rPr>
            <w:rStyle w:val="Hyperlink"/>
          </w:rPr>
          <w:t xml:space="preserve">Hancock &amp; Buehl, 2008</w:t>
        </w:r>
      </w:hyperlink>
      <w:r>
        <w:t xml:space="preserve">)</w:t>
      </w:r>
      <w:r>
        <w:t xml:space="preserve">.</w:t>
      </w:r>
      <w:r>
        <w:t xml:space="preserve"> </w:t>
      </w:r>
      <w:r>
        <w:t xml:space="preserve">The partial invariance approach attempts to establish partial strong longitudinal factorial invariance</w:t>
      </w:r>
      <w:r>
        <w:rPr>
          <w:rStyle w:val="FootnoteReference"/>
        </w:rPr>
        <w:footnoteReference w:id="103"/>
      </w:r>
      <w:r>
        <w:t xml:space="preserve">—i.e., invariant intercepts and factor loadings across ages for a subset of items to set the latent factor across ages on a comparable scale, with some items’ intercepts and/or factor loadings allowed to differ across ages.</w:t>
      </w:r>
      <w:r>
        <w:t xml:space="preserve"> </w:t>
      </w:r>
      <w:r>
        <w:t xml:space="preserve">The researcher first identifies which items show invariant factors loadings and/or intercepts and which items show noninvariant factor loadings or intercepts.</w:t>
      </w:r>
      <w:r>
        <w:t xml:space="preserve"> </w:t>
      </w:r>
      <w:r>
        <w:t xml:space="preserve">The researcher then constrains the factors loadings across time for any items with invariant factor loadings, to serve as anchor items and establish an equivalent scale of the measures across time, and allows the factor loadings to differ across time for the items with noninvariant factors loadings.</w:t>
      </w:r>
      <w:r>
        <w:t xml:space="preserve"> </w:t>
      </w:r>
      <w:r>
        <w:t xml:space="preserve">In addition, the researcher constrains the intercepts across time for any items with invariant intercepts, to serve as anchor items and establish an equivalent location of the measures across time, and allows the intercepts to differ across time for the items with noninvariant intercepts.</w:t>
      </w:r>
      <w:r>
        <w:t xml:space="preserve"> </w:t>
      </w:r>
      <w:r>
        <w:t xml:space="preserve">The anchor items thus equate the latent factor over time, preventing drift in the scale calibration and rendering scores comparable across time</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Then, the researcher estimates second-order growth functions (e.g., intercept and slope) of the first-order latent factor across time.</w:t>
      </w:r>
      <w:r>
        <w:t xml:space="preserve"> </w:t>
      </w:r>
      <w:r>
        <w:t xml:space="preserve">The method can allow different indicators across ages, either by dropping or adding indicators or by using item parcels composed of differing items across ages</w:t>
      </w:r>
      <w:r>
        <w:t xml:space="preserve"> </w:t>
      </w:r>
      <w:r>
        <w:t xml:space="preserve">(</w:t>
      </w:r>
      <w:hyperlink w:anchor="ref-Tyrell2019">
        <w:r>
          <w:rPr>
            <w:rStyle w:val="Hyperlink"/>
          </w:rPr>
          <w:t xml:space="preserve">Tyrell et al., 2019</w:t>
        </w:r>
      </w:hyperlink>
      <w:r>
        <w:t xml:space="preserve">)</w:t>
      </w:r>
      <w:r>
        <w:t xml:space="preserve">.</w:t>
      </w:r>
      <w:r>
        <w:t xml:space="preserve"> </w:t>
      </w:r>
      <w:r>
        <w:t xml:space="preserve">However, the partial invariance approach requires identifying—and accurately specifying—invariant items and any noninvariant items, which can be both inefficient and error-prone</w:t>
      </w:r>
      <w:r>
        <w:t xml:space="preserve"> </w:t>
      </w:r>
      <w:r>
        <w:t xml:space="preserve">(</w:t>
      </w:r>
      <w:hyperlink w:anchor="ref-ChenPM">
        <w:r>
          <w:rPr>
            <w:rStyle w:val="Hyperlink"/>
          </w:rPr>
          <w:t xml:space="preserve">S. M. Chen &amp; Bauer, in pressb</w:t>
        </w:r>
      </w:hyperlink>
      <w:r>
        <w:t xml:space="preserve">;</w:t>
      </w:r>
      <w:r>
        <w:t xml:space="preserve"> </w:t>
      </w:r>
      <w:hyperlink w:anchor="ref-Lai2023">
        <w:r>
          <w:rPr>
            <w:rStyle w:val="Hyperlink"/>
          </w:rPr>
          <w:t xml:space="preserve">Lai, 2023</w:t>
        </w:r>
      </w:hyperlink>
      <w:r>
        <w:t xml:space="preserve">)</w:t>
      </w:r>
      <w:r>
        <w:t xml:space="preserve">.</w:t>
      </w:r>
      <w:r>
        <w:t xml:space="preserve"> </w:t>
      </w:r>
      <w:r>
        <w:t xml:space="preserve">Moreover, the partial invariance approach tends not to work as well when a large proportion of items are noninvariant</w:t>
      </w:r>
      <w:r>
        <w:t xml:space="preserve"> </w:t>
      </w:r>
      <w:r>
        <w:t xml:space="preserve">(</w:t>
      </w:r>
      <w:hyperlink w:anchor="ref-Lai2023">
        <w:r>
          <w:rPr>
            <w:rStyle w:val="Hyperlink"/>
          </w:rPr>
          <w:t xml:space="preserve">Lai, 2023</w:t>
        </w:r>
      </w:hyperlink>
      <w:r>
        <w:t xml:space="preserve">)</w:t>
      </w:r>
      <w:r>
        <w:t xml:space="preserve">, there are many timepoints, there is considerable variability in the numbers of responses provided to items such as might occur due to missing data or when not all items are assessed at all timepoints, or the researcher wants to consider DIF as a function of multiple variables or continuous variables</w:t>
      </w:r>
      <w:r>
        <w:t xml:space="preserve"> </w:t>
      </w:r>
      <w:r>
        <w:t xml:space="preserve">(</w:t>
      </w:r>
      <w:hyperlink w:anchor="ref-ChenPM">
        <w:r>
          <w:rPr>
            <w:rStyle w:val="Hyperlink"/>
          </w:rPr>
          <w:t xml:space="preserve">S. M. Chen &amp; Bauer, in pressb</w:t>
        </w:r>
      </w:hyperlink>
      <w:r>
        <w:t xml:space="preserve">)</w:t>
      </w:r>
      <w:r>
        <w:t xml:space="preserve">.</w:t>
      </w:r>
    </w:p>
    <w:p>
      <w:pPr>
        <w:pStyle w:val="BodyText"/>
      </w:pPr>
      <w:r>
        <w:t xml:space="preserve">The alignment optimization method</w:t>
      </w:r>
      <w:r>
        <w:t xml:space="preserve"> </w:t>
      </w:r>
      <w:r>
        <w:t xml:space="preserve">(</w:t>
      </w:r>
      <w:hyperlink w:anchor="ref-Muthen2014">
        <w:r>
          <w:rPr>
            <w:rStyle w:val="Hyperlink"/>
          </w:rPr>
          <w:t xml:space="preserve">Muthén &amp; Asparouhov, 2014</w:t>
        </w:r>
      </w:hyperlink>
      <w:r>
        <w:t xml:space="preserve">)</w:t>
      </w:r>
      <w:r>
        <w:t xml:space="preserve"> </w:t>
      </w:r>
      <w:r>
        <w:t xml:space="preserve">has been used to link scores across time</w:t>
      </w:r>
      <w:r>
        <w:t xml:space="preserve"> </w:t>
      </w:r>
      <w:r>
        <w:t xml:space="preserve">(</w:t>
      </w:r>
      <w:hyperlink w:anchor="ref-Lai2023">
        <w:r>
          <w:rPr>
            <w:rStyle w:val="Hyperlink"/>
          </w:rPr>
          <w:t xml:space="preserve">Lai, 2023</w:t>
        </w:r>
      </w:hyperlink>
      <w:r>
        <w:t xml:space="preserve">)</w:t>
      </w:r>
      <w:r>
        <w:t xml:space="preserve">.</w:t>
      </w:r>
      <w:r>
        <w:t xml:space="preserve"> </w:t>
      </w:r>
      <w:r>
        <w:t xml:space="preserve">The alignment optimization method within confirmatory factor analysis attempts to identify a model with approximate longitudinal factorial invariance—that is, to retain any instances of large noninvariance across ages and to keep other parameters approximately invariant across ages—to adjust for violations of invariance.</w:t>
      </w:r>
      <w:r>
        <w:t xml:space="preserve"> </w:t>
      </w:r>
      <w:r>
        <w:t xml:space="preserve">The approach uses a component loss function to align the item parameters across ages so that the scores on the latent factors are on the same scale.</w:t>
      </w:r>
      <w:r>
        <w:t xml:space="preserve"> </w:t>
      </w:r>
      <w:r>
        <w:t xml:space="preserve">Unlike the partial invariance method, the alignment method does not require a priori identification of any noninvariant items</w:t>
      </w:r>
      <w:r>
        <w:t xml:space="preserve"> </w:t>
      </w:r>
      <w:r>
        <w:t xml:space="preserve">(</w:t>
      </w:r>
      <w:hyperlink w:anchor="ref-Lai2023">
        <w:r>
          <w:rPr>
            <w:rStyle w:val="Hyperlink"/>
          </w:rPr>
          <w:t xml:space="preserve">Lai, 2023</w:t>
        </w:r>
      </w:hyperlink>
      <w:r>
        <w:t xml:space="preserve">)</w:t>
      </w:r>
      <w:r>
        <w:t xml:space="preserve">.</w:t>
      </w:r>
    </w:p>
    <w:p>
      <w:pPr>
        <w:pStyle w:val="BodyText"/>
      </w:pPr>
      <w:r>
        <w:t xml:space="preserve">MNLFA</w:t>
      </w:r>
      <w:r>
        <w:t xml:space="preserve"> </w:t>
      </w:r>
      <w:r>
        <w:t xml:space="preserve">(</w:t>
      </w:r>
      <w:hyperlink w:anchor="ref-Bauer2017">
        <w:r>
          <w:rPr>
            <w:rStyle w:val="Hyperlink"/>
          </w:rPr>
          <w:t xml:space="preserve">Bauer, 2017</w:t>
        </w:r>
      </w:hyperlink>
      <w:r>
        <w:t xml:space="preserve">)</w:t>
      </w:r>
      <w:r>
        <w:t xml:space="preserve"> </w:t>
      </w:r>
      <w:r>
        <w:t xml:space="preserve">has also been used to link scores across different measures</w:t>
      </w:r>
      <w:r>
        <w:t xml:space="preserve"> </w:t>
      </w:r>
      <w:r>
        <w:t xml:space="preserve">(</w:t>
      </w:r>
      <w:hyperlink w:anchor="ref-Curran2014">
        <w:r>
          <w:rPr>
            <w:rStyle w:val="Hyperlink"/>
          </w:rPr>
          <w:t xml:space="preserve">Curran et al., 2014</w:t>
        </w:r>
      </w:hyperlink>
      <w:r>
        <w:t xml:space="preserve">)</w:t>
      </w:r>
      <w:r>
        <w:t xml:space="preserve">, including across ages</w:t>
      </w:r>
      <w:r>
        <w:t xml:space="preserve"> </w:t>
      </w:r>
      <w:r>
        <w:t xml:space="preserve">(</w:t>
      </w:r>
      <w:hyperlink w:anchor="ref-ChenPM">
        <w:r>
          <w:rPr>
            <w:rStyle w:val="Hyperlink"/>
          </w:rPr>
          <w:t xml:space="preserve">S. M. Chen &amp; Bauer, in pressb</w:t>
        </w:r>
      </w:hyperlink>
      <w:r>
        <w:t xml:space="preserve">,</w:t>
      </w:r>
      <w:r>
        <w:t xml:space="preserve"> </w:t>
      </w:r>
      <w:hyperlink w:anchor="ref-ChenMBR">
        <w:r>
          <w:rPr>
            <w:rStyle w:val="Hyperlink"/>
          </w:rPr>
          <w:t xml:space="preserve">in pressa</w:t>
        </w:r>
      </w:hyperlink>
      <w:r>
        <w:t xml:space="preserve">)</w:t>
      </w:r>
      <w:r>
        <w:t xml:space="preserve">.</w:t>
      </w:r>
      <w:r>
        <w:t xml:space="preserve"> </w:t>
      </w:r>
      <w:r>
        <w:t xml:space="preserve">Unlike the partial invariance approach, MNLFA represents the measurement model in continuous time (rather than discrete time).</w:t>
      </w:r>
      <w:r>
        <w:t xml:space="preserve"> </w:t>
      </w:r>
      <w:r>
        <w:t xml:space="preserve">MNLFA allows simultaneous estimation of growth functions while estimating and accounting for DIF effects.</w:t>
      </w:r>
      <w:r>
        <w:t xml:space="preserve"> </w:t>
      </w:r>
      <w:r>
        <w:t xml:space="preserve">It allows estimating DIF as a function of time and as a function of multiple variables, including categorical and continuous variables.</w:t>
      </w:r>
      <w:r>
        <w:t xml:space="preserve"> </w:t>
      </w:r>
      <w:r>
        <w:t xml:space="preserve">Bayesian approaches can be used to apply MNLFA.</w:t>
      </w:r>
      <w:r>
        <w:t xml:space="preserve"> </w:t>
      </w:r>
      <w:r>
        <w:t xml:space="preserve">A key benefit of Bayesian approaches is the use of regularizing priors that allow estimating the model without having to identify noninvariant/DIF items and anchor items in advance</w:t>
      </w:r>
      <w:r>
        <w:t xml:space="preserve"> </w:t>
      </w:r>
      <w:r>
        <w:t xml:space="preserve">(</w:t>
      </w:r>
      <w:hyperlink w:anchor="ref-ChenPM">
        <w:r>
          <w:rPr>
            <w:rStyle w:val="Hyperlink"/>
          </w:rPr>
          <w:t xml:space="preserve">S. M. Chen &amp; Bauer, in pressb</w:t>
        </w:r>
      </w:hyperlink>
      <w:r>
        <w:t xml:space="preserve">,</w:t>
      </w:r>
      <w:r>
        <w:t xml:space="preserve"> </w:t>
      </w:r>
      <w:hyperlink w:anchor="ref-ChenMBR">
        <w:r>
          <w:rPr>
            <w:rStyle w:val="Hyperlink"/>
          </w:rPr>
          <w:t xml:space="preserve">in pressa</w:t>
        </w:r>
      </w:hyperlink>
      <w:r>
        <w:t xml:space="preserve">)</w:t>
      </w:r>
      <w:r>
        <w:t xml:space="preserve">.</w:t>
      </w:r>
      <w:r>
        <w:t xml:space="preserve"> </w:t>
      </w:r>
      <w:r>
        <w:t xml:space="preserve">Using regularization, unimportant DIF effects are shunken toward zero—while retaining larger DIF effects—thus identifying potential anchor items without having to specify them in advance</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In addition, Bayesian approaches are often better suited to handle small sample sizes and data with sparse responses</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Using a simulation,</w:t>
      </w:r>
      <w:r>
        <w:t xml:space="preserve"> </w:t>
      </w:r>
      <w:r>
        <w:t xml:space="preserve">S. M. Chen and Bauer (</w:t>
      </w:r>
      <w:hyperlink w:anchor="ref-ChenMBR">
        <w:r>
          <w:rPr>
            <w:rStyle w:val="Hyperlink"/>
          </w:rPr>
          <w:t xml:space="preserve">in pressa</w:t>
        </w:r>
      </w:hyperlink>
      <w:r>
        <w:t xml:space="preserve">)</w:t>
      </w:r>
      <w:r>
        <w:t xml:space="preserve"> </w:t>
      </w:r>
      <w:r>
        <w:t xml:space="preserve">found that MNLFA estimated change more accurately than traditional first- or second-order growth curve models.</w:t>
      </w:r>
    </w:p>
    <w:p>
      <w:pPr>
        <w:pStyle w:val="BodyText"/>
      </w:pPr>
      <w:r>
        <w:t xml:space="preserve">IRT can also be used to link scores across different measures</w:t>
      </w:r>
      <w:r>
        <w:t xml:space="preserve"> </w:t>
      </w:r>
      <w:r>
        <w:t xml:space="preserve">(</w:t>
      </w:r>
      <w:hyperlink w:anchor="ref-Kolen2014">
        <w:r>
          <w:rPr>
            <w:rStyle w:val="Hyperlink"/>
          </w:rPr>
          <w:t xml:space="preserve">Kolen &amp; Brennan, 2014</w:t>
        </w:r>
      </w:hyperlink>
      <w:r>
        <w:t xml:space="preserve">)</w:t>
      </w:r>
      <w:r>
        <w:t xml:space="preserve">.</w:t>
      </w:r>
      <w:r>
        <w:t xml:space="preserve"> </w:t>
      </w:r>
      <w:r>
        <w:t xml:space="preserve">The IRT approach to developmetal scaling is depicted in</w:t>
      </w:r>
      <w:r>
        <w:t xml:space="preserve"> </w:t>
      </w:r>
      <w:hyperlink w:anchor="fig-linking">
        <w:r>
          <w:rPr>
            <w:rStyle w:val="Hyperlink"/>
          </w:rPr>
          <w:t xml:space="preserve">Figure 9</w:t>
        </w:r>
      </w:hyperlink>
      <w:r>
        <w:t xml:space="preserve">.</w:t>
      </w:r>
      <w:r>
        <w:t xml:space="preserve"> </w:t>
      </w:r>
      <w:r>
        <w:t xml:space="preserve"> </w:t>
      </w:r>
      <w:r>
        <w:t xml:space="preserve">The IRT approach to developmental scaling identifies scaling parameters that minimize the differences between the probability of a person endorsing the age-common items across two measures, at a given construct level.</w:t>
      </w:r>
      <w:r>
        <w:t xml:space="preserve"> </w:t>
      </w:r>
      <w:r>
        <w:t xml:space="preserve">That is, IRT links measures’ scales based on the difficulty and discrimination of the age-common items.</w:t>
      </w:r>
      <w:r>
        <w:t xml:space="preserve"> </w:t>
      </w:r>
      <w:r>
        <w:t xml:space="preserve">In developmental scaling, scores on the construct-valid items at the reference age set the scale, the age-common items adjusts subsequent scores to that scale, and all construct-valid items (i.e., both age-common and age-unique items) at a given timepoint is used to estimate each person’s score on that scale.</w:t>
      </w:r>
      <w:r>
        <w:t xml:space="preserve"> </w:t>
      </w:r>
      <w:r>
        <w:t xml:space="preserve">Thus, the age-common items are used to determine the general form of change on an identical scale, but all developmentally relevant, construct-valid items are used to estimate each person’s construct level on this scale.</w:t>
      </w:r>
      <w:r>
        <w:t xml:space="preserve"> </w:t>
      </w:r>
      <w:r>
        <w:t xml:space="preserve">Traditionally IRT represents the measurement model in discrete time.</w:t>
      </w:r>
      <w:r>
        <w:t xml:space="preserve"> </w:t>
      </w:r>
      <w:r>
        <w:t xml:space="preserve">Like MNFLA, however, IRT (particularly in the mixed model formulation) can represent the measurement model in continuous time and allows testing DIF over time and as a function of multiple variables and continuous variables.</w:t>
      </w:r>
      <w:r>
        <w:t xml:space="preserve"> </w:t>
      </w:r>
      <w:r>
        <w:t xml:space="preserve">Moreover, like MNLFA, it allows simultaneous estimation of growth functions while estimating and accounting for DIF effects.</w:t>
      </w:r>
      <w:r>
        <w:t xml:space="preserve"> </w:t>
      </w:r>
      <w:r>
        <w:t xml:space="preserve">In addition, like MNFLA, IRT allows Bayesian estimation and regularizizing priors to identify anchor items without having to specify them in advance.</w:t>
      </w:r>
    </w:p>
    <w:bookmarkStart w:id="107" w:name="fig-linking"/>
    <w:p>
      <w:pPr>
        <w:pStyle w:val="FigureTitle"/>
      </w:pPr>
      <w:r>
        <w:t xml:space="preserve">Figure 9</w:t>
      </w:r>
    </w:p>
    <w:p>
      <w:pPr>
        <w:pStyle w:val="Caption"/>
      </w:pPr>
      <w:r>
        <w:t xml:space="preserve">Example of Linking Scores From Measures Across Ages Using the Item Response Theory Approach to Developmental Scaling</w:t>
      </w:r>
    </w:p>
    <w:p>
      <w:pPr>
        <w:pStyle w:val="FigureWithNote"/>
      </w:pPr>
      <w:r>
        <w:drawing>
          <wp:inline>
            <wp:extent cx="5503598" cy="3669065"/>
            <wp:effectExtent b="0" l="0" r="0" t="0"/>
            <wp:docPr descr="" title="" id="105" name="Picture"/>
            <a:graphic>
              <a:graphicData uri="http://schemas.openxmlformats.org/drawingml/2006/picture">
                <pic:pic>
                  <pic:nvPicPr>
                    <pic:cNvPr descr="Figures/Petersen2021_figure1.png" id="106" name="Picture"/>
                    <pic:cNvPicPr>
                      <a:picLocks noChangeArrowheads="1" noChangeAspect="1"/>
                    </pic:cNvPicPr>
                  </pic:nvPicPr>
                  <pic:blipFill>
                    <a:blip r:embed="rId104"/>
                    <a:stretch>
                      <a:fillRect/>
                    </a:stretch>
                  </pic:blipFill>
                  <pic:spPr bwMode="auto">
                    <a:xfrm>
                      <a:off x="0" y="0"/>
                      <a:ext cx="5503598" cy="3669065"/>
                    </a:xfrm>
                    <a:prstGeom prst="rect">
                      <a:avLst/>
                    </a:prstGeom>
                    <a:noFill/>
                    <a:ln w="9525">
                      <a:noFill/>
                      <a:headEnd/>
                      <a:tailEnd/>
                    </a:ln>
                  </pic:spPr>
                </pic:pic>
              </a:graphicData>
            </a:graphic>
          </wp:inline>
        </w:drawing>
      </w:r>
    </w:p>
    <w:bookmarkEnd w:id="107"/>
    <w:p>
      <w:pPr>
        <w:pStyle w:val="FigureNote"/>
      </w:pPr>
      <w:r>
        <w:rPr>
          <w:i/>
          <w:iCs/>
        </w:rPr>
        <w:t xml:space="preserve">Note</w:t>
      </w:r>
      <w:r>
        <w:t xml:space="preserve">. The figure illustrates the effect of linking the latent externalizing problems scores, θ, across ages, using developmental scaling. The left panel illustrates the test characteristic curves representing the model-implied proportion out of total possible scores across the latent externalizing problems score at age 4 and 5, before the linking process. The right panel illustrates the test characteristic curves after the linking process. The shading between the age 4 and age 5 test characteristic curves represents differences between the two test characteristic curves in terms of discrimination and/or severity, where larger differences reflect scores that are less comparable. Linking minimizes differences between the discrimination and severity of the age-common items. Discrimination is depicted by the steepness of the slope at the inflection point of the test characteristic curve. Severity is represented by the value on the x-axis at the inflection point of the test characteristic curve. The left panel indicates that the externalizing problem items showed higher severity (i.e., its inflection point is further right) and somewhat stronger discrimination (i.e., its slope is steeper) at age 5 than at age 4. The right panel shows considerably smaller differences between the two test characteristic curves, which provides empirical evidence that the linking successfully placed the latent externalizing problem scores across age on a more comparable scale (i.e., more similar discrimination and severity of the age-common items). (Figure reprinted from</w:t>
      </w:r>
      <w:r>
        <w:t xml:space="preserve"> </w:t>
      </w:r>
      <w:r>
        <w:t xml:space="preserve">Petersen and LeBeau (</w:t>
      </w:r>
      <w:hyperlink w:anchor="ref-Petersen2021b">
        <w:r>
          <w:rPr>
            <w:rStyle w:val="Hyperlink"/>
          </w:rPr>
          <w:t xml:space="preserve">2021</w:t>
        </w:r>
      </w:hyperlink>
      <w:r>
        <w:t xml:space="preserve">)</w:t>
      </w:r>
      <w:r>
        <w:t xml:space="preserve">, Figure 1, p. 74. 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08">
        <w:r>
          <w:rPr>
            <w:rStyle w:val="Hyperlink"/>
          </w:rPr>
          <w:t xml:space="preserve">https://doi.org/10.1037/edu0000461</w:t>
        </w:r>
      </w:hyperlink>
      <w:r>
        <w:t xml:space="preserve">).</w:t>
      </w:r>
    </w:p>
    <w:p>
      <w:pPr>
        <w:pStyle w:val="BodyText"/>
      </w:pPr>
      <w:r>
        <w:t xml:space="preserve">Nevertheless, for many of these approaches, at least one anchor item is necessary to link the scale of the latent factor across timepoints</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Moreover, when treating time continuously, the functional form of any DIF as a function of time must be correctly specified</w:t>
      </w:r>
      <w:r>
        <w:t xml:space="preserve"> </w:t>
      </w:r>
      <w:r>
        <w:t xml:space="preserve">(</w:t>
      </w:r>
      <w:hyperlink w:anchor="ref-ChenPM">
        <w:r>
          <w:rPr>
            <w:rStyle w:val="Hyperlink"/>
          </w:rPr>
          <w:t xml:space="preserve">S. M. Chen &amp; Bauer, in pressb</w:t>
        </w:r>
      </w:hyperlink>
      <w:r>
        <w:t xml:space="preserve">)</w:t>
      </w:r>
      <w:r>
        <w:t xml:space="preserve">.</w:t>
      </w:r>
    </w:p>
    <w:bookmarkEnd w:id="109"/>
    <w:bookmarkEnd w:id="110"/>
    <w:bookmarkStart w:id="125" w:name="other-key-challenges-to-address"/>
    <w:p>
      <w:pPr>
        <w:pStyle w:val="Heading1"/>
      </w:pPr>
      <w:r>
        <w:t xml:space="preserve">Other Key Challenges to Address</w:t>
      </w:r>
    </w:p>
    <w:bookmarkStart w:id="120" w:name="sec-potential-confounds-of-change"/>
    <w:p>
      <w:pPr>
        <w:pStyle w:val="Heading2"/>
      </w:pPr>
      <w:r>
        <w:t xml:space="preserve">Potential Confounds of Change</w:t>
      </w:r>
    </w:p>
    <w:bookmarkStart w:id="111" w:name="practiceretest-effects"/>
    <w:p>
      <w:pPr>
        <w:pStyle w:val="Heading3"/>
      </w:pPr>
      <w:r>
        <w:t xml:space="preserve">Practice/Retest Effects</w:t>
      </w:r>
    </w:p>
    <w:bookmarkEnd w:id="111"/>
    <w:bookmarkStart w:id="117" w:name="period-and-cohort-effects"/>
    <w:p>
      <w:pPr>
        <w:pStyle w:val="Heading3"/>
      </w:pPr>
      <w:r>
        <w:t xml:space="preserve">Period and Cohort Effects</w:t>
      </w:r>
    </w:p>
    <w:p>
      <w:pPr>
        <w:pStyle w:val="FirstParagraph"/>
      </w:pPr>
      <w:r>
        <w:t xml:space="preserve">Various types of cross-sectional and longitudinal designs are depicted in</w:t>
      </w:r>
      <w:r>
        <w:t xml:space="preserve"> </w:t>
      </w:r>
      <w:hyperlink w:anchor="fig-longitudinalDesigns">
        <w:r>
          <w:rPr>
            <w:rStyle w:val="Hyperlink"/>
          </w:rPr>
          <w:t xml:space="preserve">Figure 10</w:t>
        </w:r>
      </w:hyperlink>
      <w:r>
        <w:t xml:space="preserve">.</w:t>
      </w:r>
    </w:p>
    <w:bookmarkStart w:id="115" w:name="fig-longitudinalDesigns"/>
    <w:p>
      <w:pPr>
        <w:pStyle w:val="FigureTitle"/>
      </w:pPr>
      <w:r>
        <w:t xml:space="preserve">Figure 10</w:t>
      </w:r>
    </w:p>
    <w:p>
      <w:pPr>
        <w:pStyle w:val="Caption"/>
      </w:pPr>
      <w:r>
        <w:t xml:space="preserve">Research Designs by Time of Measurement and Cohort</w:t>
      </w:r>
    </w:p>
    <w:p>
      <w:pPr>
        <w:pStyle w:val="FigureWithNote"/>
      </w:pPr>
      <w:r>
        <w:drawing>
          <wp:inline>
            <wp:extent cx="5943600" cy="6619717"/>
            <wp:effectExtent b="0" l="0" r="0" t="0"/>
            <wp:docPr descr="" title="" id="113" name="Picture"/>
            <a:graphic>
              <a:graphicData uri="http://schemas.openxmlformats.org/drawingml/2006/picture">
                <pic:pic>
                  <pic:nvPicPr>
                    <pic:cNvPr descr="Figures/longitudinalDesigns.png" id="114" name="Picture"/>
                    <pic:cNvPicPr>
                      <a:picLocks noChangeArrowheads="1" noChangeAspect="1"/>
                    </pic:cNvPicPr>
                  </pic:nvPicPr>
                  <pic:blipFill>
                    <a:blip r:embed="rId112"/>
                    <a:stretch>
                      <a:fillRect/>
                    </a:stretch>
                  </pic:blipFill>
                  <pic:spPr bwMode="auto">
                    <a:xfrm>
                      <a:off x="0" y="0"/>
                      <a:ext cx="5943600" cy="6619717"/>
                    </a:xfrm>
                    <a:prstGeom prst="rect">
                      <a:avLst/>
                    </a:prstGeom>
                    <a:noFill/>
                    <a:ln w="9525">
                      <a:noFill/>
                      <a:headEnd/>
                      <a:tailEnd/>
                    </a:ln>
                  </pic:spPr>
                </pic:pic>
              </a:graphicData>
            </a:graphic>
          </wp:inline>
        </w:drawing>
      </w:r>
    </w:p>
    <w:bookmarkEnd w:id="115"/>
    <w:p>
      <w:pPr>
        <w:pStyle w:val="FigureNote"/>
      </w:pPr>
      <w:r>
        <w:rPr>
          <w:i/>
          <w:iCs/>
        </w:rPr>
        <w:t xml:space="preserve">Note</w:t>
      </w:r>
      <w:r>
        <w:t xml:space="preserve">. Values in the cells are ages of the participants. Dashed line indicates different participants were assessed at each time of measurement. (Figure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16">
        <w:r>
          <w:rPr>
            <w:rStyle w:val="Hyperlink"/>
          </w:rPr>
          <w:t xml:space="preserve">https://doi.org/10.25820/work.007199</w:t>
        </w:r>
      </w:hyperlink>
      <w:r>
        <w:t xml:space="preserve">).</w:t>
      </w:r>
    </w:p>
    <w:bookmarkEnd w:id="117"/>
    <w:bookmarkStart w:id="118" w:name="measurement-error"/>
    <w:p>
      <w:pPr>
        <w:pStyle w:val="Heading3"/>
      </w:pPr>
      <w:r>
        <w:t xml:space="preserve">Measurement Error</w:t>
      </w:r>
    </w:p>
    <w:bookmarkEnd w:id="118"/>
    <w:bookmarkStart w:id="119" w:name="change-in-meaning-of-the-scores"/>
    <w:p>
      <w:pPr>
        <w:pStyle w:val="Heading3"/>
      </w:pPr>
      <w:r>
        <w:t xml:space="preserve">Change in Meaning of the Scores</w:t>
      </w:r>
    </w:p>
    <w:bookmarkEnd w:id="119"/>
    <w:bookmarkEnd w:id="120"/>
    <w:bookmarkStart w:id="122" w:name="factorial-invariance-across-time"/>
    <w:p>
      <w:pPr>
        <w:pStyle w:val="Heading2"/>
      </w:pPr>
      <w:r>
        <w:t xml:space="preserve">Factorial Invariance Across Time</w:t>
      </w:r>
    </w:p>
    <w:p>
      <w:pPr>
        <w:pStyle w:val="FirstParagraph"/>
      </w:pPr>
      <w:r>
        <w:t xml:space="preserve">Traditionally, it had been considered necessary to establish factorial invariance</w:t>
      </w:r>
      <w:r>
        <w:rPr>
          <w:rStyle w:val="FootnoteReference"/>
        </w:rPr>
        <w:footnoteReference w:id="121"/>
      </w:r>
      <w:r>
        <w:t xml:space="preserve"> </w:t>
      </w:r>
      <w:r>
        <w:t xml:space="preserve">of the measure(s) across time—that is, the measure(s) assess the construct in the same way across time—to study individuals’ change in those constructs</w:t>
      </w:r>
      <w:r>
        <w:t xml:space="preserve"> </w:t>
      </w:r>
      <w:r>
        <w:t xml:space="preserve">(</w:t>
      </w:r>
      <w:hyperlink w:anchor="ref-Widaman2010">
        <w:r>
          <w:rPr>
            <w:rStyle w:val="Hyperlink"/>
          </w:rPr>
          <w:t xml:space="preserve">Widaman et al., 2010</w:t>
        </w:r>
      </w:hyperlink>
      <w:r>
        <w:t xml:space="preserve">)</w:t>
      </w:r>
      <w:r>
        <w:t xml:space="preserve">.</w:t>
      </w:r>
      <w:r>
        <w:t xml:space="preserve"> </w:t>
      </w:r>
      <w:r>
        <w:t xml:space="preserve">As described earlier, a goal of longitudinal factorial invariance is to increase confidence that the latent factor at multiple timepoints is on the same scale so that meaningful changes in people’s level can be observed.</w:t>
      </w:r>
      <w:r>
        <w:t xml:space="preserve"> </w:t>
      </w:r>
      <w:r>
        <w:t xml:space="preserve">In particular, it had been considered necessary to establish at least strong factorial invariance—i.e., invariance of intercepts and factor loadings in factor analysis, or invariance of difficulty and discrimination in item response theory.</w:t>
      </w:r>
      <w:r>
        <w:t xml:space="preserve"> </w:t>
      </w:r>
      <w:r>
        <w:t xml:space="preserve">Otherwise, a researcher may wrongly conclude that levels in the construct change over time when the apparent changes in the observed scores (and the latent variables) are driven by noninvariant loadings and/or intercepts for one or more items</w:t>
      </w:r>
      <w:r>
        <w:t xml:space="preserve"> </w:t>
      </w:r>
      <w:r>
        <w:t xml:space="preserve">(</w:t>
      </w:r>
      <w:hyperlink w:anchor="ref-Lai2023">
        <w:r>
          <w:rPr>
            <w:rStyle w:val="Hyperlink"/>
          </w:rPr>
          <w:t xml:space="preserve">Lai, 2023</w:t>
        </w:r>
      </w:hyperlink>
      <w:r>
        <w:t xml:space="preserve">)</w:t>
      </w:r>
      <w:r>
        <w:t xml:space="preserve">.</w:t>
      </w:r>
      <w:r>
        <w:t xml:space="preserve"> </w:t>
      </w:r>
      <w:r>
        <w:t xml:space="preserve">However, it is now understood that violations of longitudinal factorial invariance do not mean that questions of change cannot be answered</w:t>
      </w:r>
      <w:r>
        <w:t xml:space="preserve"> </w:t>
      </w:r>
      <w:r>
        <w:t xml:space="preserve">(</w:t>
      </w:r>
      <w:hyperlink w:anchor="ref-Lai2023">
        <w:r>
          <w:rPr>
            <w:rStyle w:val="Hyperlink"/>
          </w:rPr>
          <w:t xml:space="preserve">Lai, 2023</w:t>
        </w:r>
      </w:hyperlink>
      <w:r>
        <w:t xml:space="preserve">)</w:t>
      </w:r>
      <w:r>
        <w:t xml:space="preserve">.</w:t>
      </w:r>
      <w:r>
        <w:t xml:space="preserve"> </w:t>
      </w:r>
      <w:r>
        <w:t xml:space="preserve">Strong factorial invariance frequently does not hold, so in such situations it is necessary to adjust for noninvariance</w:t>
      </w:r>
      <w:r>
        <w:t xml:space="preserve"> </w:t>
      </w:r>
      <w:r>
        <w:t xml:space="preserve">(</w:t>
      </w:r>
      <w:hyperlink w:anchor="ref-Lai2023">
        <w:r>
          <w:rPr>
            <w:rStyle w:val="Hyperlink"/>
          </w:rPr>
          <w:t xml:space="preserve">Lai, 2023</w:t>
        </w:r>
      </w:hyperlink>
      <w:r>
        <w:t xml:space="preserve">)</w:t>
      </w:r>
      <w:r>
        <w:t xml:space="preserve">.</w:t>
      </w:r>
    </w:p>
    <w:p>
      <w:pPr>
        <w:pStyle w:val="BodyText"/>
      </w:pPr>
      <w:r>
        <w:t xml:space="preserve">In general, at least partial strong factorial invariance (i.e., invariance of intercepts and factor loadings for a subset of items—the anchor items) is often considered a requirement for modeling individuals’ change, such that the more items that show invariance, the greater the confidence that the latent factor is on a comparable scale at each age for examining individuals’ change.</w:t>
      </w:r>
      <w:r>
        <w:t xml:space="preserve"> </w:t>
      </w:r>
      <w:r>
        <w:t xml:space="preserve">However, even that requirement is inaccurate.</w:t>
      </w:r>
      <w:r>
        <w:t xml:space="preserve"> </w:t>
      </w:r>
      <w:r>
        <w:t xml:space="preserve">As noted by Hancock</w:t>
      </w:r>
      <w:r>
        <w:t xml:space="preserve"> </w:t>
      </w:r>
      <w:r>
        <w:t xml:space="preserve">(</w:t>
      </w:r>
      <w:hyperlink w:anchor="ref-QuantitudeS3E18">
        <w:r>
          <w:rPr>
            <w:rStyle w:val="Hyperlink"/>
          </w:rPr>
          <w:t xml:space="preserve">2022</w:t>
        </w:r>
      </w:hyperlink>
      <w:r>
        <w:t xml:space="preserve">)</w:t>
      </w:r>
      <w:r>
        <w:t xml:space="preserve">, to model differences in latent means (e.g., change over time), you do not need invariance;</w:t>
      </w:r>
      <w:r>
        <w:t xml:space="preserve"> </w:t>
      </w:r>
      <w:r>
        <w:t xml:space="preserve">“you need to have a model that is correct…That means that…you are modeling [items’] invariance properly.”</w:t>
      </w:r>
      <w:r>
        <w:t xml:space="preserve"> </w:t>
      </w:r>
      <w:r>
        <w:t xml:space="preserve">Theoretical considerations are crucial and establishing even partial longitudinal factorial invariance may not be required when the construct shows heterotypic continuity</w:t>
      </w:r>
      <w:r>
        <w:t xml:space="preserve"> </w:t>
      </w:r>
      <w:r>
        <w:t xml:space="preserve">(</w:t>
      </w:r>
      <w:hyperlink w:anchor="ref-Knight2010">
        <w:r>
          <w:rPr>
            <w:rStyle w:val="Hyperlink"/>
          </w:rPr>
          <w:t xml:space="preserve">Knight &amp; Zerr, 2010</w:t>
        </w:r>
      </w:hyperlink>
      <w:r>
        <w:t xml:space="preserve">;</w:t>
      </w:r>
      <w:r>
        <w:t xml:space="preserve"> </w:t>
      </w:r>
      <w:hyperlink w:anchor="ref-Petersen2020">
        <w:r>
          <w:rPr>
            <w:rStyle w:val="Hyperlink"/>
          </w:rPr>
          <w:t xml:space="preserve">Petersen et al., 2020</w:t>
        </w:r>
      </w:hyperlink>
      <w:r>
        <w:t xml:space="preserve">)</w:t>
      </w:r>
      <w:r>
        <w:t xml:space="preserve">.</w:t>
      </w:r>
      <w:r>
        <w:t xml:space="preserve"> </w:t>
      </w:r>
      <w:r>
        <w:t xml:space="preserve">When the construct changes in manifestation, models with failed longitudinal factorial invariance can yield valid inferences.</w:t>
      </w:r>
      <w:r>
        <w:t xml:space="preserve"> </w:t>
      </w:r>
      <w:r>
        <w:t xml:space="preserve">For instance, simulation work demonstrated that IRT linking approaches accurately captured changes in level on the latent factor even in the present of DIF and changing dimensionality</w:t>
      </w:r>
      <w:r>
        <w:t xml:space="preserve"> </w:t>
      </w:r>
      <w:r>
        <w:t xml:space="preserve">(</w:t>
      </w:r>
      <w:hyperlink w:anchor="ref-Edwards2012">
        <w:r>
          <w:rPr>
            <w:rStyle w:val="Hyperlink"/>
          </w:rPr>
          <w:t xml:space="preserve">Edwards &amp; Wirth, 2012</w:t>
        </w:r>
      </w:hyperlink>
      <w:r>
        <w:t xml:space="preserve">)</w:t>
      </w:r>
      <w:r>
        <w:t xml:space="preserve">.</w:t>
      </w:r>
    </w:p>
    <w:p>
      <w:pPr>
        <w:pStyle w:val="BodyText"/>
      </w:pPr>
      <w:r>
        <w:t xml:space="preserve">There are multiple ways of handling noninvariance as described above, including alignment optimization, MNLFA, and IRT-based linking.</w:t>
      </w:r>
      <w:r>
        <w:t xml:space="preserve"> </w:t>
      </w:r>
      <w:r>
        <w:t xml:space="preserve">In addition, another approach is to allow approximate factorial invariance.</w:t>
      </w:r>
      <w:r>
        <w:t xml:space="preserve"> </w:t>
      </w:r>
      <w:r>
        <w:t xml:space="preserve">Approximate measurement invariance allows invariance parameters to have small amount of noninvariance rather than fixing invariance parameters to zero</w:t>
      </w:r>
      <w:r>
        <w:t xml:space="preserve"> </w:t>
      </w:r>
      <w:r>
        <w:t xml:space="preserve">(</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is more accurate than full or partial measurement invariance for estimating true latent mean differences when there are many small differences in the intercepts and factor loadings</w:t>
      </w:r>
      <w:r>
        <w:t xml:space="preserve"> </w:t>
      </w:r>
      <w:r>
        <w:t xml:space="preserve">(</w:t>
      </w:r>
      <w:hyperlink w:anchor="ref-Cieciuch2014">
        <w:r>
          <w:rPr>
            <w:rStyle w:val="Hyperlink"/>
          </w:rPr>
          <w:t xml:space="preserve">Cieciuch et al., 2014</w:t>
        </w:r>
      </w:hyperlink>
      <w:r>
        <w:t xml:space="preserve">;</w:t>
      </w:r>
      <w:r>
        <w:t xml:space="preserve"> </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has also been applied in the longitudinal context</w:t>
      </w:r>
      <w:r>
        <w:t xml:space="preserve"> </w:t>
      </w:r>
      <w:r>
        <w:t xml:space="preserve">(e.g.,</w:t>
      </w:r>
      <w:r>
        <w:t xml:space="preserve"> </w:t>
      </w:r>
      <w:hyperlink w:anchor="ref-Seddig2018">
        <w:r>
          <w:rPr>
            <w:rStyle w:val="Hyperlink"/>
          </w:rPr>
          <w:t xml:space="preserve">Seddig &amp; Leitgöb, 2018</w:t>
        </w:r>
      </w:hyperlink>
      <w:r>
        <w:t xml:space="preserve">;</w:t>
      </w:r>
      <w:r>
        <w:t xml:space="preserve"> </w:t>
      </w:r>
      <w:hyperlink w:anchor="ref-Winter2020">
        <w:r>
          <w:rPr>
            <w:rStyle w:val="Hyperlink"/>
          </w:rPr>
          <w:t xml:space="preserve">Winter &amp; Depaoli, 2020</w:t>
        </w:r>
      </w:hyperlink>
      <w:r>
        <w:t xml:space="preserve">)</w:t>
      </w:r>
      <w:r>
        <w:t xml:space="preserve">.</w:t>
      </w:r>
      <w:r>
        <w:t xml:space="preserve"> </w:t>
      </w:r>
      <w:r>
        <w:t xml:space="preserve">Robitzsch and Lüdtke</w:t>
      </w:r>
      <w:r>
        <w:t xml:space="preserve"> </w:t>
      </w:r>
      <w:r>
        <w:t xml:space="preserve">(</w:t>
      </w:r>
      <w:hyperlink w:anchor="ref-Robitzsch2023">
        <w:r>
          <w:rPr>
            <w:rStyle w:val="Hyperlink"/>
          </w:rPr>
          <w:t xml:space="preserve">2023, p. 859</w:t>
        </w:r>
      </w:hyperlink>
      <w:r>
        <w:t xml:space="preserve">)</w:t>
      </w:r>
      <w:r>
        <w:t xml:space="preserve"> </w:t>
      </w:r>
      <w:r>
        <w:t xml:space="preserve">argue that establishing factorial invariance is neither necessary nor sufficient for comparing latent means, and they note that</w:t>
      </w:r>
      <w:r>
        <w:t xml:space="preserve"> </w:t>
      </w:r>
      <w:r>
        <w:t xml:space="preserve">“there is no support for preferring the partial invariance approach over competing approaches, such as invariance alignment, robust linking, or Bayesian approximate invariance.”</w:t>
      </w:r>
    </w:p>
    <w:bookmarkEnd w:id="122"/>
    <w:bookmarkStart w:id="123" w:name="integration-across-multiple-sources"/>
    <w:p>
      <w:pPr>
        <w:pStyle w:val="Heading2"/>
      </w:pPr>
      <w:r>
        <w:t xml:space="preserve">Integration Across Multiple Sources</w:t>
      </w:r>
    </w:p>
    <w:bookmarkEnd w:id="123"/>
    <w:bookmarkStart w:id="124" w:name="obsolescence-of-items-and-measures"/>
    <w:p>
      <w:pPr>
        <w:pStyle w:val="Heading2"/>
      </w:pPr>
      <w:r>
        <w:t xml:space="preserve">Obsolescence of Items and Measures</w:t>
      </w:r>
    </w:p>
    <w:bookmarkEnd w:id="124"/>
    <w:bookmarkEnd w:id="125"/>
    <w:bookmarkStart w:id="126"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manuscript focuses on development of psychopathology, the principles discussed likely apply to many other developmental domains.</w:t>
      </w:r>
    </w:p>
    <w:bookmarkEnd w:id="126"/>
    <w:bookmarkStart w:id="370" w:name="references"/>
    <w:p>
      <w:pPr>
        <w:pStyle w:val="Heading1"/>
      </w:pPr>
      <w:r>
        <w:t xml:space="preserve">References</w:t>
      </w:r>
    </w:p>
    <w:bookmarkStart w:id="369" w:name="refs"/>
    <w:bookmarkStart w:id="128"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Vols. 2: Testing and Assessment in Clinical and Counseling Psychology</w:t>
      </w:r>
      <w:r>
        <w:t xml:space="preserve"> </w:t>
      </w:r>
      <w:r>
        <w:t xml:space="preserve">(pp. 119–132). American Psychological Association.</w:t>
      </w:r>
      <w:r>
        <w:t xml:space="preserve"> </w:t>
      </w:r>
      <w:hyperlink r:id="rId127">
        <w:r>
          <w:rPr>
            <w:rStyle w:val="Hyperlink"/>
          </w:rPr>
          <w:t xml:space="preserve">https://doi.org/10.1037/14048-008</w:t>
        </w:r>
      </w:hyperlink>
    </w:p>
    <w:bookmarkEnd w:id="128"/>
    <w:bookmarkStart w:id="129"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29"/>
    <w:bookmarkStart w:id="131" w:name="ref-ApplegateInPress"/>
    <w:p>
      <w:pPr>
        <w:pStyle w:val="Bibliography"/>
      </w:pPr>
      <w:r>
        <w:t xml:space="preserve">Applegate, B., &amp; Lahey, B. B. (in press). Mapping persistence and change in psychological problems during the transition to adolescence: Adding, subtracting, shifting, and persisting.</w:t>
      </w:r>
      <w:r>
        <w:t xml:space="preserve"> </w:t>
      </w:r>
      <w:r>
        <w:rPr>
          <w:i/>
          <w:iCs/>
        </w:rPr>
        <w:t xml:space="preserve">JCPP Advances</w:t>
      </w:r>
      <w:r>
        <w:t xml:space="preserve">, e70043.</w:t>
      </w:r>
      <w:r>
        <w:t xml:space="preserve"> </w:t>
      </w:r>
      <w:hyperlink r:id="rId130">
        <w:r>
          <w:rPr>
            <w:rStyle w:val="Hyperlink"/>
          </w:rPr>
          <w:t xml:space="preserve">https://doi.org/10.1002/jcv2.70043</w:t>
        </w:r>
      </w:hyperlink>
    </w:p>
    <w:bookmarkEnd w:id="131"/>
    <w:bookmarkStart w:id="133"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32">
        <w:r>
          <w:rPr>
            <w:rStyle w:val="Hyperlink"/>
          </w:rPr>
          <w:t xml:space="preserve">https://doi.org/10.1016/j.jpsychires.2013.08.016</w:t>
        </w:r>
      </w:hyperlink>
    </w:p>
    <w:bookmarkEnd w:id="133"/>
    <w:bookmarkStart w:id="135" w:name="ref-Bauer2017"/>
    <w:p>
      <w:pPr>
        <w:pStyle w:val="Bibliography"/>
      </w:pPr>
      <w:r>
        <w:t xml:space="preserve">Bauer, D. J. (2017). A more general model for testing measurement invariance and differential item functioning.</w:t>
      </w:r>
      <w:r>
        <w:t xml:space="preserve"> </w:t>
      </w:r>
      <w:r>
        <w:rPr>
          <w:i/>
          <w:iCs/>
        </w:rPr>
        <w:t xml:space="preserve">Psychological Methods</w:t>
      </w:r>
      <w:r>
        <w:t xml:space="preserve">,</w:t>
      </w:r>
      <w:r>
        <w:t xml:space="preserve"> </w:t>
      </w:r>
      <w:r>
        <w:rPr>
          <w:i/>
          <w:iCs/>
        </w:rPr>
        <w:t xml:space="preserve">22</w:t>
      </w:r>
      <w:r>
        <w:t xml:space="preserve">(3), 507–526.</w:t>
      </w:r>
      <w:r>
        <w:t xml:space="preserve"> </w:t>
      </w:r>
      <w:hyperlink r:id="rId134">
        <w:r>
          <w:rPr>
            <w:rStyle w:val="Hyperlink"/>
          </w:rPr>
          <w:t xml:space="preserve">https://doi.org/10.1037/met0000077</w:t>
        </w:r>
      </w:hyperlink>
    </w:p>
    <w:bookmarkEnd w:id="135"/>
    <w:bookmarkStart w:id="137" w:name="ref-Berluti2026"/>
    <w:p>
      <w:pPr>
        <w:pStyle w:val="Bibliography"/>
      </w:pPr>
      <w:r>
        <w:t xml:space="preserve">Berluti, K., Amormino, P., Potter, A., Wshah, S., &amp; Marsh, A. (2026). Machine learning prediction of conduct problems in children using the longitudinal ABCD study.</w:t>
      </w:r>
      <w:r>
        <w:t xml:space="preserve"> </w:t>
      </w:r>
      <w:r>
        <w:rPr>
          <w:i/>
          <w:iCs/>
        </w:rPr>
        <w:t xml:space="preserve">Journal of Child Psychology and Psychiatry</w:t>
      </w:r>
      <w:r>
        <w:t xml:space="preserve">,</w:t>
      </w:r>
      <w:r>
        <w:t xml:space="preserve"> </w:t>
      </w:r>
      <w:r>
        <w:rPr>
          <w:i/>
          <w:iCs/>
        </w:rPr>
        <w:t xml:space="preserve">67</w:t>
      </w:r>
      <w:r>
        <w:t xml:space="preserve">(3), 390–399.</w:t>
      </w:r>
      <w:r>
        <w:t xml:space="preserve"> </w:t>
      </w:r>
      <w:hyperlink r:id="rId136">
        <w:r>
          <w:rPr>
            <w:rStyle w:val="Hyperlink"/>
          </w:rPr>
          <w:t xml:space="preserve">https://doi.org/10.1111/jcpp.70057</w:t>
        </w:r>
      </w:hyperlink>
    </w:p>
    <w:bookmarkEnd w:id="137"/>
    <w:bookmarkStart w:id="139" w:name="ref-Bista2025"/>
    <w:p>
      <w:pPr>
        <w:pStyle w:val="Bibliography"/>
      </w:pPr>
      <w:r>
        <w:t xml:space="preserve">Bista, S., Graham, P. L., Kang, M., Lin, A., Lymer, S., Marino, J. L., Robinson, M., Skinner, S. R., Steinbeck, K., Straker, L. M., &amp; Tait, R. J. (2025). Joint developmental trajectories of internalizing and externalizing problems from mid-childhood to late adolescence and childhood risk factors: Findings from a prospective pre-birth cohort.</w:t>
      </w:r>
      <w:r>
        <w:t xml:space="preserve"> </w:t>
      </w:r>
      <w:r>
        <w:rPr>
          <w:i/>
          <w:iCs/>
        </w:rPr>
        <w:t xml:space="preserve">Development and Psychopathology</w:t>
      </w:r>
      <w:r>
        <w:t xml:space="preserve">,</w:t>
      </w:r>
      <w:r>
        <w:t xml:space="preserve"> </w:t>
      </w:r>
      <w:r>
        <w:rPr>
          <w:i/>
          <w:iCs/>
        </w:rPr>
        <w:t xml:space="preserve">37</w:t>
      </w:r>
      <w:r>
        <w:t xml:space="preserve">(1), 176–191.</w:t>
      </w:r>
      <w:r>
        <w:t xml:space="preserve"> </w:t>
      </w:r>
      <w:hyperlink r:id="rId138">
        <w:r>
          <w:rPr>
            <w:rStyle w:val="Hyperlink"/>
          </w:rPr>
          <w:t xml:space="preserve">https://doi.org/10.1017/S0954579423001505</w:t>
        </w:r>
      </w:hyperlink>
    </w:p>
    <w:bookmarkEnd w:id="139"/>
    <w:bookmarkStart w:id="141"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40">
        <w:r>
          <w:rPr>
            <w:rStyle w:val="Hyperlink"/>
          </w:rPr>
          <w:t xml:space="preserve">https://doi.org/10.1016/j.jaac.2017.05.019</w:t>
        </w:r>
      </w:hyperlink>
    </w:p>
    <w:bookmarkEnd w:id="141"/>
    <w:bookmarkStart w:id="143" w:name="ref-Bongers2004"/>
    <w:p>
      <w:pPr>
        <w:pStyle w:val="Bibliography"/>
      </w:pPr>
      <w:r>
        <w:t xml:space="preserve">Bongers, I. L., Koot, H. M., Ende, J. van der, &amp; Verhulst, F. C. (2004). Developmental trajectories of externalizing behaviors in childhood and adolescence.</w:t>
      </w:r>
      <w:r>
        <w:t xml:space="preserve"> </w:t>
      </w:r>
      <w:r>
        <w:rPr>
          <w:i/>
          <w:iCs/>
        </w:rPr>
        <w:t xml:space="preserve">Child Development</w:t>
      </w:r>
      <w:r>
        <w:t xml:space="preserve">,</w:t>
      </w:r>
      <w:r>
        <w:t xml:space="preserve"> </w:t>
      </w:r>
      <w:r>
        <w:rPr>
          <w:i/>
          <w:iCs/>
        </w:rPr>
        <w:t xml:space="preserve">75</w:t>
      </w:r>
      <w:r>
        <w:t xml:space="preserve">(5), 1523–1537.</w:t>
      </w:r>
      <w:r>
        <w:t xml:space="preserve"> </w:t>
      </w:r>
      <w:hyperlink r:id="rId142">
        <w:r>
          <w:rPr>
            <w:rStyle w:val="Hyperlink"/>
          </w:rPr>
          <w:t xml:space="preserve">https://doi.org/10.1111/j.1467-8624.2004.00755.x</w:t>
        </w:r>
      </w:hyperlink>
    </w:p>
    <w:bookmarkEnd w:id="143"/>
    <w:bookmarkStart w:id="145"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Vols. 1: Theory and Method</w:t>
      </w:r>
      <w:r>
        <w:t xml:space="preserve"> </w:t>
      </w:r>
      <w:r>
        <w:t xml:space="preserve">(pp. 1–45).</w:t>
      </w:r>
      <w:r>
        <w:t xml:space="preserve"> </w:t>
      </w:r>
      <w:hyperlink r:id="rId144">
        <w:r>
          <w:rPr>
            <w:rStyle w:val="Hyperlink"/>
          </w:rPr>
          <w:t xml:space="preserve">https://doi.org/10.1002/9781119125556.devpsy101</w:t>
        </w:r>
      </w:hyperlink>
    </w:p>
    <w:bookmarkEnd w:id="145"/>
    <w:bookmarkStart w:id="147" w:name="ref-Broeren2013"/>
    <w:p>
      <w:pPr>
        <w:pStyle w:val="Bibliography"/>
      </w:pPr>
      <w:r>
        <w:t xml:space="preserve">Broeren, S., Muris, P., Diamantopoulou, S., &amp; Baker, J. R. (2013). The course of childhood anxiety symptoms: Developmental 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46">
        <w:r>
          <w:rPr>
            <w:rStyle w:val="Hyperlink"/>
          </w:rPr>
          <w:t xml:space="preserve">https://doi.org/10.1007/s10802-012-9669-9</w:t>
        </w:r>
      </w:hyperlink>
    </w:p>
    <w:bookmarkEnd w:id="147"/>
    <w:bookmarkStart w:id="149" w:name="ref-Broidy2003"/>
    <w:p>
      <w:pPr>
        <w:pStyle w:val="Bibliography"/>
      </w:pPr>
      <w:r>
        <w:t xml:space="preserve">Broidy, L. M., Nagin, D. S., Tremblay, R. E., Bates, J. E., Brame, B., Dodge, K. A., Fergusson, D., Horwood, J. L., Loeber, R., Laird, R., Lynam, D. R., Moffitt, T. E., Pettit, G. S., &amp; Vitaro, F. (2003). Developmental trajectories of childhood disruptive behaviors and adolescent delinquency: A six-site, cross-national study.</w:t>
      </w:r>
      <w:r>
        <w:t xml:space="preserve"> </w:t>
      </w:r>
      <w:r>
        <w:rPr>
          <w:i/>
          <w:iCs/>
        </w:rPr>
        <w:t xml:space="preserve">Developmental Psychology</w:t>
      </w:r>
      <w:r>
        <w:t xml:space="preserve">,</w:t>
      </w:r>
      <w:r>
        <w:t xml:space="preserve"> </w:t>
      </w:r>
      <w:r>
        <w:rPr>
          <w:i/>
          <w:iCs/>
        </w:rPr>
        <w:t xml:space="preserve">39</w:t>
      </w:r>
      <w:r>
        <w:t xml:space="preserve">(2), 222–245.</w:t>
      </w:r>
      <w:r>
        <w:t xml:space="preserve"> </w:t>
      </w:r>
      <w:hyperlink r:id="rId148">
        <w:r>
          <w:rPr>
            <w:rStyle w:val="Hyperlink"/>
          </w:rPr>
          <w:t xml:space="preserve">https://doi.org/10.1037/0012-1649.39.2.222</w:t>
        </w:r>
      </w:hyperlink>
    </w:p>
    <w:bookmarkEnd w:id="149"/>
    <w:bookmarkStart w:id="151" w:name="ref-Burns2001"/>
    <w:p>
      <w:pPr>
        <w:pStyle w:val="Bibliography"/>
      </w:pPr>
      <w:r>
        <w:t xml:space="preserve">Burns, G. L., Walsh, J. A., Patterson, D. R., Holte, C. S., Sommers-Flanagan, R., &amp; Parker, C. M. (2001). Attention deficit and disruptive behavior disorder symptoms: Usefulness of a frequency count rating procedure to measure these symptoms.</w:t>
      </w:r>
      <w:r>
        <w:t xml:space="preserve"> </w:t>
      </w:r>
      <w:r>
        <w:rPr>
          <w:i/>
          <w:iCs/>
        </w:rPr>
        <w:t xml:space="preserve">European Journal of Psychological Assessment</w:t>
      </w:r>
      <w:r>
        <w:t xml:space="preserve">,</w:t>
      </w:r>
      <w:r>
        <w:t xml:space="preserve"> </w:t>
      </w:r>
      <w:r>
        <w:rPr>
          <w:i/>
          <w:iCs/>
        </w:rPr>
        <w:t xml:space="preserve">17</w:t>
      </w:r>
      <w:r>
        <w:t xml:space="preserve">(1), 25–35.</w:t>
      </w:r>
      <w:r>
        <w:t xml:space="preserve"> </w:t>
      </w:r>
      <w:hyperlink r:id="rId150">
        <w:r>
          <w:rPr>
            <w:rStyle w:val="Hyperlink"/>
          </w:rPr>
          <w:t xml:space="preserve">https://doi.org/10.1027/1015-5759.17.1.25</w:t>
        </w:r>
      </w:hyperlink>
    </w:p>
    <w:bookmarkEnd w:id="151"/>
    <w:bookmarkStart w:id="153" w:name="ref-Burt2012"/>
    <w:p>
      <w:pPr>
        <w:pStyle w:val="Bibliography"/>
      </w:pPr>
      <w:r>
        <w:t xml:space="preserve">Burt, S. A. (2012). How do we optimally conceptualize the heterogeneity within antisocial behavior? An 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52">
        <w:r>
          <w:rPr>
            <w:rStyle w:val="Hyperlink"/>
          </w:rPr>
          <w:t xml:space="preserve">https://doi.org/10.1016/j.cpr.2012.02.006</w:t>
        </w:r>
      </w:hyperlink>
    </w:p>
    <w:bookmarkEnd w:id="153"/>
    <w:bookmarkStart w:id="155"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54">
        <w:r>
          <w:rPr>
            <w:rStyle w:val="Hyperlink"/>
          </w:rPr>
          <w:t xml:space="preserve">https://doi.org/10.1001/jamanetworkopen.2020.3221</w:t>
        </w:r>
      </w:hyperlink>
    </w:p>
    <w:bookmarkEnd w:id="155"/>
    <w:bookmarkStart w:id="157"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 One 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56">
        <w:r>
          <w:rPr>
            <w:rStyle w:val="Hyperlink"/>
          </w:rPr>
          <w:t xml:space="preserve">https://doi.org/10.1177/2167702613497473</w:t>
        </w:r>
      </w:hyperlink>
    </w:p>
    <w:bookmarkEnd w:id="157"/>
    <w:bookmarkStart w:id="159"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r>
        <w:t xml:space="preserve"> </w:t>
      </w:r>
      <w:hyperlink r:id="rId158">
        <w:r>
          <w:rPr>
            <w:rStyle w:val="Hyperlink"/>
          </w:rPr>
          <w:t xml:space="preserve">https://doi.org/10.1002/9780470147658.chpsy0306</w:t>
        </w:r>
      </w:hyperlink>
    </w:p>
    <w:bookmarkEnd w:id="159"/>
    <w:bookmarkStart w:id="161"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60">
        <w:r>
          <w:rPr>
            <w:rStyle w:val="Hyperlink"/>
          </w:rPr>
          <w:t xml:space="preserve">https://doi.org/10.1007/s40865-015-0012-3</w:t>
        </w:r>
      </w:hyperlink>
    </w:p>
    <w:bookmarkEnd w:id="161"/>
    <w:bookmarkStart w:id="163" w:name="ref-ChenMBR"/>
    <w:p>
      <w:pPr>
        <w:pStyle w:val="Bibliography"/>
      </w:pPr>
      <w:r>
        <w:t xml:space="preserve">Chen, S. M., &amp; Bauer, D. J. (in pressa). Improving the evaluation of construct change over time: Advantages of longitudinal moderated nonlinear factor analysis over conventional first-order growth models.</w:t>
      </w:r>
      <w:r>
        <w:t xml:space="preserve"> </w:t>
      </w:r>
      <w:r>
        <w:rPr>
          <w:i/>
          <w:iCs/>
        </w:rPr>
        <w:t xml:space="preserve">Multivariate Behavioral Research</w:t>
      </w:r>
      <w:r>
        <w:t xml:space="preserve">, 1–27.</w:t>
      </w:r>
      <w:r>
        <w:t xml:space="preserve"> </w:t>
      </w:r>
      <w:hyperlink r:id="rId162">
        <w:r>
          <w:rPr>
            <w:rStyle w:val="Hyperlink"/>
          </w:rPr>
          <w:t xml:space="preserve">https://doi.org/10.1080/00273171.2026.2640576</w:t>
        </w:r>
      </w:hyperlink>
    </w:p>
    <w:bookmarkEnd w:id="163"/>
    <w:bookmarkStart w:id="165" w:name="ref-ChenPM"/>
    <w:p>
      <w:pPr>
        <w:pStyle w:val="Bibliography"/>
      </w:pPr>
      <w:r>
        <w:t xml:space="preserve">Chen, S. M., &amp; Bauer, D. J. (in pressb). Modeling construct change over time amidst potential changes in construct measurement: A longitudinal moderated factor analysis approach.</w:t>
      </w:r>
      <w:r>
        <w:t xml:space="preserve"> </w:t>
      </w:r>
      <w:r>
        <w:rPr>
          <w:i/>
          <w:iCs/>
        </w:rPr>
        <w:t xml:space="preserve">Psychological Methods</w:t>
      </w:r>
      <w:r>
        <w:t xml:space="preserve">.</w:t>
      </w:r>
      <w:r>
        <w:t xml:space="preserve"> </w:t>
      </w:r>
      <w:hyperlink r:id="rId164">
        <w:r>
          <w:rPr>
            <w:rStyle w:val="Hyperlink"/>
          </w:rPr>
          <w:t xml:space="preserve">https://doi.org/10.1037/met0000685</w:t>
        </w:r>
      </w:hyperlink>
    </w:p>
    <w:bookmarkEnd w:id="165"/>
    <w:bookmarkStart w:id="167"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r>
        <w:t xml:space="preserve"> </w:t>
      </w:r>
      <w:hyperlink r:id="rId166">
        <w:r>
          <w:rPr>
            <w:rStyle w:val="Hyperlink"/>
          </w:rPr>
          <w:t xml:space="preserve">https://doi.org/10.14283/jfa.2012.9</w:t>
        </w:r>
      </w:hyperlink>
    </w:p>
    <w:bookmarkEnd w:id="167"/>
    <w:bookmarkStart w:id="169"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68">
        <w:r>
          <w:rPr>
            <w:rStyle w:val="Hyperlink"/>
          </w:rPr>
          <w:t xml:space="preserve">https://doi.org/10.1037/0022-006X.70.1.6</w:t>
        </w:r>
      </w:hyperlink>
    </w:p>
    <w:bookmarkEnd w:id="169"/>
    <w:bookmarkStart w:id="171" w:name="ref-Cieciuch2014"/>
    <w:p>
      <w:pPr>
        <w:pStyle w:val="Bibliography"/>
      </w:pPr>
      <w:r>
        <w:t xml:space="preserve">Cieciuch, J., Davidov, E., Schmidt, P., Algesheimer, R., &amp; Schwartz, S. H. (2014). Comparing results of an exact vs. An approximate (bayesian) measurement invariance test: A cross-country illustration with a scale to measure 19 human values.</w:t>
      </w:r>
      <w:r>
        <w:t xml:space="preserve"> </w:t>
      </w:r>
      <w:r>
        <w:rPr>
          <w:i/>
          <w:iCs/>
        </w:rPr>
        <w:t xml:space="preserve">Frontiers in Psychology</w:t>
      </w:r>
      <w:r>
        <w:t xml:space="preserve">,</w:t>
      </w:r>
      <w:r>
        <w:t xml:space="preserve"> </w:t>
      </w:r>
      <w:r>
        <w:rPr>
          <w:i/>
          <w:iCs/>
        </w:rPr>
        <w:t xml:space="preserve">5</w:t>
      </w:r>
      <w:r>
        <w:t xml:space="preserve">(982).</w:t>
      </w:r>
      <w:r>
        <w:t xml:space="preserve"> </w:t>
      </w:r>
      <w:hyperlink r:id="rId170">
        <w:r>
          <w:rPr>
            <w:rStyle w:val="Hyperlink"/>
          </w:rPr>
          <w:t xml:space="preserve">https://doi.org/10.3389/fpsyg.2014.00982</w:t>
        </w:r>
      </w:hyperlink>
    </w:p>
    <w:bookmarkEnd w:id="171"/>
    <w:bookmarkStart w:id="173" w:name="ref-Coghill2012"/>
    <w:p>
      <w:pPr>
        <w:pStyle w:val="Bibliography"/>
      </w:pPr>
      <w:r>
        <w:t xml:space="preserve">Coghill, D., &amp; Sonuga-Barke, E. J. S. (2012). Annual research review: Categories 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72">
        <w:r>
          <w:rPr>
            <w:rStyle w:val="Hyperlink"/>
          </w:rPr>
          <w:t xml:space="preserve">https://doi.org/10.1111/j.1469-7610.2011.02511.x</w:t>
        </w:r>
      </w:hyperlink>
    </w:p>
    <w:bookmarkEnd w:id="173"/>
    <w:bookmarkStart w:id="175" w:name="ref-Culpepper2013"/>
    <w:p>
      <w:pPr>
        <w:pStyle w:val="Bibliography"/>
      </w:pPr>
      <w:r>
        <w:t xml:space="preserve">Culpepper, S. A. (2013). The reliability and precision of total scores and</w:t>
      </w:r>
      <w:r>
        <w:t xml:space="preserve"> </w:t>
      </w:r>
      <w:r>
        <w:t xml:space="preserve">IRT</w:t>
      </w:r>
      <w:r>
        <w:t xml:space="preserve"> </w:t>
      </w:r>
      <w:r>
        <w:t xml:space="preserve">estimates as a function of polytomous</w:t>
      </w:r>
      <w:r>
        <w:t xml:space="preserve"> </w:t>
      </w:r>
      <w:r>
        <w:t xml:space="preserve">IRT</w:t>
      </w:r>
      <w:r>
        <w:t xml:space="preserve"> </w:t>
      </w:r>
      <w:r>
        <w:t xml:space="preserve">parameters and latent trait distribution.</w:t>
      </w:r>
      <w:r>
        <w:t xml:space="preserve"> </w:t>
      </w:r>
      <w:r>
        <w:rPr>
          <w:i/>
          <w:iCs/>
        </w:rPr>
        <w:t xml:space="preserve">Applied Psychological Measurement</w:t>
      </w:r>
      <w:r>
        <w:t xml:space="preserve">,</w:t>
      </w:r>
      <w:r>
        <w:t xml:space="preserve"> </w:t>
      </w:r>
      <w:r>
        <w:rPr>
          <w:i/>
          <w:iCs/>
        </w:rPr>
        <w:t xml:space="preserve">37</w:t>
      </w:r>
      <w:r>
        <w:t xml:space="preserve">(3), 201–225.</w:t>
      </w:r>
      <w:r>
        <w:t xml:space="preserve"> </w:t>
      </w:r>
      <w:hyperlink r:id="rId174">
        <w:r>
          <w:rPr>
            <w:rStyle w:val="Hyperlink"/>
          </w:rPr>
          <w:t xml:space="preserve">https://doi.org/10.1177/0146621612470210</w:t>
        </w:r>
      </w:hyperlink>
    </w:p>
    <w:bookmarkEnd w:id="175"/>
    <w:bookmarkStart w:id="177" w:name="ref-Curran2014"/>
    <w:p>
      <w:pPr>
        <w:pStyle w:val="Bibliography"/>
      </w:pPr>
      <w:r>
        <w:t xml:space="preserve">Curran, P. J., McGinley, J. S., Bauer, D. J., Hussong, A. M., Burns, A., Chassin, L., Sher, K., &amp; Zucker, R. (2014). A moderated nonlinear factor model for the development of commensurate measures in integrative data analysis.</w:t>
      </w:r>
      <w:r>
        <w:t xml:space="preserve"> </w:t>
      </w:r>
      <w:r>
        <w:rPr>
          <w:i/>
          <w:iCs/>
        </w:rPr>
        <w:t xml:space="preserve">Multivariate Behavioral Research</w:t>
      </w:r>
      <w:r>
        <w:t xml:space="preserve">,</w:t>
      </w:r>
      <w:r>
        <w:t xml:space="preserve"> </w:t>
      </w:r>
      <w:r>
        <w:rPr>
          <w:i/>
          <w:iCs/>
        </w:rPr>
        <w:t xml:space="preserve">49</w:t>
      </w:r>
      <w:r>
        <w:t xml:space="preserve">(3), 214–231.</w:t>
      </w:r>
      <w:r>
        <w:t xml:space="preserve"> </w:t>
      </w:r>
      <w:hyperlink r:id="rId176">
        <w:r>
          <w:rPr>
            <w:rStyle w:val="Hyperlink"/>
          </w:rPr>
          <w:t xml:space="preserve">https://doi.org/10.1080/00273171.2014.889594</w:t>
        </w:r>
      </w:hyperlink>
    </w:p>
    <w:bookmarkEnd w:id="177"/>
    <w:bookmarkStart w:id="179" w:name="ref-DeLosReyes2026"/>
    <w:p>
      <w:pPr>
        <w:pStyle w:val="Bibliography"/>
      </w:pPr>
      <w:r>
        <w:t xml:space="preserve">De Los Reyes, A. (2026). Toward integrative, multisource, and multimodal approaches to assessing psychopathology intergenerationally and across the lifespan: Commentary 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78">
        <w:r>
          <w:rPr>
            <w:rStyle w:val="Hyperlink"/>
          </w:rPr>
          <w:t xml:space="preserve">https://doi.org/10.1037/abn0001084</w:t>
        </w:r>
      </w:hyperlink>
    </w:p>
    <w:bookmarkEnd w:id="179"/>
    <w:bookmarkStart w:id="181"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180">
        <w:r>
          <w:rPr>
            <w:rStyle w:val="Hyperlink"/>
          </w:rPr>
          <w:t xml:space="preserve">https://doi.org/10.1126/science.2270481</w:t>
        </w:r>
      </w:hyperlink>
    </w:p>
    <w:bookmarkEnd w:id="181"/>
    <w:bookmarkStart w:id="183" w:name="ref-Edwards2012"/>
    <w:p>
      <w:pPr>
        <w:pStyle w:val="Bibliography"/>
      </w:pPr>
      <w:r>
        <w:t xml:space="preserve">Edwards, M. C., &amp; Wirth, R. J. (2012). Valid measurement without factorial invariance: A longitudinal example. In G. R. Hancock &amp; J. R. Harring (Eds.),</w:t>
      </w:r>
      <w:r>
        <w:t xml:space="preserve"> </w:t>
      </w:r>
      <w:r>
        <w:rPr>
          <w:i/>
          <w:iCs/>
        </w:rPr>
        <w:t xml:space="preserve">Advances in longitudinal methods in the social and behavioral sciences</w:t>
      </w:r>
      <w:r>
        <w:t xml:space="preserve"> </w:t>
      </w:r>
      <w:r>
        <w:t xml:space="preserve">(pp. 289–311). Information Age Publishing.</w:t>
      </w:r>
      <w:r>
        <w:t xml:space="preserve"> </w:t>
      </w:r>
      <w:hyperlink r:id="rId182">
        <w:r>
          <w:rPr>
            <w:rStyle w:val="Hyperlink"/>
          </w:rPr>
          <w:t xml:space="preserve">https://doi.org/10.1108/978-1-61735-891-320251015</w:t>
        </w:r>
      </w:hyperlink>
    </w:p>
    <w:bookmarkEnd w:id="183"/>
    <w:bookmarkStart w:id="185" w:name="ref-Elliott1980"/>
    <w:p>
      <w:pPr>
        <w:pStyle w:val="Bibliography"/>
      </w:pPr>
      <w:r>
        <w:t xml:space="preserve">Elliott, D. S., &amp; Ageton, S. S. (1980). Reconciling race and class differences in self-reported and official estimates of delinquency.</w:t>
      </w:r>
      <w:r>
        <w:t xml:space="preserve"> </w:t>
      </w:r>
      <w:r>
        <w:rPr>
          <w:i/>
          <w:iCs/>
        </w:rPr>
        <w:t xml:space="preserve">American Sociological Review</w:t>
      </w:r>
      <w:r>
        <w:t xml:space="preserve">,</w:t>
      </w:r>
      <w:r>
        <w:t xml:space="preserve"> </w:t>
      </w:r>
      <w:r>
        <w:rPr>
          <w:i/>
          <w:iCs/>
        </w:rPr>
        <w:t xml:space="preserve">45</w:t>
      </w:r>
      <w:r>
        <w:t xml:space="preserve">(1), 95–110.</w:t>
      </w:r>
      <w:r>
        <w:t xml:space="preserve"> </w:t>
      </w:r>
      <w:hyperlink r:id="rId184">
        <w:r>
          <w:rPr>
            <w:rStyle w:val="Hyperlink"/>
          </w:rPr>
          <w:t xml:space="preserve">https://doi.org/10.2307/2095245</w:t>
        </w:r>
      </w:hyperlink>
    </w:p>
    <w:bookmarkEnd w:id="185"/>
    <w:bookmarkStart w:id="187" w:name="ref-Fairchild2013"/>
    <w:p>
      <w:pPr>
        <w:pStyle w:val="Bibliography"/>
      </w:pPr>
      <w:r>
        <w:t xml:space="preserve">Fairchild, G., Goozen, S. H. M. van, Calder, A. J., &amp; Goodyer, I. M. (2013). Research review: Evaluating and reformulating the developmental taxonomic theory of antisocial behaviour.</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186">
        <w:r>
          <w:rPr>
            <w:rStyle w:val="Hyperlink"/>
          </w:rPr>
          <w:t xml:space="preserve">https://doi.org/10.1111/jcpp.12102</w:t>
        </w:r>
      </w:hyperlink>
    </w:p>
    <w:bookmarkEnd w:id="187"/>
    <w:bookmarkStart w:id="189" w:name="ref-Farrington2023"/>
    <w:p>
      <w:pPr>
        <w:pStyle w:val="Bibliography"/>
      </w:pPr>
      <w:r>
        <w:t xml:space="preserve">Farrington, D. P., Piquero, A. R., Jennings, W. G., &amp; Jolliffe, D. (2023).</w:t>
      </w:r>
      <w:r>
        <w:t xml:space="preserve"> </w:t>
      </w:r>
      <w:r>
        <w:rPr>
          <w:i/>
          <w:iCs/>
        </w:rPr>
        <w:t xml:space="preserve">Offending from childhood to late middle age: Recent results from the</w:t>
      </w:r>
      <w:r>
        <w:rPr>
          <w:i/>
          <w:iCs/>
        </w:rPr>
        <w:t xml:space="preserve"> </w:t>
      </w:r>
      <w:r>
        <w:rPr>
          <w:i/>
          <w:iCs/>
        </w:rPr>
        <w:t xml:space="preserve">Cambridge Study in Delinquent Development</w:t>
      </w:r>
      <w:r>
        <w:t xml:space="preserve"> </w:t>
      </w:r>
      <w:r>
        <w:t xml:space="preserve">(pp. 47–71). Springer New York.</w:t>
      </w:r>
      <w:r>
        <w:t xml:space="preserve"> </w:t>
      </w:r>
      <w:hyperlink r:id="rId188">
        <w:r>
          <w:rPr>
            <w:rStyle w:val="Hyperlink"/>
          </w:rPr>
          <w:t xml:space="preserve">https://doi.org/10.1007/978-1-0716-3335-9_5</w:t>
        </w:r>
      </w:hyperlink>
    </w:p>
    <w:bookmarkEnd w:id="189"/>
    <w:bookmarkStart w:id="191" w:name="ref-Forbes2016"/>
    <w:p>
      <w:pPr>
        <w:pStyle w:val="Bibliography"/>
      </w:pPr>
      <w:r>
        <w:t xml:space="preserve">Forbes, M. K., Tackett, J. L., Markon, K. E., &amp; Krueger, R. F. (2016). Beyond comorbidity: Toward 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190">
        <w:r>
          <w:rPr>
            <w:rStyle w:val="Hyperlink"/>
          </w:rPr>
          <w:t xml:space="preserve">https://doi.org/10.1017/S0954579416000651</w:t>
        </w:r>
      </w:hyperlink>
    </w:p>
    <w:bookmarkEnd w:id="191"/>
    <w:bookmarkStart w:id="192"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192"/>
    <w:bookmarkStart w:id="194" w:name="ref-Godoy2021"/>
    <w:p>
      <w:pPr>
        <w:pStyle w:val="Bibliography"/>
      </w:pPr>
      <w:r>
        <w:t xml:space="preserve">Godoy, L. L. de, Alves, C. A. P. F., Saavedra, J. S. M., Studart-Neto, A., Nitrini, R., Costa Leite, C. da, &amp; Bisdas, S. (2021). Understanding brain resilience in superagers: A 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193">
        <w:r>
          <w:rPr>
            <w:rStyle w:val="Hyperlink"/>
          </w:rPr>
          <w:t xml:space="preserve">https://doi.org/10.1007/s00234-020-02562-1</w:t>
        </w:r>
      </w:hyperlink>
    </w:p>
    <w:bookmarkEnd w:id="194"/>
    <w:bookmarkStart w:id="196" w:name="ref-Gornik2023"/>
    <w:p>
      <w:pPr>
        <w:pStyle w:val="Bibliography"/>
      </w:pPr>
      <w:r>
        <w:t xml:space="preserve">Gornik, A. E., Clark, D. A., Durbin, C. E., &amp; Zucker, R. A. (2023). Individual differences in the development of youth externalizing problems predict a broad range of adult psychosocial outcomes.</w:t>
      </w:r>
      <w:r>
        <w:t xml:space="preserve"> </w:t>
      </w:r>
      <w:r>
        <w:rPr>
          <w:i/>
          <w:iCs/>
        </w:rPr>
        <w:t xml:space="preserve">Development and Psychopathology</w:t>
      </w:r>
      <w:r>
        <w:t xml:space="preserve">,</w:t>
      </w:r>
      <w:r>
        <w:t xml:space="preserve"> </w:t>
      </w:r>
      <w:r>
        <w:rPr>
          <w:i/>
          <w:iCs/>
        </w:rPr>
        <w:t xml:space="preserve">35</w:t>
      </w:r>
      <w:r>
        <w:t xml:space="preserve">(2), 630–651.</w:t>
      </w:r>
      <w:r>
        <w:t xml:space="preserve"> </w:t>
      </w:r>
      <w:hyperlink r:id="rId195">
        <w:r>
          <w:rPr>
            <w:rStyle w:val="Hyperlink"/>
          </w:rPr>
          <w:t xml:space="preserve">https://doi.org/10.1017/S0954579421001772</w:t>
        </w:r>
      </w:hyperlink>
    </w:p>
    <w:bookmarkEnd w:id="196"/>
    <w:bookmarkStart w:id="198" w:name="ref-Grant1999"/>
    <w:p>
      <w:pPr>
        <w:pStyle w:val="Bibliography"/>
      </w:pPr>
      <w:r>
        <w:t xml:space="preserve">Grant, S. J., Aitchison, T., Henderson, E., Christie, J., Zare, S., McMurray, J., &amp; Dargie, H. (1999). A comparison of the reproducibility and the sensitivity to change of visual analogue scales,</w:t>
      </w:r>
      <w:r>
        <w:t xml:space="preserve"> </w:t>
      </w:r>
      <w:r>
        <w:t xml:space="preserve">Borg</w:t>
      </w:r>
      <w:r>
        <w:t xml:space="preserve"> </w:t>
      </w:r>
      <w:r>
        <w:t xml:space="preserve">scales, and</w:t>
      </w:r>
      <w:r>
        <w:t xml:space="preserve"> </w:t>
      </w:r>
      <w:r>
        <w:t xml:space="preserve">Likert</w:t>
      </w:r>
      <w:r>
        <w:t xml:space="preserve"> </w:t>
      </w:r>
      <w:r>
        <w:t xml:space="preserve">scales in normal subjects during submaximal exercise.</w:t>
      </w:r>
      <w:r>
        <w:t xml:space="preserve"> </w:t>
      </w:r>
      <w:r>
        <w:rPr>
          <w:i/>
          <w:iCs/>
        </w:rPr>
        <w:t xml:space="preserve">Chest</w:t>
      </w:r>
      <w:r>
        <w:t xml:space="preserve">,</w:t>
      </w:r>
      <w:r>
        <w:t xml:space="preserve"> </w:t>
      </w:r>
      <w:r>
        <w:rPr>
          <w:i/>
          <w:iCs/>
        </w:rPr>
        <w:t xml:space="preserve">116</w:t>
      </w:r>
      <w:r>
        <w:t xml:space="preserve">(5), 1208–1217.</w:t>
      </w:r>
      <w:r>
        <w:t xml:space="preserve"> </w:t>
      </w:r>
      <w:hyperlink r:id="rId197">
        <w:r>
          <w:rPr>
            <w:rStyle w:val="Hyperlink"/>
          </w:rPr>
          <w:t xml:space="preserve">https://doi.org/10.1378/chest.116.5.1208</w:t>
        </w:r>
      </w:hyperlink>
    </w:p>
    <w:bookmarkEnd w:id="198"/>
    <w:bookmarkStart w:id="200" w:name="ref-Hancock2008"/>
    <w:p>
      <w:pPr>
        <w:pStyle w:val="Bibliography"/>
      </w:pPr>
      <w:r>
        <w:t xml:space="preserve">Hancock, G. R., &amp; Buehl, M. M. (2008). Second-order latent growth models with shifting indicators.</w:t>
      </w:r>
      <w:r>
        <w:t xml:space="preserve"> </w:t>
      </w:r>
      <w:r>
        <w:rPr>
          <w:i/>
          <w:iCs/>
        </w:rPr>
        <w:t xml:space="preserve">Journal of Modern Applied Statistical Methods</w:t>
      </w:r>
      <w:r>
        <w:t xml:space="preserve">,</w:t>
      </w:r>
      <w:r>
        <w:t xml:space="preserve"> </w:t>
      </w:r>
      <w:r>
        <w:rPr>
          <w:i/>
          <w:iCs/>
        </w:rPr>
        <w:t xml:space="preserve">7</w:t>
      </w:r>
      <w:r>
        <w:t xml:space="preserve">(1), 39–55.</w:t>
      </w:r>
      <w:r>
        <w:t xml:space="preserve"> </w:t>
      </w:r>
      <w:hyperlink r:id="rId199">
        <w:r>
          <w:rPr>
            <w:rStyle w:val="Hyperlink"/>
          </w:rPr>
          <w:t xml:space="preserve">https://doi.org/10.22237/jmasm/1209614640</w:t>
        </w:r>
      </w:hyperlink>
    </w:p>
    <w:bookmarkEnd w:id="200"/>
    <w:bookmarkStart w:id="202" w:name="ref-QuantitudeS3E18"/>
    <w:p>
      <w:pPr>
        <w:pStyle w:val="Bibliography"/>
      </w:pPr>
      <w:r>
        <w:t xml:space="preserve">Hancock, G. R., &amp; Curran, P. J. (2022, February 11).</w:t>
      </w:r>
      <w:r>
        <w:t xml:space="preserve"> </w:t>
      </w:r>
      <w:r>
        <w:rPr>
          <w:i/>
          <w:iCs/>
        </w:rPr>
        <w:t xml:space="preserve">Quantitude: S3E18:</w:t>
      </w:r>
      <w:r>
        <w:rPr>
          <w:i/>
          <w:iCs/>
        </w:rPr>
        <w:t xml:space="preserve"> </w:t>
      </w:r>
      <w:r>
        <w:rPr>
          <w:i/>
          <w:iCs/>
        </w:rPr>
        <w:t xml:space="preserve">Aunt Roz’s</w:t>
      </w:r>
      <w:r>
        <w:rPr>
          <w:i/>
          <w:iCs/>
        </w:rPr>
        <w:t xml:space="preserve"> </w:t>
      </w:r>
      <w:r>
        <w:rPr>
          <w:i/>
          <w:iCs/>
        </w:rPr>
        <w:t xml:space="preserve">guide to latent means models</w:t>
      </w:r>
      <w:r>
        <w:t xml:space="preserve"> </w:t>
      </w:r>
      <w:r>
        <w:t xml:space="preserve">[Audio recording]. Quantitude; Quantitude.</w:t>
      </w:r>
      <w:r>
        <w:t xml:space="preserve"> </w:t>
      </w:r>
      <w:hyperlink r:id="rId201">
        <w:r>
          <w:rPr>
            <w:rStyle w:val="Hyperlink"/>
          </w:rPr>
          <w:t xml:space="preserve">https://quantitudepod.org/latent-means/</w:t>
        </w:r>
      </w:hyperlink>
    </w:p>
    <w:bookmarkEnd w:id="202"/>
    <w:bookmarkStart w:id="204" w:name="ref-Harris2025"/>
    <w:p>
      <w:pPr>
        <w:pStyle w:val="Bibliography"/>
      </w:pPr>
      <w:r>
        <w:t xml:space="preserve">Harris, J. L., LeBeau, B., &amp; Petersen, I. T. (2025). Reactive and control processes in the development of internalizing and externalizing problems across early childhood to adolescence.</w:t>
      </w:r>
      <w:r>
        <w:t xml:space="preserve"> </w:t>
      </w:r>
      <w:r>
        <w:rPr>
          <w:i/>
          <w:iCs/>
        </w:rPr>
        <w:t xml:space="preserve">Development and Psychopathology</w:t>
      </w:r>
      <w:r>
        <w:t xml:space="preserve">,</w:t>
      </w:r>
      <w:r>
        <w:t xml:space="preserve"> </w:t>
      </w:r>
      <w:r>
        <w:rPr>
          <w:i/>
          <w:iCs/>
        </w:rPr>
        <w:t xml:space="preserve">37</w:t>
      </w:r>
      <w:r>
        <w:t xml:space="preserve">(2), 836–858.</w:t>
      </w:r>
      <w:r>
        <w:t xml:space="preserve"> </w:t>
      </w:r>
      <w:hyperlink r:id="rId203">
        <w:r>
          <w:rPr>
            <w:rStyle w:val="Hyperlink"/>
          </w:rPr>
          <w:t xml:space="preserve">https://doi.org/10.1017/S0954579424000713</w:t>
        </w:r>
      </w:hyperlink>
    </w:p>
    <w:bookmarkEnd w:id="204"/>
    <w:bookmarkStart w:id="206" w:name="ref-Haslam2012"/>
    <w:p>
      <w:pPr>
        <w:pStyle w:val="Bibliography"/>
      </w:pPr>
      <w:r>
        <w:t xml:space="preserve">Haslam, N., Holland, E., &amp; Kuppens, P. (2012). Categories versus dimensions in personality and psychopathology: A 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205">
        <w:r>
          <w:rPr>
            <w:rStyle w:val="Hyperlink"/>
          </w:rPr>
          <w:t xml:space="preserve">https://doi.org/10.1017/S0033291711001966</w:t>
        </w:r>
      </w:hyperlink>
    </w:p>
    <w:bookmarkEnd w:id="206"/>
    <w:bookmarkStart w:id="208" w:name="ref-Haslam2020"/>
    <w:p>
      <w:pPr>
        <w:pStyle w:val="Bibliography"/>
      </w:pPr>
      <w:r>
        <w:t xml:space="preserve">Haslam, N., McGrath, M. J., Viechtbauer, W., &amp; Kuppens, P. (2020). Dimensions over categories: A 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207">
        <w:r>
          <w:rPr>
            <w:rStyle w:val="Hyperlink"/>
          </w:rPr>
          <w:t xml:space="preserve">https://doi.org/10.1017/S003329172000183X</w:t>
        </w:r>
      </w:hyperlink>
    </w:p>
    <w:bookmarkEnd w:id="208"/>
    <w:bookmarkStart w:id="210"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209">
        <w:r>
          <w:rPr>
            <w:rStyle w:val="Hyperlink"/>
          </w:rPr>
          <w:t xml:space="preserve">https://doi.org/10.1176/appi.ajp.2008.08030366</w:t>
        </w:r>
      </w:hyperlink>
    </w:p>
    <w:bookmarkEnd w:id="210"/>
    <w:bookmarkStart w:id="212" w:name="ref-Kaat2019"/>
    <w:p>
      <w:pPr>
        <w:pStyle w:val="Bibliography"/>
      </w:pPr>
      <w:r>
        <w:t xml:space="preserve">Kaat, A. J., Blackwell, C. K., Estabrook, R., Burns, J. L., Petitclerc, A., Briggs-Gowan, M. J., Gershon, R. C., Cella, D., Perlman, S. B., &amp; Wakschlag, L. S. (2019). Linking the child behavior checklist (CBCL) with the multidimensional assessment profile of disruptive behavior (MAP-DB): Advancing 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211">
        <w:r>
          <w:rPr>
            <w:rStyle w:val="Hyperlink"/>
          </w:rPr>
          <w:t xml:space="preserve">https://doi.org/10.1007/s10826-018-1272-4</w:t>
        </w:r>
      </w:hyperlink>
    </w:p>
    <w:bookmarkEnd w:id="212"/>
    <w:bookmarkStart w:id="213"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213"/>
    <w:bookmarkStart w:id="214" w:name="ref-Kagan1971"/>
    <w:p>
      <w:pPr>
        <w:pStyle w:val="Bibliography"/>
      </w:pPr>
      <w:r>
        <w:t xml:space="preserve">Kagan, J. (1971).</w:t>
      </w:r>
      <w:r>
        <w:t xml:space="preserve"> </w:t>
      </w:r>
      <w:r>
        <w:rPr>
          <w:i/>
          <w:iCs/>
        </w:rPr>
        <w:t xml:space="preserve">Change and continuity in infancy</w:t>
      </w:r>
      <w:r>
        <w:t xml:space="preserve">. Wiley.</w:t>
      </w:r>
    </w:p>
    <w:bookmarkEnd w:id="214"/>
    <w:bookmarkStart w:id="215"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215"/>
    <w:bookmarkStart w:id="217" w:name="ref-Kagan1962"/>
    <w:p>
      <w:pPr>
        <w:pStyle w:val="Bibliography"/>
      </w:pPr>
      <w:r>
        <w:t xml:space="preserve">Kagan, J., &amp; Moss, H. A. (1962).</w:t>
      </w:r>
      <w:r>
        <w:t xml:space="preserve"> </w:t>
      </w:r>
      <w:r>
        <w:rPr>
          <w:i/>
          <w:iCs/>
        </w:rPr>
        <w:t xml:space="preserve">Birth to maturity: A study in psychological development</w:t>
      </w:r>
      <w:r>
        <w:t xml:space="preserve">. Wiley.</w:t>
      </w:r>
      <w:r>
        <w:t xml:space="preserve"> </w:t>
      </w:r>
      <w:hyperlink r:id="rId216">
        <w:r>
          <w:rPr>
            <w:rStyle w:val="Hyperlink"/>
          </w:rPr>
          <w:t xml:space="preserve">https://doi.org/10.1037/13129-000</w:t>
        </w:r>
      </w:hyperlink>
    </w:p>
    <w:bookmarkEnd w:id="217"/>
    <w:bookmarkStart w:id="219" w:name="ref-Keijsers2012"/>
    <w:p>
      <w:pPr>
        <w:pStyle w:val="Bibliography"/>
      </w:pPr>
      <w:r>
        <w:t xml:space="preserve">Keijsers, L., Loeber, R., Branje, S., &amp; Meeus, W. (2012). Parent-child relationships of boys in different offending trajectories. A developmental perspective.</w:t>
      </w:r>
      <w:r>
        <w:t xml:space="preserve"> </w:t>
      </w:r>
      <w:r>
        <w:rPr>
          <w:i/>
          <w:iCs/>
        </w:rPr>
        <w:t xml:space="preserve">Journal of Child Psychology and Psychiatry</w:t>
      </w:r>
      <w:r>
        <w:t xml:space="preserve">,</w:t>
      </w:r>
      <w:r>
        <w:t xml:space="preserve"> </w:t>
      </w:r>
      <w:r>
        <w:rPr>
          <w:i/>
          <w:iCs/>
        </w:rPr>
        <w:t xml:space="preserve">53</w:t>
      </w:r>
      <w:r>
        <w:t xml:space="preserve">(12), 1222–1232.</w:t>
      </w:r>
      <w:r>
        <w:t xml:space="preserve"> </w:t>
      </w:r>
      <w:hyperlink r:id="rId218">
        <w:r>
          <w:rPr>
            <w:rStyle w:val="Hyperlink"/>
          </w:rPr>
          <w:t xml:space="preserve">https://doi.org/10.1111/j.1469-7610.2012.02585.x</w:t>
        </w:r>
      </w:hyperlink>
    </w:p>
    <w:bookmarkEnd w:id="219"/>
    <w:bookmarkStart w:id="221" w:name="ref-Kim2009"/>
    <w:p>
      <w:pPr>
        <w:pStyle w:val="Bibliography"/>
      </w:pPr>
      <w:r>
        <w:t xml:space="preserve">Kim, H. K., Capaldi, D. M., Pears, K. C., Kerr, D. C. R., &amp; Owen, L. D. (2009). Intergenerational transmission of internalising and externalising behaviours across three generations: Gender-specific pathways.</w:t>
      </w:r>
      <w:r>
        <w:t xml:space="preserve"> </w:t>
      </w:r>
      <w:r>
        <w:rPr>
          <w:i/>
          <w:iCs/>
        </w:rPr>
        <w:t xml:space="preserve">Criminal Behaviour and Mental Health</w:t>
      </w:r>
      <w:r>
        <w:t xml:space="preserve">,</w:t>
      </w:r>
      <w:r>
        <w:t xml:space="preserve"> </w:t>
      </w:r>
      <w:r>
        <w:rPr>
          <w:i/>
          <w:iCs/>
        </w:rPr>
        <w:t xml:space="preserve">19</w:t>
      </w:r>
      <w:r>
        <w:t xml:space="preserve">(2), 125–141.</w:t>
      </w:r>
      <w:r>
        <w:t xml:space="preserve"> </w:t>
      </w:r>
      <w:hyperlink r:id="rId220">
        <w:r>
          <w:rPr>
            <w:rStyle w:val="Hyperlink"/>
          </w:rPr>
          <w:t xml:space="preserve">https://doi.org/10.1002/cbm.708</w:t>
        </w:r>
      </w:hyperlink>
    </w:p>
    <w:bookmarkEnd w:id="221"/>
    <w:bookmarkStart w:id="223" w:name="ref-Kjeldsen2016"/>
    <w:p>
      <w:pPr>
        <w:pStyle w:val="Bibliography"/>
      </w:pPr>
      <w:r>
        <w:t xml:space="preserve">Kjeldsen, A., Nilsen, W., Gustavson, K., Skipstein, A., Melkevik, O., &amp; Karevold, E. B. (2016). Predicting well-being and internalizing symptoms in late adolescence from trajectories of externalizing behavior starting in infancy.</w:t>
      </w:r>
      <w:r>
        <w:t xml:space="preserve"> </w:t>
      </w:r>
      <w:r>
        <w:rPr>
          <w:i/>
          <w:iCs/>
        </w:rPr>
        <w:t xml:space="preserve">Journal of Research on Adolescence</w:t>
      </w:r>
      <w:r>
        <w:t xml:space="preserve">,</w:t>
      </w:r>
      <w:r>
        <w:t xml:space="preserve"> </w:t>
      </w:r>
      <w:r>
        <w:rPr>
          <w:i/>
          <w:iCs/>
        </w:rPr>
        <w:t xml:space="preserve">26</w:t>
      </w:r>
      <w:r>
        <w:t xml:space="preserve">(4), 991–1008.</w:t>
      </w:r>
      <w:r>
        <w:t xml:space="preserve"> </w:t>
      </w:r>
      <w:hyperlink r:id="rId222">
        <w:r>
          <w:rPr>
            <w:rStyle w:val="Hyperlink"/>
          </w:rPr>
          <w:t xml:space="preserve">https://doi.org/10.1111/jora.12252</w:t>
        </w:r>
      </w:hyperlink>
    </w:p>
    <w:bookmarkEnd w:id="223"/>
    <w:bookmarkStart w:id="225" w:name="ref-Kliem2018"/>
    <w:p>
      <w:pPr>
        <w:pStyle w:val="Bibliography"/>
      </w:pPr>
      <w:r>
        <w:t xml:space="preserve">Kliem, S., Heinrichs, N., Lohmann, A., Bussing, R., Schwarzer, G., &amp; Briegel, W. (2018). Dimensional latent structure of early disruptive behavior disorders: A 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224">
        <w:r>
          <w:rPr>
            <w:rStyle w:val="Hyperlink"/>
          </w:rPr>
          <w:t xml:space="preserve">https://doi.org/10.1007/s10802-017-0383-5</w:t>
        </w:r>
      </w:hyperlink>
    </w:p>
    <w:bookmarkEnd w:id="225"/>
    <w:bookmarkStart w:id="227"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226">
        <w:r>
          <w:rPr>
            <w:rStyle w:val="Hyperlink"/>
          </w:rPr>
          <w:t xml:space="preserve">https://doi.org/10.1007/s10802-021-00885-y</w:t>
        </w:r>
      </w:hyperlink>
    </w:p>
    <w:bookmarkEnd w:id="227"/>
    <w:bookmarkStart w:id="229" w:name="ref-Knight2010"/>
    <w:p>
      <w:pPr>
        <w:pStyle w:val="Bibliography"/>
      </w:pPr>
      <w:r>
        <w:t xml:space="preserve">Knight, G. P., &amp; Zerr, A. A. (2010). Informed theory and measurement equivalence in child development research.</w:t>
      </w:r>
      <w:r>
        <w:t xml:space="preserve"> </w:t>
      </w:r>
      <w:r>
        <w:rPr>
          <w:i/>
          <w:iCs/>
        </w:rPr>
        <w:t xml:space="preserve">Child Development Perspectives</w:t>
      </w:r>
      <w:r>
        <w:t xml:space="preserve">,</w:t>
      </w:r>
      <w:r>
        <w:t xml:space="preserve"> </w:t>
      </w:r>
      <w:r>
        <w:rPr>
          <w:i/>
          <w:iCs/>
        </w:rPr>
        <w:t xml:space="preserve">4</w:t>
      </w:r>
      <w:r>
        <w:t xml:space="preserve">(1), 25–30.</w:t>
      </w:r>
      <w:r>
        <w:t xml:space="preserve"> </w:t>
      </w:r>
      <w:hyperlink r:id="rId228">
        <w:r>
          <w:rPr>
            <w:rStyle w:val="Hyperlink"/>
          </w:rPr>
          <w:t xml:space="preserve">https://doi.org/10.1111/j.1750-8606.2009.00112.x</w:t>
        </w:r>
      </w:hyperlink>
    </w:p>
    <w:bookmarkEnd w:id="229"/>
    <w:bookmarkStart w:id="231" w:name="ref-Kolen2014"/>
    <w:p>
      <w:pPr>
        <w:pStyle w:val="Bibliography"/>
      </w:pPr>
      <w:r>
        <w:t xml:space="preserve">Kolen, M. J., &amp; Brennan, R. L. (2014).</w:t>
      </w:r>
      <w:r>
        <w:t xml:space="preserve"> </w:t>
      </w:r>
      <w:r>
        <w:rPr>
          <w:i/>
          <w:iCs/>
        </w:rPr>
        <w:t xml:space="preserve">Test equating, scaling, and linking: Methods and practices</w:t>
      </w:r>
      <w:r>
        <w:t xml:space="preserve"> </w:t>
      </w:r>
      <w:r>
        <w:t xml:space="preserve">(3rd ed., p. 566). Springer.</w:t>
      </w:r>
      <w:r>
        <w:t xml:space="preserve"> </w:t>
      </w:r>
      <w:hyperlink r:id="rId230">
        <w:r>
          <w:rPr>
            <w:rStyle w:val="Hyperlink"/>
          </w:rPr>
          <w:t xml:space="preserve">https://doi.org/10.1007/978-1-4939-0317-7</w:t>
        </w:r>
      </w:hyperlink>
    </w:p>
    <w:bookmarkEnd w:id="231"/>
    <w:bookmarkStart w:id="232" w:name="ref-Korhonen2018"/>
    <w:p>
      <w:pPr>
        <w:pStyle w:val="Bibliography"/>
      </w:pPr>
      <w:r>
        <w:t xml:space="preserve">Korhonen, M., Luoma, I., Salmelin, R., Siirtola, A., &amp; Puura, K. (2018). The trajectories of internalizing and externalizing problems from early childhood to adolescence and young adult outcome.</w:t>
      </w:r>
      <w:r>
        <w:t xml:space="preserve"> </w:t>
      </w:r>
      <w:r>
        <w:rPr>
          <w:i/>
          <w:iCs/>
        </w:rPr>
        <w:t xml:space="preserve">Journal of Child and Adolescent Psychiatry</w:t>
      </w:r>
      <w:r>
        <w:t xml:space="preserve">,</w:t>
      </w:r>
      <w:r>
        <w:t xml:space="preserve"> </w:t>
      </w:r>
      <w:r>
        <w:rPr>
          <w:i/>
          <w:iCs/>
        </w:rPr>
        <w:t xml:space="preserve">2</w:t>
      </w:r>
      <w:r>
        <w:t xml:space="preserve">(3), 7–12.</w:t>
      </w:r>
    </w:p>
    <w:bookmarkEnd w:id="232"/>
    <w:bookmarkStart w:id="234"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 A 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233">
        <w:r>
          <w:rPr>
            <w:rStyle w:val="Hyperlink"/>
          </w:rPr>
          <w:t xml:space="preserve">https://doi.org/10.1037/abn0000258</w:t>
        </w:r>
      </w:hyperlink>
    </w:p>
    <w:bookmarkEnd w:id="234"/>
    <w:bookmarkStart w:id="236" w:name="ref-Krueger2016"/>
    <w:p>
      <w:pPr>
        <w:pStyle w:val="Bibliography"/>
      </w:pPr>
      <w:r>
        <w:t xml:space="preserve">Krueger, R. F., &amp; DeYoung, C. G. (2016). The RDoC 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235">
        <w:r>
          <w:rPr>
            <w:rStyle w:val="Hyperlink"/>
          </w:rPr>
          <w:t xml:space="preserve">https://doi.org/10.1111/psyp.12551</w:t>
        </w:r>
      </w:hyperlink>
    </w:p>
    <w:bookmarkEnd w:id="236"/>
    <w:bookmarkStart w:id="238"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 Externalizing 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237">
        <w:r>
          <w:rPr>
            <w:rStyle w:val="Hyperlink"/>
          </w:rPr>
          <w:t xml:space="preserve">https://doi.org/10.1002/wps.20844</w:t>
        </w:r>
      </w:hyperlink>
    </w:p>
    <w:bookmarkEnd w:id="238"/>
    <w:bookmarkStart w:id="240" w:name="ref-Krueger2011"/>
    <w:p>
      <w:pPr>
        <w:pStyle w:val="Bibliography"/>
      </w:pPr>
      <w:r>
        <w:t xml:space="preserve">Krueger, R. F., &amp; Markon, K. E. (2011). A dimensional-spectrum model of psychopathology: Progress 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239">
        <w:r>
          <w:rPr>
            <w:rStyle w:val="Hyperlink"/>
          </w:rPr>
          <w:t xml:space="preserve">https://doi.org/10.1001/archgenpsychiatry.2010.188</w:t>
        </w:r>
      </w:hyperlink>
    </w:p>
    <w:bookmarkEnd w:id="240"/>
    <w:bookmarkStart w:id="242" w:name="ref-Krueger2007"/>
    <w:p>
      <w:pPr>
        <w:pStyle w:val="Bibliography"/>
      </w:pPr>
      <w:r>
        <w:t xml:space="preserve">Krueger, R. F., Markon, K. E., Patrick, C. J., Benning, S. D., &amp; Kramer, M. D. (2007). Linking antisocial behavior, substance use, and personality: An 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241">
        <w:r>
          <w:rPr>
            <w:rStyle w:val="Hyperlink"/>
          </w:rPr>
          <w:t xml:space="preserve">https://doi.org/10.1037/0021-843X.116.4.645</w:t>
        </w:r>
      </w:hyperlink>
    </w:p>
    <w:bookmarkEnd w:id="242"/>
    <w:bookmarkStart w:id="244" w:name="ref-Krueger2005"/>
    <w:p>
      <w:pPr>
        <w:pStyle w:val="Bibliography"/>
      </w:pPr>
      <w:r>
        <w:t xml:space="preserve">Krueger, R. F., Markon, K. E., Patrick, C. J., &amp; Iacono, W. G. (2005). Externalizing psychopathology in adulthood: A dimensional-spectrum conceptualization and its implications for DSM-v.</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243">
        <w:r>
          <w:rPr>
            <w:rStyle w:val="Hyperlink"/>
          </w:rPr>
          <w:t xml:space="preserve">https://doi.org/10.1037/0021-843x.114.4.537</w:t>
        </w:r>
      </w:hyperlink>
    </w:p>
    <w:bookmarkEnd w:id="244"/>
    <w:bookmarkStart w:id="246"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245">
        <w:r>
          <w:rPr>
            <w:rStyle w:val="Hyperlink"/>
          </w:rPr>
          <w:t xml:space="preserve">https://doi.org/10.1037/1040-3590.16.2.107</w:t>
        </w:r>
      </w:hyperlink>
    </w:p>
    <w:bookmarkEnd w:id="246"/>
    <w:bookmarkStart w:id="248"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247">
        <w:r>
          <w:rPr>
            <w:rStyle w:val="Hyperlink"/>
          </w:rPr>
          <w:t xml:space="preserve">https://doi.org/10.1016/S0005-7967(02)00016-5</w:t>
        </w:r>
      </w:hyperlink>
    </w:p>
    <w:bookmarkEnd w:id="248"/>
    <w:bookmarkStart w:id="250" w:name="ref-Lai2023"/>
    <w:p>
      <w:pPr>
        <w:pStyle w:val="Bibliography"/>
      </w:pPr>
      <w:r>
        <w:t xml:space="preserve">Lai, M. H. C. (2023). Adjusting for measurement noninvariance with alignment in growth modeling.</w:t>
      </w:r>
      <w:r>
        <w:t xml:space="preserve"> </w:t>
      </w:r>
      <w:r>
        <w:rPr>
          <w:i/>
          <w:iCs/>
        </w:rPr>
        <w:t xml:space="preserve">Multivariate Behavioral Research</w:t>
      </w:r>
      <w:r>
        <w:t xml:space="preserve">,</w:t>
      </w:r>
      <w:r>
        <w:t xml:space="preserve"> </w:t>
      </w:r>
      <w:r>
        <w:rPr>
          <w:i/>
          <w:iCs/>
        </w:rPr>
        <w:t xml:space="preserve">58</w:t>
      </w:r>
      <w:r>
        <w:t xml:space="preserve">(1), 30–47.</w:t>
      </w:r>
      <w:r>
        <w:t xml:space="preserve"> </w:t>
      </w:r>
      <w:hyperlink r:id="rId249">
        <w:r>
          <w:rPr>
            <w:rStyle w:val="Hyperlink"/>
          </w:rPr>
          <w:t xml:space="preserve">https://doi.org/10.1080/00273171.2021.1941730</w:t>
        </w:r>
      </w:hyperlink>
    </w:p>
    <w:bookmarkEnd w:id="250"/>
    <w:bookmarkStart w:id="252"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251">
        <w:r>
          <w:rPr>
            <w:rStyle w:val="Hyperlink"/>
          </w:rPr>
          <w:t xml:space="preserve">https://doi.org/10.1017/S0954579410000301</w:t>
        </w:r>
      </w:hyperlink>
    </w:p>
    <w:bookmarkEnd w:id="252"/>
    <w:bookmarkStart w:id="254" w:name="ref-LeBlanc2021"/>
    <w:p>
      <w:pPr>
        <w:pStyle w:val="Bibliography"/>
      </w:pPr>
      <w:r>
        <w:t xml:space="preserve">Le Blanc, M. (2021).</w:t>
      </w:r>
      <w:r>
        <w:t xml:space="preserve"> </w:t>
      </w:r>
      <w:r>
        <w:rPr>
          <w:i/>
          <w:iCs/>
        </w:rPr>
        <w:t xml:space="preserve">The development of antisocial behavior and crime</w:t>
      </w:r>
      <w:r>
        <w:t xml:space="preserve">. Springer.</w:t>
      </w:r>
      <w:r>
        <w:t xml:space="preserve"> </w:t>
      </w:r>
      <w:hyperlink r:id="rId253">
        <w:r>
          <w:rPr>
            <w:rStyle w:val="Hyperlink"/>
          </w:rPr>
          <w:t xml:space="preserve">https://doi.org/10.1007/978-3-030-68429-7</w:t>
        </w:r>
      </w:hyperlink>
    </w:p>
    <w:bookmarkEnd w:id="254"/>
    <w:bookmarkStart w:id="256" w:name="ref-Markon2011"/>
    <w:p>
      <w:pPr>
        <w:pStyle w:val="Bibliography"/>
      </w:pPr>
      <w:r>
        <w:t xml:space="preserve">Markon, K. E., Chmielewski, M., &amp; Miller, C. J. (2011). The reliability and validity of discrete and continuous measures of psychopathology: A 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255">
        <w:r>
          <w:rPr>
            <w:rStyle w:val="Hyperlink"/>
          </w:rPr>
          <w:t xml:space="preserve">https://doi.org/10.1037/a0023678</w:t>
        </w:r>
      </w:hyperlink>
    </w:p>
    <w:bookmarkEnd w:id="256"/>
    <w:bookmarkStart w:id="258" w:name="ref-Markon2005"/>
    <w:p>
      <w:pPr>
        <w:pStyle w:val="Bibliography"/>
      </w:pPr>
      <w:r>
        <w:t xml:space="preserve">Markon, K. E., &amp; Krueger, R. F. (2005). Categorical and continuous models of liability to externalizing disorders: A direct comparison in NESARC.</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257">
        <w:r>
          <w:rPr>
            <w:rStyle w:val="Hyperlink"/>
          </w:rPr>
          <w:t xml:space="preserve">https://doi.org/10.1001/archpsyc.62.12.1352</w:t>
        </w:r>
      </w:hyperlink>
    </w:p>
    <w:bookmarkEnd w:id="258"/>
    <w:bookmarkStart w:id="260" w:name="ref-Miller2009"/>
    <w:p>
      <w:pPr>
        <w:pStyle w:val="Bibliography"/>
      </w:pPr>
      <w:r>
        <w:t xml:space="preserve">Miller, J. L., Vaillancourt, T., &amp; Boyle, M. H. (2009). Examining the heterotypic continuity of aggression using teacher reports: Results from a national canadian 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259">
        <w:r>
          <w:rPr>
            <w:rStyle w:val="Hyperlink"/>
          </w:rPr>
          <w:t xml:space="preserve">https://doi.org/10.1111/j.1467-9507.2008.00480.x</w:t>
        </w:r>
      </w:hyperlink>
    </w:p>
    <w:bookmarkEnd w:id="260"/>
    <w:bookmarkStart w:id="262"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261">
        <w:r>
          <w:rPr>
            <w:rStyle w:val="Hyperlink"/>
          </w:rPr>
          <w:t xml:space="preserve">https://news.harvard.edu/gazette/story/2017/04/over-nearly-80-years-harvard-study-has-been-showing-how-to-live-a-healthy-and-happy-life/</w:t>
        </w:r>
      </w:hyperlink>
    </w:p>
    <w:bookmarkEnd w:id="262"/>
    <w:bookmarkStart w:id="264" w:name="ref-Moffitt1993"/>
    <w:p>
      <w:pPr>
        <w:pStyle w:val="Bibliography"/>
      </w:pPr>
      <w:r>
        <w:t xml:space="preserve">Moffitt, T. E. (1993). Adolescence-limited and life-course-persistent antisocial behavior: A 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263">
        <w:r>
          <w:rPr>
            <w:rStyle w:val="Hyperlink"/>
          </w:rPr>
          <w:t xml:space="preserve">https://doi.org/10.1037/0033-295X.100.4.674</w:t>
        </w:r>
      </w:hyperlink>
    </w:p>
    <w:bookmarkEnd w:id="264"/>
    <w:bookmarkStart w:id="266"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265">
        <w:r>
          <w:rPr>
            <w:rStyle w:val="Hyperlink"/>
          </w:rPr>
          <w:t xml:space="preserve">https://doi.org/10.1073/pnas.1010076108</w:t>
        </w:r>
      </w:hyperlink>
    </w:p>
    <w:bookmarkEnd w:id="266"/>
    <w:bookmarkStart w:id="268"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267">
        <w:r>
          <w:rPr>
            <w:rStyle w:val="Hyperlink"/>
          </w:rPr>
          <w:t xml:space="preserve">https://doi.org/10.1159/000270073</w:t>
        </w:r>
      </w:hyperlink>
    </w:p>
    <w:bookmarkEnd w:id="268"/>
    <w:bookmarkStart w:id="270" w:name="ref-Muthen2014"/>
    <w:p>
      <w:pPr>
        <w:pStyle w:val="Bibliography"/>
      </w:pPr>
      <w:r>
        <w:t xml:space="preserve">Muthén, B. O., &amp; Asparouhov, T. (2014).</w:t>
      </w:r>
      <w:r>
        <w:t xml:space="preserve"> </w:t>
      </w:r>
      <w:r>
        <w:t xml:space="preserve">IRT</w:t>
      </w:r>
      <w:r>
        <w:t xml:space="preserve"> </w:t>
      </w:r>
      <w:r>
        <w:t xml:space="preserve">studies of many groups: The alignment method.</w:t>
      </w:r>
      <w:r>
        <w:t xml:space="preserve"> </w:t>
      </w:r>
      <w:r>
        <w:rPr>
          <w:i/>
          <w:iCs/>
        </w:rPr>
        <w:t xml:space="preserve">Frontiers in Psychology</w:t>
      </w:r>
      <w:r>
        <w:t xml:space="preserve">,</w:t>
      </w:r>
      <w:r>
        <w:t xml:space="preserve"> </w:t>
      </w:r>
      <w:r>
        <w:rPr>
          <w:i/>
          <w:iCs/>
        </w:rPr>
        <w:t xml:space="preserve">5</w:t>
      </w:r>
      <w:r>
        <w:t xml:space="preserve">(978).</w:t>
      </w:r>
      <w:r>
        <w:t xml:space="preserve"> </w:t>
      </w:r>
      <w:hyperlink r:id="rId269">
        <w:r>
          <w:rPr>
            <w:rStyle w:val="Hyperlink"/>
          </w:rPr>
          <w:t xml:space="preserve">https://doi.org/10.3389/fpsyg.2014.00978</w:t>
        </w:r>
      </w:hyperlink>
    </w:p>
    <w:bookmarkEnd w:id="270"/>
    <w:bookmarkStart w:id="272" w:name="ref-Nickerson2026"/>
    <w:p>
      <w:pPr>
        <w:pStyle w:val="Bibliography"/>
      </w:pPr>
      <w:r>
        <w:t xml:space="preserve">Nickerson, A. B., &amp; Fredrick, S. S. (2026). Cyberbullying and mental health in children and adolescents.</w:t>
      </w:r>
      <w:r>
        <w:t xml:space="preserve"> </w:t>
      </w:r>
      <w:r>
        <w:rPr>
          <w:i/>
          <w:iCs/>
        </w:rPr>
        <w:t xml:space="preserve">Annual Review of Clinical Psychology</w:t>
      </w:r>
      <w:r>
        <w:t xml:space="preserve">,</w:t>
      </w:r>
      <w:r>
        <w:t xml:space="preserve"> </w:t>
      </w:r>
      <w:r>
        <w:rPr>
          <w:i/>
          <w:iCs/>
        </w:rPr>
        <w:t xml:space="preserve">22</w:t>
      </w:r>
      <w:r>
        <w:t xml:space="preserve">(Volume 22, 2026), 559–586.</w:t>
      </w:r>
      <w:r>
        <w:t xml:space="preserve"> </w:t>
      </w:r>
      <w:hyperlink r:id="rId271">
        <w:r>
          <w:rPr>
            <w:rStyle w:val="Hyperlink"/>
          </w:rPr>
          <w:t xml:space="preserve">https://doi.org/10.1146/annurev-clinpsy-061324-073435</w:t>
        </w:r>
      </w:hyperlink>
    </w:p>
    <w:bookmarkEnd w:id="272"/>
    <w:bookmarkStart w:id="274" w:name="ref-Odgers2008"/>
    <w:p>
      <w:pPr>
        <w:pStyle w:val="Bibliography"/>
      </w:pPr>
      <w:r>
        <w:t xml:space="preserve">Odgers, C. L., Moffitt, T. E., Broadbent, J. M., Dickson, N., Hancox, R. J., Harrington, H., Poulton, R., Sears, M. R., Thomson, W. M., &amp; Caspi, A. (2008). Female and male antisocial trajectories: From 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273">
        <w:r>
          <w:rPr>
            <w:rStyle w:val="Hyperlink"/>
          </w:rPr>
          <w:t xml:space="preserve">https://doi.org/10.1017/S0954579408000333</w:t>
        </w:r>
      </w:hyperlink>
    </w:p>
    <w:bookmarkEnd w:id="274"/>
    <w:bookmarkStart w:id="276" w:name="ref-Owens2003"/>
    <w:p>
      <w:pPr>
        <w:pStyle w:val="Bibliography"/>
      </w:pPr>
      <w:r>
        <w:t xml:space="preserve">Owens, E. B., &amp; Shaw, D. S. (2003). Predicting growth curves of externalizing behavior across the preschool years.</w:t>
      </w:r>
      <w:r>
        <w:t xml:space="preserve"> </w:t>
      </w:r>
      <w:r>
        <w:rPr>
          <w:i/>
          <w:iCs/>
        </w:rPr>
        <w:t xml:space="preserve">Journal of Abnormal Child Psychology</w:t>
      </w:r>
      <w:r>
        <w:t xml:space="preserve">,</w:t>
      </w:r>
      <w:r>
        <w:t xml:space="preserve"> </w:t>
      </w:r>
      <w:r>
        <w:rPr>
          <w:i/>
          <w:iCs/>
        </w:rPr>
        <w:t xml:space="preserve">31</w:t>
      </w:r>
      <w:r>
        <w:t xml:space="preserve">(6), 575–590.</w:t>
      </w:r>
      <w:r>
        <w:t xml:space="preserve"> </w:t>
      </w:r>
      <w:hyperlink r:id="rId275">
        <w:r>
          <w:rPr>
            <w:rStyle w:val="Hyperlink"/>
          </w:rPr>
          <w:t xml:space="preserve">https://doi.org/10.1023/a:1026254005632</w:t>
        </w:r>
      </w:hyperlink>
    </w:p>
    <w:bookmarkEnd w:id="276"/>
    <w:bookmarkStart w:id="278" w:name="ref-Paalman2013"/>
    <w:p>
      <w:pPr>
        <w:pStyle w:val="Bibliography"/>
      </w:pPr>
      <w:r>
        <w:t xml:space="preserve">Paalman, C. H., Terwee, C. B., Jansma, E. P., &amp; Jansen, L. M. C. (2013). Instruments measuring externalizing mental health problems in immigrant ethnic minority youths: A 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277">
        <w:r>
          <w:rPr>
            <w:rStyle w:val="Hyperlink"/>
          </w:rPr>
          <w:t xml:space="preserve">https://doi.org/10.1371/journal.pone.0063109</w:t>
        </w:r>
      </w:hyperlink>
    </w:p>
    <w:bookmarkEnd w:id="278"/>
    <w:bookmarkStart w:id="280" w:name="ref-Patterson1993"/>
    <w:p>
      <w:pPr>
        <w:pStyle w:val="Bibliography"/>
      </w:pPr>
      <w:r>
        <w:t xml:space="preserve">Patterson, G. R. (1993). Orderly change in a stable world: The 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279">
        <w:r>
          <w:rPr>
            <w:rStyle w:val="Hyperlink"/>
          </w:rPr>
          <w:t xml:space="preserve">https://doi.org/10.1037/0022-006X.61.6.911</w:t>
        </w:r>
      </w:hyperlink>
    </w:p>
    <w:bookmarkEnd w:id="280"/>
    <w:bookmarkStart w:id="282" w:name="ref-Pavlovich2026"/>
    <w:p>
      <w:pPr>
        <w:pStyle w:val="Bibliography"/>
      </w:pPr>
      <w:r>
        <w:t xml:space="preserve">Pavlovich, K., Tiego, J., Constable, T., Fornito, A., &amp; Imaging, M. B. (2026). Assessing the psychometric properties of the child behavior checklist in the ABCD study.</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281">
        <w:r>
          <w:rPr>
            <w:rStyle w:val="Hyperlink"/>
          </w:rPr>
          <w:t xml:space="preserve">https://doi.org/10.1111/desc.70216</w:t>
        </w:r>
      </w:hyperlink>
    </w:p>
    <w:bookmarkEnd w:id="282"/>
    <w:bookmarkStart w:id="284" w:name="ref-Petersen2024"/>
    <w:p>
      <w:pPr>
        <w:pStyle w:val="Bibliography"/>
      </w:pPr>
      <w:r>
        <w:t xml:space="preserve">Petersen, I. T. (2024). Reexamining developmental continuity and discontinuity in the 21st century: Better 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283">
        <w:r>
          <w:rPr>
            <w:rStyle w:val="Hyperlink"/>
          </w:rPr>
          <w:t xml:space="preserve">https://doi.org/10.1037/dev0001657</w:t>
        </w:r>
      </w:hyperlink>
    </w:p>
    <w:bookmarkEnd w:id="284"/>
    <w:bookmarkStart w:id="285" w:name="ref-PetersenPrinciplesPsychAssessment"/>
    <w:p>
      <w:pPr>
        <w:pStyle w:val="Bibliography"/>
      </w:pPr>
      <w:r>
        <w:t xml:space="preserve">Petersen, I. T. (2026).</w:t>
      </w:r>
      <w:r>
        <w:t xml:space="preserve"> </w:t>
      </w:r>
      <w:r>
        <w:rPr>
          <w:i/>
          <w:iCs/>
        </w:rPr>
        <w:t xml:space="preserve">Principles of psychological assessment: With applied examples in</w:t>
      </w:r>
      <w:r>
        <w:rPr>
          <w:i/>
          <w:iCs/>
        </w:rPr>
        <w:t xml:space="preserve"> </w:t>
      </w:r>
      <w:r>
        <w:rPr>
          <w:i/>
          <w:iCs/>
        </w:rPr>
        <w:t xml:space="preserve">R</w:t>
      </w:r>
      <w:r>
        <w:t xml:space="preserve">. University of Iowa Libraries.</w:t>
      </w:r>
      <w:r>
        <w:t xml:space="preserve"> </w:t>
      </w:r>
      <w:hyperlink r:id="rId116">
        <w:r>
          <w:rPr>
            <w:rStyle w:val="Hyperlink"/>
          </w:rPr>
          <w:t xml:space="preserve">https://doi.org/10.25820/work.007199</w:t>
        </w:r>
      </w:hyperlink>
    </w:p>
    <w:bookmarkEnd w:id="285"/>
    <w:bookmarkStart w:id="287"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286">
        <w:r>
          <w:rPr>
            <w:rStyle w:val="Hyperlink"/>
          </w:rPr>
          <w:t xml:space="preserve">https://doi.org/10.1017/S0954579414000789</w:t>
        </w:r>
      </w:hyperlink>
    </w:p>
    <w:bookmarkEnd w:id="287"/>
    <w:bookmarkStart w:id="289" w:name="ref-Petersen2020"/>
    <w:p>
      <w:pPr>
        <w:pStyle w:val="Bibliography"/>
      </w:pPr>
      <w:r>
        <w:t xml:space="preserve">Petersen, I. T., Choe, D. E., &amp; LeBeau, B. (2020). Studying a moving target in development: The 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288">
        <w:r>
          <w:rPr>
            <w:rStyle w:val="Hyperlink"/>
          </w:rPr>
          <w:t xml:space="preserve">https://doi.org/10.1016/j.dr.2020.100935</w:t>
        </w:r>
      </w:hyperlink>
    </w:p>
    <w:bookmarkEnd w:id="289"/>
    <w:bookmarkStart w:id="290" w:name="ref-Petersen2026b"/>
    <w:p>
      <w:pPr>
        <w:pStyle w:val="Bibliography"/>
      </w:pPr>
      <w:r>
        <w:t xml:space="preserve">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5">
        <w:r>
          <w:rPr>
            <w:rStyle w:val="Hyperlink"/>
          </w:rPr>
          <w:t xml:space="preserve">https://doi.org/10.1037/pas0001441</w:t>
        </w:r>
      </w:hyperlink>
    </w:p>
    <w:bookmarkEnd w:id="290"/>
    <w:bookmarkStart w:id="291" w:name="ref-Petersen2026a"/>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85">
        <w:r>
          <w:rPr>
            <w:rStyle w:val="Hyperlink"/>
          </w:rPr>
          <w:t xml:space="preserve">https://doi.org/10.1016/j.jaacop.2025.10.008</w:t>
        </w:r>
      </w:hyperlink>
    </w:p>
    <w:bookmarkEnd w:id="291"/>
    <w:bookmarkStart w:id="292" w:name="ref-Petersen2021b"/>
    <w:p>
      <w:pPr>
        <w:pStyle w:val="Bibliography"/>
      </w:pPr>
      <w:r>
        <w:t xml:space="preserve">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08">
        <w:r>
          <w:rPr>
            <w:rStyle w:val="Hyperlink"/>
          </w:rPr>
          <w:t xml:space="preserve">https://doi.org/10.1037/edu0000461</w:t>
        </w:r>
      </w:hyperlink>
    </w:p>
    <w:bookmarkEnd w:id="292"/>
    <w:bookmarkStart w:id="294" w:name="ref-Petersen2021a"/>
    <w:p>
      <w:pPr>
        <w:pStyle w:val="Bibliography"/>
      </w:pPr>
      <w:r>
        <w:t xml:space="preserve">Petersen, I. T., LeBeau, B., &amp; Choe, D. E. (2021). Creating a developmental scale to account for heterotypic continuity in development: A 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293">
        <w:r>
          <w:rPr>
            <w:rStyle w:val="Hyperlink"/>
          </w:rPr>
          <w:t xml:space="preserve">https://doi.org/10.1111/cdev.13433</w:t>
        </w:r>
      </w:hyperlink>
    </w:p>
    <w:bookmarkEnd w:id="294"/>
    <w:bookmarkStart w:id="296" w:name="ref-Petersen2018"/>
    <w:p>
      <w:pPr>
        <w:pStyle w:val="Bibliography"/>
      </w:pPr>
      <w:r>
        <w:t xml:space="preserve">Petersen, I. T., Lindhiem, O., LeBeau, B., Bates, J. E., Pettit, G. S., Lansford, J. E., &amp; Dodge, K. A. (2018). Development of internalizing problems from adolescence to emerging adulthood: Accounting 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295">
        <w:r>
          <w:rPr>
            <w:rStyle w:val="Hyperlink"/>
          </w:rPr>
          <w:t xml:space="preserve">https://doi.org/10.1037/dev0000449</w:t>
        </w:r>
      </w:hyperlink>
    </w:p>
    <w:bookmarkEnd w:id="296"/>
    <w:bookmarkStart w:id="298" w:name="ref-Poulton2015"/>
    <w:p>
      <w:pPr>
        <w:pStyle w:val="Bibliography"/>
      </w:pPr>
      <w:r>
        <w:t xml:space="preserve">Poulton, R., Moffitt, T. E., &amp; Silva, P. A. (2015). The</w:t>
      </w:r>
      <w:r>
        <w:t xml:space="preserve"> </w:t>
      </w:r>
      <w:r>
        <w:t xml:space="preserve">Dunedin Multidisciplinary Health and Development Study</w:t>
      </w:r>
      <w:r>
        <w:t xml:space="preserve">: Overview 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297">
        <w:r>
          <w:rPr>
            <w:rStyle w:val="Hyperlink"/>
          </w:rPr>
          <w:t xml:space="preserve">https://doi.org/10.1007/s00127-015-1048-8</w:t>
        </w:r>
      </w:hyperlink>
    </w:p>
    <w:bookmarkEnd w:id="298"/>
    <w:bookmarkStart w:id="300" w:name="ref-Robitzsch2023"/>
    <w:p>
      <w:pPr>
        <w:pStyle w:val="Bibliography"/>
      </w:pPr>
      <w:r>
        <w:t xml:space="preserve">Robitzsch, A., &amp; Lüdtke, O. (2023). Why full, partial, or approximate measurement invariance are not a prerequisite for meaningful and valid group comparisons.</w:t>
      </w:r>
      <w:r>
        <w:t xml:space="preserve"> </w:t>
      </w:r>
      <w:r>
        <w:rPr>
          <w:i/>
          <w:iCs/>
        </w:rPr>
        <w:t xml:space="preserve">Structural Equation Modeling: A Multidisciplinary Journal</w:t>
      </w:r>
      <w:r>
        <w:t xml:space="preserve">,</w:t>
      </w:r>
      <w:r>
        <w:t xml:space="preserve"> </w:t>
      </w:r>
      <w:r>
        <w:rPr>
          <w:i/>
          <w:iCs/>
        </w:rPr>
        <w:t xml:space="preserve">30</w:t>
      </w:r>
      <w:r>
        <w:t xml:space="preserve">(6), 859–870.</w:t>
      </w:r>
      <w:r>
        <w:t xml:space="preserve"> </w:t>
      </w:r>
      <w:hyperlink r:id="rId299">
        <w:r>
          <w:rPr>
            <w:rStyle w:val="Hyperlink"/>
          </w:rPr>
          <w:t xml:space="preserve">https://doi.org/10.1080/10705511.2023.2191292</w:t>
        </w:r>
      </w:hyperlink>
    </w:p>
    <w:bookmarkEnd w:id="300"/>
    <w:bookmarkStart w:id="301" w:name="ref-Roche1992"/>
    <w:p>
      <w:pPr>
        <w:pStyle w:val="Bibliography"/>
      </w:pPr>
      <w:r>
        <w:t xml:space="preserve">Roche, A. F. (1992).</w:t>
      </w:r>
      <w:r>
        <w:t xml:space="preserve"> </w:t>
      </w:r>
      <w:r>
        <w:rPr>
          <w:i/>
          <w:iCs/>
        </w:rPr>
        <w:t xml:space="preserve">Growth, maturation, and body composition: 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301"/>
    <w:bookmarkStart w:id="303"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302">
        <w:r>
          <w:rPr>
            <w:rStyle w:val="Hyperlink"/>
          </w:rPr>
          <w:t xml:space="preserve">https://doi.org/10.1111/j.1469-7610.2006.01614.x</w:t>
        </w:r>
      </w:hyperlink>
    </w:p>
    <w:bookmarkEnd w:id="303"/>
    <w:bookmarkStart w:id="305" w:name="ref-SacuInPress"/>
    <w:p>
      <w:pPr>
        <w:pStyle w:val="Bibliography"/>
      </w:pPr>
      <w:r>
        <w:t xml:space="preserve">Sacu, S., Streit, F., Witt, S. H., Banaschewski, T., Holz, N. E., &amp; Schultebraucks, K. (in press). Predicting psychopathology symptom trajectories using machine learning: A 33-year prospective study.</w:t>
      </w:r>
      <w:r>
        <w:t xml:space="preserve"> </w:t>
      </w:r>
      <w:r>
        <w:rPr>
          <w:i/>
          <w:iCs/>
        </w:rPr>
        <w:t xml:space="preserve">Journal of Child Psychology and Psychiatry</w:t>
      </w:r>
      <w:r>
        <w:t xml:space="preserve">,</w:t>
      </w:r>
      <w:r>
        <w:t xml:space="preserve"> </w:t>
      </w:r>
      <w:r>
        <w:rPr>
          <w:i/>
          <w:iCs/>
        </w:rPr>
        <w:t xml:space="preserve">n/a</w:t>
      </w:r>
      <w:r>
        <w:t xml:space="preserve">(n/a).</w:t>
      </w:r>
      <w:r>
        <w:t xml:space="preserve"> </w:t>
      </w:r>
      <w:hyperlink r:id="rId304">
        <w:r>
          <w:rPr>
            <w:rStyle w:val="Hyperlink"/>
          </w:rPr>
          <w:t xml:space="preserve">https://doi.org/10.1111/jcpp.70180</w:t>
        </w:r>
      </w:hyperlink>
    </w:p>
    <w:bookmarkEnd w:id="305"/>
    <w:bookmarkStart w:id="307" w:name="ref-Schaefer2017"/>
    <w:p>
      <w:pPr>
        <w:pStyle w:val="Bibliography"/>
      </w:pPr>
      <w:r>
        <w:t xml:space="preserve">Schaefer, J. D., Caspi, A., Belsky, D. W., Harrington, H., Houts, R., Horwood, L. J., Hussong, A., Ramrakha, S., Poulton, R., &amp; Moffitt, T. E. (2017). Enduring mental health: Prevalence 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306">
        <w:r>
          <w:rPr>
            <w:rStyle w:val="Hyperlink"/>
          </w:rPr>
          <w:t xml:space="preserve">https://doi.org/10.1037/abn0000232</w:t>
        </w:r>
      </w:hyperlink>
    </w:p>
    <w:bookmarkEnd w:id="307"/>
    <w:bookmarkStart w:id="309" w:name="ref-Schaeffer1991"/>
    <w:p>
      <w:pPr>
        <w:pStyle w:val="Bibliography"/>
      </w:pPr>
      <w:r>
        <w:t xml:space="preserve">Schaeffer, N. C. (1991). Hardly ever or constantly? Group 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308">
        <w:r>
          <w:rPr>
            <w:rStyle w:val="Hyperlink"/>
          </w:rPr>
          <w:t xml:space="preserve">https://doi.org/10.1086/269270</w:t>
        </w:r>
      </w:hyperlink>
    </w:p>
    <w:bookmarkEnd w:id="309"/>
    <w:bookmarkStart w:id="311" w:name="ref-Schwarz1999"/>
    <w:p>
      <w:pPr>
        <w:pStyle w:val="Bibliography"/>
      </w:pPr>
      <w:r>
        <w:t xml:space="preserve">Schwarz, N. (1999). Self-reports: How 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310">
        <w:r>
          <w:rPr>
            <w:rStyle w:val="Hyperlink"/>
          </w:rPr>
          <w:t xml:space="preserve">https://doi.org/10.1037/0003-066X.54.2.93</w:t>
        </w:r>
      </w:hyperlink>
    </w:p>
    <w:bookmarkEnd w:id="311"/>
    <w:bookmarkStart w:id="313" w:name="ref-Seddig2018"/>
    <w:p>
      <w:pPr>
        <w:pStyle w:val="Bibliography"/>
      </w:pPr>
      <w:r>
        <w:t xml:space="preserve">Seddig, D., &amp; Leitgöb, H. (2018). Approximate measurement invariance and longitudinal confirmatory factor analysis: Concept and application with panel data.</w:t>
      </w:r>
      <w:r>
        <w:t xml:space="preserve"> </w:t>
      </w:r>
      <w:r>
        <w:rPr>
          <w:i/>
          <w:iCs/>
        </w:rPr>
        <w:t xml:space="preserve">Survey Research Methods</w:t>
      </w:r>
      <w:r>
        <w:t xml:space="preserve">,</w:t>
      </w:r>
      <w:r>
        <w:t xml:space="preserve"> </w:t>
      </w:r>
      <w:r>
        <w:rPr>
          <w:i/>
          <w:iCs/>
        </w:rPr>
        <w:t xml:space="preserve">12</w:t>
      </w:r>
      <w:r>
        <w:t xml:space="preserve">(1).</w:t>
      </w:r>
      <w:r>
        <w:t xml:space="preserve"> </w:t>
      </w:r>
      <w:hyperlink r:id="rId312">
        <w:r>
          <w:rPr>
            <w:rStyle w:val="Hyperlink"/>
          </w:rPr>
          <w:t xml:space="preserve">https://doi.org/10.18148/srm/2018.v12i1.7210</w:t>
        </w:r>
      </w:hyperlink>
    </w:p>
    <w:bookmarkEnd w:id="313"/>
    <w:bookmarkStart w:id="315"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314">
        <w:r>
          <w:rPr>
            <w:rStyle w:val="Hyperlink"/>
          </w:rPr>
          <w:t xml:space="preserve">https://doi.org/10.1037/abn0000171</w:t>
        </w:r>
      </w:hyperlink>
    </w:p>
    <w:bookmarkEnd w:id="315"/>
    <w:bookmarkStart w:id="317" w:name="ref-Shi2020"/>
    <w:p>
      <w:pPr>
        <w:pStyle w:val="Bibliography"/>
      </w:pPr>
      <w:r>
        <w:t xml:space="preserve">Shi, Q., Ettekal, I., Deutz, M. H. F., &amp; Woltering, S. (2020). Trajectories of pure and co-occurring internalizing and externalizing problems from early childhood to adolescence: Associations with early childhood individual and contextual antecedents.</w:t>
      </w:r>
      <w:r>
        <w:t xml:space="preserve"> </w:t>
      </w:r>
      <w:r>
        <w:rPr>
          <w:i/>
          <w:iCs/>
        </w:rPr>
        <w:t xml:space="preserve">Developmental Psychology</w:t>
      </w:r>
      <w:r>
        <w:t xml:space="preserve">,</w:t>
      </w:r>
      <w:r>
        <w:t xml:space="preserve"> </w:t>
      </w:r>
      <w:r>
        <w:rPr>
          <w:i/>
          <w:iCs/>
        </w:rPr>
        <w:t xml:space="preserve">56</w:t>
      </w:r>
      <w:r>
        <w:t xml:space="preserve">(10), 1906–1918.</w:t>
      </w:r>
      <w:r>
        <w:t xml:space="preserve"> </w:t>
      </w:r>
      <w:hyperlink r:id="rId316">
        <w:r>
          <w:rPr>
            <w:rStyle w:val="Hyperlink"/>
          </w:rPr>
          <w:t xml:space="preserve">https://doi.org/10.1037/dev0001095</w:t>
        </w:r>
      </w:hyperlink>
    </w:p>
    <w:bookmarkEnd w:id="317"/>
    <w:bookmarkStart w:id="319" w:name="ref-Simms2019"/>
    <w:p>
      <w:pPr>
        <w:pStyle w:val="Bibliography"/>
      </w:pPr>
      <w:r>
        <w:t xml:space="preserve">Simms, L. J., Zelazny, K., Williams, T. F., &amp; Bernstein, L. (2019). Does the number of response options matter?</w:t>
      </w:r>
      <w:r>
        <w:t xml:space="preserve"> </w:t>
      </w:r>
      <w:r>
        <w:t xml:space="preserve">Psychometric</w:t>
      </w:r>
      <w:r>
        <w:t xml:space="preserve"> </w:t>
      </w:r>
      <w:r>
        <w:t xml:space="preserve">perspectives using personality questionnaire data.</w:t>
      </w:r>
      <w:r>
        <w:t xml:space="preserve"> </w:t>
      </w:r>
      <w:r>
        <w:rPr>
          <w:i/>
          <w:iCs/>
        </w:rPr>
        <w:t xml:space="preserve">Psychological Assessment</w:t>
      </w:r>
      <w:r>
        <w:t xml:space="preserve">,</w:t>
      </w:r>
      <w:r>
        <w:t xml:space="preserve"> </w:t>
      </w:r>
      <w:r>
        <w:rPr>
          <w:i/>
          <w:iCs/>
        </w:rPr>
        <w:t xml:space="preserve">31</w:t>
      </w:r>
      <w:r>
        <w:t xml:space="preserve">(4), 557–566.</w:t>
      </w:r>
      <w:r>
        <w:t xml:space="preserve"> </w:t>
      </w:r>
      <w:hyperlink r:id="rId318">
        <w:r>
          <w:rPr>
            <w:rStyle w:val="Hyperlink"/>
          </w:rPr>
          <w:t xml:space="preserve">https://doi.org/10.1037/pas0000648</w:t>
        </w:r>
      </w:hyperlink>
    </w:p>
    <w:bookmarkEnd w:id="319"/>
    <w:bookmarkStart w:id="321" w:name="ref-Sivertsson2024"/>
    <w:p>
      <w:pPr>
        <w:pStyle w:val="Bibliography"/>
      </w:pPr>
      <w:r>
        <w:t xml:space="preserve">Sivertsson, F., Carlsson, C., Almquist, Y. B., &amp; Brännström, L. (2024). Offending trajectories from childhood to retirement age: Findings 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320">
        <w:r>
          <w:rPr>
            <w:rStyle w:val="Hyperlink"/>
          </w:rPr>
          <w:t xml:space="preserve">https://doi.org/10.1016/j.jcrimjus.2024.102155</w:t>
        </w:r>
      </w:hyperlink>
    </w:p>
    <w:bookmarkEnd w:id="321"/>
    <w:bookmarkStart w:id="323" w:name="ref-Speyer2022"/>
    <w:p>
      <w:pPr>
        <w:pStyle w:val="Bibliography"/>
      </w:pPr>
      <w:r>
        <w:t xml:space="preserve">Speyer, L. G., Neaves, S., Hall, H. A., Hemani, G., Lombardo, M. V., Murray, A. L., Auyeung, B., &amp; Luciano, M. (2022). Polygenic risks for joint developmental trajectories of internalizing and externalizing problems: Findings from the ALSPAC cohort.</w:t>
      </w:r>
      <w:r>
        <w:t xml:space="preserve"> </w:t>
      </w:r>
      <w:r>
        <w:rPr>
          <w:i/>
          <w:iCs/>
        </w:rPr>
        <w:t xml:space="preserve">Journal of Child Psychology and Psychiatry</w:t>
      </w:r>
      <w:r>
        <w:t xml:space="preserve">,</w:t>
      </w:r>
      <w:r>
        <w:t xml:space="preserve"> </w:t>
      </w:r>
      <w:r>
        <w:rPr>
          <w:i/>
          <w:iCs/>
        </w:rPr>
        <w:t xml:space="preserve">63</w:t>
      </w:r>
      <w:r>
        <w:t xml:space="preserve">(8), 948–956.</w:t>
      </w:r>
      <w:r>
        <w:t xml:space="preserve"> </w:t>
      </w:r>
      <w:hyperlink r:id="rId322">
        <w:r>
          <w:rPr>
            <w:rStyle w:val="Hyperlink"/>
          </w:rPr>
          <w:t xml:space="preserve">https://doi.org/10.1111/jcpp.13549</w:t>
        </w:r>
      </w:hyperlink>
    </w:p>
    <w:bookmarkEnd w:id="323"/>
    <w:bookmarkStart w:id="324"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324"/>
    <w:bookmarkStart w:id="326" w:name="ref-Sterba2007"/>
    <w:p>
      <w:pPr>
        <w:pStyle w:val="Bibliography"/>
      </w:pPr>
      <w:r>
        <w:t xml:space="preserve">Sterba, S. K., Prinstein, M. J., &amp; Cox, M. J. (2007). Trajectories of internalizing problems across childhood: Heterogeneity,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325">
        <w:r>
          <w:rPr>
            <w:rStyle w:val="Hyperlink"/>
          </w:rPr>
          <w:t xml:space="preserve">https://doi.org/10.1017/S0954579407070174</w:t>
        </w:r>
      </w:hyperlink>
    </w:p>
    <w:bookmarkEnd w:id="326"/>
    <w:bookmarkStart w:id="328" w:name="ref-Stringer2020"/>
    <w:p>
      <w:pPr>
        <w:pStyle w:val="Bibliography"/>
      </w:pPr>
      <w:r>
        <w:t xml:space="preserve">Stringer, D., Kent, R., Briskman, J., Lukito, S., Charman, T., Baird, G., Lord, C., Pickles, A., &amp; Simonoff, E. (2020). Trajectories of emotional and behavioral problems from childhood to early adult life.</w:t>
      </w:r>
      <w:r>
        <w:t xml:space="preserve"> </w:t>
      </w:r>
      <w:r>
        <w:rPr>
          <w:i/>
          <w:iCs/>
        </w:rPr>
        <w:t xml:space="preserve">Autism</w:t>
      </w:r>
      <w:r>
        <w:t xml:space="preserve">,</w:t>
      </w:r>
      <w:r>
        <w:t xml:space="preserve"> </w:t>
      </w:r>
      <w:r>
        <w:rPr>
          <w:i/>
          <w:iCs/>
        </w:rPr>
        <w:t xml:space="preserve">24</w:t>
      </w:r>
      <w:r>
        <w:t xml:space="preserve">(4), 1011–1024.</w:t>
      </w:r>
      <w:r>
        <w:t xml:space="preserve"> </w:t>
      </w:r>
      <w:hyperlink r:id="rId327">
        <w:r>
          <w:rPr>
            <w:rStyle w:val="Hyperlink"/>
          </w:rPr>
          <w:t xml:space="preserve">https://doi.org/10.1177/1362361320908972</w:t>
        </w:r>
      </w:hyperlink>
    </w:p>
    <w:bookmarkEnd w:id="328"/>
    <w:bookmarkStart w:id="330" w:name="ref-Tackett2022"/>
    <w:p>
      <w:pPr>
        <w:pStyle w:val="Bibliography"/>
      </w:pPr>
      <w:r>
        <w:t xml:space="preserve">Tackett, J. L., &amp; Hallquist, M. (2022). The need to grow: Developmental 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329">
        <w:r>
          <w:rPr>
            <w:rStyle w:val="Hyperlink"/>
          </w:rPr>
          <w:t xml:space="preserve">https://doi.org/10.1037/abn0000751</w:t>
        </w:r>
      </w:hyperlink>
    </w:p>
    <w:bookmarkEnd w:id="330"/>
    <w:bookmarkStart w:id="332"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331">
        <w:r>
          <w:rPr>
            <w:rStyle w:val="Hyperlink"/>
          </w:rPr>
          <w:t xml:space="preserve">https://doi.org/10.1038/s44220-023-00057-5</w:t>
        </w:r>
      </w:hyperlink>
    </w:p>
    <w:bookmarkEnd w:id="332"/>
    <w:bookmarkStart w:id="334" w:name="ref-Tyrell2019"/>
    <w:p>
      <w:pPr>
        <w:pStyle w:val="Bibliography"/>
      </w:pPr>
      <w:r>
        <w:t xml:space="preserve">Tyrell, F. A., Yates, T. M., Widaman, K. F., Reynolds, C. A., &amp; Fabricius, W. V. (2019). Data harmonization: Establishing measurement invariance across different assessments of the same construct across adolescence.</w:t>
      </w:r>
      <w:r>
        <w:t xml:space="preserve"> </w:t>
      </w:r>
      <w:r>
        <w:rPr>
          <w:i/>
          <w:iCs/>
        </w:rPr>
        <w:t xml:space="preserve">Journal of Clinical Child &amp; Adolescent Psychology</w:t>
      </w:r>
      <w:r>
        <w:t xml:space="preserve">,</w:t>
      </w:r>
      <w:r>
        <w:t xml:space="preserve"> </w:t>
      </w:r>
      <w:r>
        <w:rPr>
          <w:i/>
          <w:iCs/>
        </w:rPr>
        <w:t xml:space="preserve">48</w:t>
      </w:r>
      <w:r>
        <w:t xml:space="preserve">(4), 555–567.</w:t>
      </w:r>
      <w:r>
        <w:t xml:space="preserve"> </w:t>
      </w:r>
      <w:hyperlink r:id="rId333">
        <w:r>
          <w:rPr>
            <w:rStyle w:val="Hyperlink"/>
          </w:rPr>
          <w:t xml:space="preserve">https://doi.org/10.1080/15374416.2019.1622124</w:t>
        </w:r>
      </w:hyperlink>
    </w:p>
    <w:bookmarkEnd w:id="334"/>
    <w:bookmarkStart w:id="336" w:name="ref-Vaillant2012"/>
    <w:p>
      <w:pPr>
        <w:pStyle w:val="Bibliography"/>
      </w:pPr>
      <w:r>
        <w:t xml:space="preserve">Vaillant, G. E. (2012).</w:t>
      </w:r>
      <w:r>
        <w:t xml:space="preserve"> </w:t>
      </w:r>
      <w:r>
        <w:rPr>
          <w:i/>
          <w:iCs/>
        </w:rPr>
        <w:t xml:space="preserve">Triumphs of experience: The men of the</w:t>
      </w:r>
      <w:r>
        <w:rPr>
          <w:i/>
          <w:iCs/>
        </w:rPr>
        <w:t xml:space="preserve"> </w:t>
      </w:r>
      <w:r>
        <w:rPr>
          <w:i/>
          <w:iCs/>
        </w:rPr>
        <w:t xml:space="preserve">Harvard Grant Study</w:t>
      </w:r>
      <w:r>
        <w:t xml:space="preserve">. Harvard University Press.</w:t>
      </w:r>
      <w:r>
        <w:t xml:space="preserve"> </w:t>
      </w:r>
      <w:hyperlink r:id="rId335">
        <w:r>
          <w:rPr>
            <w:rStyle w:val="Hyperlink"/>
          </w:rPr>
          <w:t xml:space="preserve">https://doi.org/10.2307/j.ctt2jbxs1</w:t>
        </w:r>
      </w:hyperlink>
    </w:p>
    <w:bookmarkEnd w:id="336"/>
    <w:bookmarkStart w:id="338" w:name="ref-VanDeSchoot2013"/>
    <w:p>
      <w:pPr>
        <w:pStyle w:val="Bibliography"/>
      </w:pPr>
      <w:r>
        <w:t xml:space="preserve">Van De Schoot, R., Kluytmans, A., Tummers, L., Lugtig, P., Hox, J., &amp; Muthen, B. (2013). Facing off with</w:t>
      </w:r>
      <w:r>
        <w:t xml:space="preserve"> </w:t>
      </w:r>
      <w:r>
        <w:t xml:space="preserve">Scylla</w:t>
      </w:r>
      <w:r>
        <w:t xml:space="preserve"> </w:t>
      </w:r>
      <w:r>
        <w:t xml:space="preserve">and</w:t>
      </w:r>
      <w:r>
        <w:t xml:space="preserve"> </w:t>
      </w:r>
      <w:r>
        <w:t xml:space="preserve">Charybdis</w:t>
      </w:r>
      <w:r>
        <w:t xml:space="preserve">: A comparison of scalar, partial, and the novel possibility of approximate measurement invariance.</w:t>
      </w:r>
      <w:r>
        <w:t xml:space="preserve"> </w:t>
      </w:r>
      <w:r>
        <w:rPr>
          <w:i/>
          <w:iCs/>
        </w:rPr>
        <w:t xml:space="preserve">Frontiers in Psychology</w:t>
      </w:r>
      <w:r>
        <w:t xml:space="preserve">,</w:t>
      </w:r>
      <w:r>
        <w:t xml:space="preserve"> </w:t>
      </w:r>
      <w:r>
        <w:rPr>
          <w:i/>
          <w:iCs/>
        </w:rPr>
        <w:t xml:space="preserve">4</w:t>
      </w:r>
      <w:r>
        <w:t xml:space="preserve">(770).</w:t>
      </w:r>
      <w:r>
        <w:t xml:space="preserve"> </w:t>
      </w:r>
      <w:hyperlink r:id="rId337">
        <w:r>
          <w:rPr>
            <w:rStyle w:val="Hyperlink"/>
          </w:rPr>
          <w:t xml:space="preserve">https://doi.org/10.3389/fpsyg.2013.00770</w:t>
        </w:r>
      </w:hyperlink>
    </w:p>
    <w:bookmarkEnd w:id="338"/>
    <w:bookmarkStart w:id="340"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339">
        <w:r>
          <w:rPr>
            <w:rStyle w:val="Hyperlink"/>
          </w:rPr>
          <w:t xml:space="preserve">https://doi.org/10.1016/j.jaac.2013.10.011</w:t>
        </w:r>
      </w:hyperlink>
    </w:p>
    <w:bookmarkEnd w:id="340"/>
    <w:bookmarkStart w:id="342"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 A 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341">
        <w:r>
          <w:rPr>
            <w:rStyle w:val="Hyperlink"/>
          </w:rPr>
          <w:t xml:space="preserve">https://doi.org/10.1080/15374416.2018.1561296</w:t>
        </w:r>
      </w:hyperlink>
    </w:p>
    <w:bookmarkEnd w:id="342"/>
    <w:bookmarkStart w:id="344" w:name="ref-Walters2011"/>
    <w:p>
      <w:pPr>
        <w:pStyle w:val="Bibliography"/>
      </w:pPr>
      <w:r>
        <w:t xml:space="preserve">Walters, G. D. (2011). The latent structure of life-course-persistent antisocial behavior: Is</w:t>
      </w:r>
      <w:r>
        <w:t xml:space="preserve"> </w:t>
      </w:r>
      <w:r>
        <w:t xml:space="preserve">Moffitt’s</w:t>
      </w:r>
      <w:r>
        <w:t xml:space="preserve"> </w:t>
      </w:r>
      <w:r>
        <w:t xml:space="preserve">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343">
        <w:r>
          <w:rPr>
            <w:rStyle w:val="Hyperlink"/>
          </w:rPr>
          <w:t xml:space="preserve">https://doi.org/10.1037/a0021519</w:t>
        </w:r>
      </w:hyperlink>
    </w:p>
    <w:bookmarkEnd w:id="344"/>
    <w:bookmarkStart w:id="346" w:name="ref-Walters2012"/>
    <w:p>
      <w:pPr>
        <w:pStyle w:val="Bibliography"/>
      </w:pPr>
      <w:r>
        <w:t xml:space="preserve">Walters, G. D. (2012). Developmental trajectories of delinquent behavior: One 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345">
        <w:r>
          <w:rPr>
            <w:rStyle w:val="Hyperlink"/>
          </w:rPr>
          <w:t xml:space="preserve">https://doi.org/10.1177/0093854812443645</w:t>
        </w:r>
      </w:hyperlink>
    </w:p>
    <w:bookmarkEnd w:id="346"/>
    <w:bookmarkStart w:id="348"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347">
        <w:r>
          <w:rPr>
            <w:rStyle w:val="Hyperlink"/>
          </w:rPr>
          <w:t xml:space="preserve">https://doi.org/10.1007/s12103-013-9235-1</w:t>
        </w:r>
      </w:hyperlink>
    </w:p>
    <w:bookmarkEnd w:id="348"/>
    <w:bookmarkStart w:id="350" w:name="ref-Walters2015"/>
    <w:p>
      <w:pPr>
        <w:pStyle w:val="Bibliography"/>
      </w:pPr>
      <w:r>
        <w:t xml:space="preserve">Walters, G. D. (2015). The latent structure of criminal persistence: A 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349">
        <w:r>
          <w:rPr>
            <w:rStyle w:val="Hyperlink"/>
          </w:rPr>
          <w:t xml:space="preserve">https://doi.org/10.1007/s12103-014-9272-4</w:t>
        </w:r>
      </w:hyperlink>
    </w:p>
    <w:bookmarkEnd w:id="350"/>
    <w:bookmarkStart w:id="352" w:name="ref-Walters2013"/>
    <w:p>
      <w:pPr>
        <w:pStyle w:val="Bibliography"/>
      </w:pPr>
      <w:r>
        <w:t xml:space="preserve">Walters, G. D., &amp; Ruscio, J. (2013). Trajectories of youthful antisocial behavior: Categories 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351">
        <w:r>
          <w:rPr>
            <w:rStyle w:val="Hyperlink"/>
          </w:rPr>
          <w:t xml:space="preserve">https://doi.org/10.1007/s10802-012-9700-1</w:t>
        </w:r>
      </w:hyperlink>
    </w:p>
    <w:bookmarkEnd w:id="352"/>
    <w:bookmarkStart w:id="354" w:name="ref-Walton2011"/>
    <w:p>
      <w:pPr>
        <w:pStyle w:val="Bibliography"/>
      </w:pPr>
      <w:r>
        <w:t xml:space="preserve">Walton, K. E., Ormel, J., &amp; Krueger, R. F. (2011). The dimensional nature of externalizing behaviors in adolescence: Evidence 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353">
        <w:r>
          <w:rPr>
            <w:rStyle w:val="Hyperlink"/>
          </w:rPr>
          <w:t xml:space="preserve">https://doi.org/10.1007/s10802-010-9478-y</w:t>
        </w:r>
      </w:hyperlink>
    </w:p>
    <w:bookmarkEnd w:id="354"/>
    <w:bookmarkStart w:id="356"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355">
        <w:r>
          <w:rPr>
            <w:rStyle w:val="Hyperlink"/>
          </w:rPr>
          <w:t xml:space="preserve">https://doi.org/10.1016/j.dr.2008.01.001</w:t>
        </w:r>
      </w:hyperlink>
    </w:p>
    <w:bookmarkEnd w:id="356"/>
    <w:bookmarkStart w:id="358"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357">
        <w:r>
          <w:rPr>
            <w:rStyle w:val="Hyperlink"/>
          </w:rPr>
          <w:t xml:space="preserve">https://doi.org/10.1017/S0954579403000221</w:t>
        </w:r>
      </w:hyperlink>
    </w:p>
    <w:bookmarkEnd w:id="358"/>
    <w:bookmarkStart w:id="360" w:name="ref-Widaman2010"/>
    <w:p>
      <w:pPr>
        <w:pStyle w:val="Bibliography"/>
      </w:pPr>
      <w:r>
        <w:t xml:space="preserve">Widaman, K. F., Ferrer, E., &amp; Conger, R. D. (2010). Factorial invariance within longitudinal structural equation models: Measuring the same construct across time.</w:t>
      </w:r>
      <w:r>
        <w:t xml:space="preserve"> </w:t>
      </w:r>
      <w:r>
        <w:rPr>
          <w:i/>
          <w:iCs/>
        </w:rPr>
        <w:t xml:space="preserve">Child Development Perspectives</w:t>
      </w:r>
      <w:r>
        <w:t xml:space="preserve">,</w:t>
      </w:r>
      <w:r>
        <w:t xml:space="preserve"> </w:t>
      </w:r>
      <w:r>
        <w:rPr>
          <w:i/>
          <w:iCs/>
        </w:rPr>
        <w:t xml:space="preserve">4</w:t>
      </w:r>
      <w:r>
        <w:t xml:space="preserve">(1), 10–18.</w:t>
      </w:r>
      <w:r>
        <w:t xml:space="preserve"> </w:t>
      </w:r>
      <w:hyperlink r:id="rId359">
        <w:r>
          <w:rPr>
            <w:rStyle w:val="Hyperlink"/>
          </w:rPr>
          <w:t xml:space="preserve">https://doi.org/10.1111/j.1750-8606.2009.00110.x</w:t>
        </w:r>
      </w:hyperlink>
    </w:p>
    <w:bookmarkEnd w:id="360"/>
    <w:bookmarkStart w:id="362" w:name="ref-Winter2020"/>
    <w:p>
      <w:pPr>
        <w:pStyle w:val="Bibliography"/>
      </w:pPr>
      <w:r>
        <w:t xml:space="preserve">Winter, S. D., &amp; Depaoli, S. (2020). An illustration of</w:t>
      </w:r>
      <w:r>
        <w:t xml:space="preserve"> </w:t>
      </w:r>
      <w:r>
        <w:t xml:space="preserve">Bayesian</w:t>
      </w:r>
      <w:r>
        <w:t xml:space="preserve"> </w:t>
      </w:r>
      <w:r>
        <w:t xml:space="preserve">approximate measurement invariance with longitudinal data and a small sample size.</w:t>
      </w:r>
      <w:r>
        <w:t xml:space="preserve"> </w:t>
      </w:r>
      <w:r>
        <w:rPr>
          <w:i/>
          <w:iCs/>
        </w:rPr>
        <w:t xml:space="preserve">International Journal of Behavioral Development</w:t>
      </w:r>
      <w:r>
        <w:t xml:space="preserve">,</w:t>
      </w:r>
      <w:r>
        <w:t xml:space="preserve"> </w:t>
      </w:r>
      <w:r>
        <w:rPr>
          <w:i/>
          <w:iCs/>
        </w:rPr>
        <w:t xml:space="preserve">44</w:t>
      </w:r>
      <w:r>
        <w:t xml:space="preserve">(4), 371–382.</w:t>
      </w:r>
      <w:r>
        <w:t xml:space="preserve"> </w:t>
      </w:r>
      <w:hyperlink r:id="rId361">
        <w:r>
          <w:rPr>
            <w:rStyle w:val="Hyperlink"/>
          </w:rPr>
          <w:t xml:space="preserve">https://doi.org/10.1177/0165025419880610</w:t>
        </w:r>
      </w:hyperlink>
    </w:p>
    <w:bookmarkEnd w:id="362"/>
    <w:bookmarkStart w:id="364"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363">
        <w:r>
          <w:rPr>
            <w:rStyle w:val="Hyperlink"/>
          </w:rPr>
          <w:t xml:space="preserve">https://icd.who.int</w:t>
        </w:r>
      </w:hyperlink>
    </w:p>
    <w:bookmarkEnd w:id="364"/>
    <w:bookmarkStart w:id="366" w:name="ref-Wright2013"/>
    <w:p>
      <w:pPr>
        <w:pStyle w:val="Bibliography"/>
      </w:pPr>
      <w:r>
        <w:t xml:space="preserve">Wright, A. G. C., Krueger, R. F., Hobbs, M. J., Markon, K. E., Eaton, N. R., &amp; Slade, T. (2013). The structure of psychopathology: Toward 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365">
        <w:r>
          <w:rPr>
            <w:rStyle w:val="Hyperlink"/>
          </w:rPr>
          <w:t xml:space="preserve">https://doi.org/10.1037/a0030133</w:t>
        </w:r>
      </w:hyperlink>
    </w:p>
    <w:bookmarkEnd w:id="366"/>
    <w:bookmarkStart w:id="368" w:name="ref-Zhai2026"/>
    <w:p>
      <w:pPr>
        <w:pStyle w:val="Bibliography"/>
      </w:pPr>
      <w:r>
        <w:t xml:space="preserve">Zhai, R., Zhang, L., &amp; Cheng, G. (2026). Developmental trajectories of emotional and behavioral dysregulation from ages 3 to 17: Early predictors and adolescent developmental outcomes.</w:t>
      </w:r>
      <w:r>
        <w:t xml:space="preserve"> </w:t>
      </w:r>
      <w:r>
        <w:rPr>
          <w:i/>
          <w:iCs/>
        </w:rPr>
        <w:t xml:space="preserve">Journal of Affective Disorders</w:t>
      </w:r>
      <w:r>
        <w:t xml:space="preserve">,</w:t>
      </w:r>
      <w:r>
        <w:t xml:space="preserve"> </w:t>
      </w:r>
      <w:r>
        <w:rPr>
          <w:i/>
          <w:iCs/>
        </w:rPr>
        <w:t xml:space="preserve">405</w:t>
      </w:r>
      <w:r>
        <w:t xml:space="preserve">, 121556.</w:t>
      </w:r>
      <w:r>
        <w:t xml:space="preserve"> </w:t>
      </w:r>
      <w:hyperlink r:id="rId367">
        <w:r>
          <w:rPr>
            <w:rStyle w:val="Hyperlink"/>
          </w:rPr>
          <w:t xml:space="preserve">https://doi.org/10.1016/j.jad.2026.121556</w:t>
        </w:r>
      </w:hyperlink>
    </w:p>
    <w:bookmarkEnd w:id="368"/>
    <w:bookmarkEnd w:id="369"/>
    <w:p>
      <w:r>
        <w:br w:type="page"/>
      </w:r>
    </w:p>
    <w:bookmarkEnd w:id="370"/>
    <w:p>
      <w:pPr>
        <w:pStyle w:val="Heading1"/>
      </w:pPr>
      <w:r>
        <w:t xml:space="preserve">Appendix A</w:t>
      </w:r>
    </w:p>
    <w:bookmarkStart w:id="371" w:name="apx-a"/>
    <w:p>
      <w:pPr>
        <w:pStyle w:val="Heading1"/>
      </w:pPr>
      <w:r>
        <w:t xml:space="preserve">This Section Is an Appendix</w:t>
      </w:r>
    </w:p>
    <w:p>
      <w:r>
        <w:br w:type="page"/>
      </w:r>
    </w:p>
    <w:bookmarkEnd w:id="371"/>
    <w:p>
      <w:pPr>
        <w:pStyle w:val="Heading1"/>
      </w:pPr>
      <w:r>
        <w:t xml:space="preserve">Appendix B</w:t>
      </w:r>
    </w:p>
    <w:bookmarkStart w:id="372" w:name="apx-b"/>
    <w:p>
      <w:pPr>
        <w:pStyle w:val="Heading1"/>
      </w:pPr>
      <w:r>
        <w:t xml:space="preserve">Another Appendix</w:t>
      </w:r>
    </w:p>
    <w:bookmarkEnd w:id="372"/>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3">
    <w:p>
      <w:pPr>
        <w:pStyle w:val="FootnoteText"/>
      </w:pPr>
      <w:r>
        <w:rPr>
          <w:rStyle w:val="FootnoteReference"/>
        </w:rPr>
        <w:footnoteRef/>
      </w:r>
      <w:r>
        <w:t xml:space="preserve"> </w:t>
      </w:r>
      <w:r>
        <w:t xml:space="preserve">We do not consider autoregressive/cross-lagged models because such models do not examine change in level of externalizing behavior.</w:t>
      </w:r>
    </w:p>
  </w:footnote>
  <w:footnote w:id="76">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sympomts are required for older adolescents and adults (aged 17 or over).</w:t>
      </w:r>
      <w:r>
        <w:t xml:space="preserve"> </w:t>
      </w:r>
      <w:r>
        <w:t xml:space="preserve">However, the symptoms for defining ODD and ADHD do not differ across development.</w:t>
      </w:r>
    </w:p>
  </w:footnote>
  <w:footnote w:id="77">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 w:id="80">
    <w:p>
      <w:pPr>
        <w:pStyle w:val="FootnoteText"/>
      </w:pPr>
      <w:r>
        <w:rPr>
          <w:rStyle w:val="FootnoteReference"/>
        </w:rPr>
        <w:footnoteRef/>
      </w:r>
      <w:r>
        <w:t xml:space="preserve"> </w:t>
      </w:r>
      <w:r>
        <w:t xml:space="preserve">For simplicity and brevity, we refer to birth age as a proxy for developmental time.</w:t>
      </w:r>
    </w:p>
  </w:footnote>
  <w:footnote w:id="103">
    <w:p>
      <w:pPr>
        <w:pStyle w:val="FootnoteText"/>
      </w:pPr>
      <w:r>
        <w:rPr>
          <w:rStyle w:val="FootnoteReference"/>
        </w:rPr>
        <w:footnoteRef/>
      </w:r>
      <w:r>
        <w:t xml:space="preserve"> </w:t>
      </w:r>
      <w:r>
        <w:t xml:space="preserve">Strong invariance is also called</w:t>
      </w:r>
      <w:r>
        <w:t xml:space="preserve"> </w:t>
      </w:r>
      <w:r>
        <w:t xml:space="preserve">“scalar invariance”</w:t>
      </w:r>
      <w:r>
        <w:t xml:space="preserve">.</w:t>
      </w:r>
    </w:p>
  </w:footnote>
  <w:footnote w:id="121">
    <w:p>
      <w:pPr>
        <w:pStyle w:val="FootnoteText"/>
      </w:pPr>
      <w:r>
        <w:rPr>
          <w:rStyle w:val="FootnoteReference"/>
        </w:rPr>
        <w:footnoteRef/>
      </w:r>
      <w:r>
        <w:t xml:space="preserve"> </w:t>
      </w:r>
      <w:r>
        <w:t xml:space="preserve">Factorial invariance is also called</w:t>
      </w:r>
      <w:r>
        <w:t xml:space="preserve"> </w:t>
      </w:r>
      <w:r>
        <w:t xml:space="preserve">“measurement invariance”</w:t>
      </w:r>
      <w:r>
        <w:t xml:space="preserve">.</w:t>
      </w:r>
      <w:r>
        <w:t xml:space="preserve"> </w:t>
      </w:r>
      <w:r>
        <w:t xml:space="preserve">In this context, we prefer the term</w:t>
      </w:r>
      <w:r>
        <w:t xml:space="preserve"> </w:t>
      </w:r>
      <w:r>
        <w:t xml:space="preserve">“factorial invariance”</w:t>
      </w:r>
      <w:r>
        <w:t xml:space="preserve"> </w:t>
      </w:r>
      <w:r>
        <w:t xml:space="preserve">because, as described, the actual measures used may differ across time.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104" Target="media/rId104.png" /><Relationship Type="http://schemas.openxmlformats.org/officeDocument/2006/relationships/image" Id="rId71" Target="media/rId71.png" /><Relationship Type="http://schemas.openxmlformats.org/officeDocument/2006/relationships/image" Id="rId88" Target="media/rId88.png" /><Relationship Type="http://schemas.openxmlformats.org/officeDocument/2006/relationships/image" Id="rId81" Target="media/rId81.jpg" /><Relationship Type="http://schemas.openxmlformats.org/officeDocument/2006/relationships/image" Id="rId98" Target="media/rId98.png" /><Relationship Type="http://schemas.openxmlformats.org/officeDocument/2006/relationships/image" Id="rId112" Target="media/rId112.png" /><Relationship Type="http://schemas.openxmlformats.org/officeDocument/2006/relationships/image" Id="rId23" Target="media/rId23.svg" /><Relationship Type="http://schemas.openxmlformats.org/officeDocument/2006/relationships/image" Id="rId47" Target="media/rId47.png" /><Relationship Type="http://schemas.openxmlformats.org/officeDocument/2006/relationships/image" Id="rId42" Target="media/rId42.png" /><Relationship Type="http://schemas.openxmlformats.org/officeDocument/2006/relationships/image" Id="rId64" Target="media/rId64.png" /><Relationship Type="http://schemas.openxmlformats.org/officeDocument/2006/relationships/image" Id="rId53" Target="media/rId53.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51" Target="https://DevPsyLab.github.io/studying-psychopathology-development-lifespan/notebooks/analyses-preview.html#cell-fig-externalizingbyage" TargetMode="External" /><Relationship Type="http://schemas.openxmlformats.org/officeDocument/2006/relationships/hyperlink" Id="rId46" Target="https://DevPsyLab.github.io/studying-psychopathology-development-lifespan/notebooks/analyses-preview.html#cell-fig-lifespancognitivetrajectories" TargetMode="External" /><Relationship Type="http://schemas.openxmlformats.org/officeDocument/2006/relationships/hyperlink" Id="rId68" Target="https://DevPsyLab.github.io/studying-psychopathology-development-lifespan/notebooks/analyses-preview.html#cell-fig-longitudinalexternalizingstudies" TargetMode="External" /><Relationship Type="http://schemas.openxmlformats.org/officeDocument/2006/relationships/hyperlink" Id="rId57" Target="https://DevPsyLab.github.io/studying-psychopathology-development-lifespan/notebooks/analyses-preview.html#cell-fig-longitudinalstudies" TargetMode="External" /><Relationship Type="http://schemas.openxmlformats.org/officeDocument/2006/relationships/hyperlink" Id="rId93" Target="https://DevPsyLab.github.io/studying-psychopathology-development-lifespan/notebooks/analyses-preview.html#cell-tbl-externalizingfacets" TargetMode="External" /><Relationship Type="http://schemas.openxmlformats.org/officeDocument/2006/relationships/hyperlink" Id="rId239" Target="https://doi.org/10.1001/archgenpsychiatry.2010.188" TargetMode="External" /><Relationship Type="http://schemas.openxmlformats.org/officeDocument/2006/relationships/hyperlink" Id="rId257" Target="https://doi.org/10.1001/archpsyc.62.12.1352" TargetMode="External" /><Relationship Type="http://schemas.openxmlformats.org/officeDocument/2006/relationships/hyperlink" Id="rId154" Target="https://doi.org/10.1001/jamanetworkopen.2020.3221" TargetMode="External" /><Relationship Type="http://schemas.openxmlformats.org/officeDocument/2006/relationships/hyperlink" Id="rId158" Target="https://doi.org/10.1002/9780470147658.chpsy0306" TargetMode="External" /><Relationship Type="http://schemas.openxmlformats.org/officeDocument/2006/relationships/hyperlink" Id="rId144" Target="https://doi.org/10.1002/9781119125556.devpsy101" TargetMode="External" /><Relationship Type="http://schemas.openxmlformats.org/officeDocument/2006/relationships/hyperlink" Id="rId220" Target="https://doi.org/10.1002/cbm.708" TargetMode="External" /><Relationship Type="http://schemas.openxmlformats.org/officeDocument/2006/relationships/hyperlink" Id="rId130" Target="https://doi.org/10.1002/jcv2.70043" TargetMode="External" /><Relationship Type="http://schemas.openxmlformats.org/officeDocument/2006/relationships/hyperlink" Id="rId237" Target="https://doi.org/10.1002/wps.20844" TargetMode="External" /><Relationship Type="http://schemas.openxmlformats.org/officeDocument/2006/relationships/hyperlink" Id="rId188" Target="https://doi.org/10.1007/978-1-0716-3335-9_5" TargetMode="External" /><Relationship Type="http://schemas.openxmlformats.org/officeDocument/2006/relationships/hyperlink" Id="rId230" Target="https://doi.org/10.1007/978-1-4939-0317-7" TargetMode="External" /><Relationship Type="http://schemas.openxmlformats.org/officeDocument/2006/relationships/hyperlink" Id="rId253" Target="https://doi.org/10.1007/978-3-030-68429-7" TargetMode="External" /><Relationship Type="http://schemas.openxmlformats.org/officeDocument/2006/relationships/hyperlink" Id="rId297" Target="https://doi.org/10.1007/s00127-015-1048-8" TargetMode="External" /><Relationship Type="http://schemas.openxmlformats.org/officeDocument/2006/relationships/hyperlink" Id="rId193" Target="https://doi.org/10.1007/s00234-020-02562-1" TargetMode="External" /><Relationship Type="http://schemas.openxmlformats.org/officeDocument/2006/relationships/hyperlink" Id="rId353" Target="https://doi.org/10.1007/s10802-010-9478-y" TargetMode="External" /><Relationship Type="http://schemas.openxmlformats.org/officeDocument/2006/relationships/hyperlink" Id="rId146" Target="https://doi.org/10.1007/s10802-012-9669-9" TargetMode="External" /><Relationship Type="http://schemas.openxmlformats.org/officeDocument/2006/relationships/hyperlink" Id="rId351" Target="https://doi.org/10.1007/s10802-012-9700-1" TargetMode="External" /><Relationship Type="http://schemas.openxmlformats.org/officeDocument/2006/relationships/hyperlink" Id="rId224" Target="https://doi.org/10.1007/s10802-017-0383-5" TargetMode="External" /><Relationship Type="http://schemas.openxmlformats.org/officeDocument/2006/relationships/hyperlink" Id="rId226" Target="https://doi.org/10.1007/s10802-021-00885-y" TargetMode="External" /><Relationship Type="http://schemas.openxmlformats.org/officeDocument/2006/relationships/hyperlink" Id="rId211" Target="https://doi.org/10.1007/s10826-018-1272-4" TargetMode="External" /><Relationship Type="http://schemas.openxmlformats.org/officeDocument/2006/relationships/hyperlink" Id="rId347" Target="https://doi.org/10.1007/s12103-013-9235-1" TargetMode="External" /><Relationship Type="http://schemas.openxmlformats.org/officeDocument/2006/relationships/hyperlink" Id="rId349" Target="https://doi.org/10.1007/s12103-014-9272-4" TargetMode="External" /><Relationship Type="http://schemas.openxmlformats.org/officeDocument/2006/relationships/hyperlink" Id="rId160" Target="https://doi.org/10.1007/s40865-015-0012-3" TargetMode="External" /><Relationship Type="http://schemas.openxmlformats.org/officeDocument/2006/relationships/hyperlink" Id="rId247" Target="https://doi.org/10.1016/S0005-7967(02)00016-5" TargetMode="External" /><Relationship Type="http://schemas.openxmlformats.org/officeDocument/2006/relationships/hyperlink" Id="rId152" Target="https://doi.org/10.1016/j.cpr.2012.02.006" TargetMode="External" /><Relationship Type="http://schemas.openxmlformats.org/officeDocument/2006/relationships/hyperlink" Id="rId355" Target="https://doi.org/10.1016/j.dr.2008.01.001" TargetMode="External" /><Relationship Type="http://schemas.openxmlformats.org/officeDocument/2006/relationships/hyperlink" Id="rId288" Target="https://doi.org/10.1016/j.dr.2020.100935" TargetMode="External" /><Relationship Type="http://schemas.openxmlformats.org/officeDocument/2006/relationships/hyperlink" Id="rId339" Target="https://doi.org/10.1016/j.jaac.2013.10.011" TargetMode="External" /><Relationship Type="http://schemas.openxmlformats.org/officeDocument/2006/relationships/hyperlink" Id="rId140" Target="https://doi.org/10.1016/j.jaac.2017.05.019" TargetMode="External" /><Relationship Type="http://schemas.openxmlformats.org/officeDocument/2006/relationships/hyperlink" Id="rId85" Target="https://doi.org/10.1016/j.jaacop.2025.10.008" TargetMode="External" /><Relationship Type="http://schemas.openxmlformats.org/officeDocument/2006/relationships/hyperlink" Id="rId367" Target="https://doi.org/10.1016/j.jad.2026.121556" TargetMode="External" /><Relationship Type="http://schemas.openxmlformats.org/officeDocument/2006/relationships/hyperlink" Id="rId320" Target="https://doi.org/10.1016/j.jcrimjus.2024.102155" TargetMode="External" /><Relationship Type="http://schemas.openxmlformats.org/officeDocument/2006/relationships/hyperlink" Id="rId132" Target="https://doi.org/10.1016/j.jpsychires.2013.08.016" TargetMode="External" /><Relationship Type="http://schemas.openxmlformats.org/officeDocument/2006/relationships/hyperlink" Id="rId205" Target="https://doi.org/10.1017/S0033291711001966" TargetMode="External" /><Relationship Type="http://schemas.openxmlformats.org/officeDocument/2006/relationships/hyperlink" Id="rId207" Target="https://doi.org/10.1017/S003329172000183X" TargetMode="External" /><Relationship Type="http://schemas.openxmlformats.org/officeDocument/2006/relationships/hyperlink" Id="rId357" Target="https://doi.org/10.1017/S0954579403000221" TargetMode="External" /><Relationship Type="http://schemas.openxmlformats.org/officeDocument/2006/relationships/hyperlink" Id="rId325" Target="https://doi.org/10.1017/S0954579407070174" TargetMode="External" /><Relationship Type="http://schemas.openxmlformats.org/officeDocument/2006/relationships/hyperlink" Id="rId273" Target="https://doi.org/10.1017/S0954579408000333" TargetMode="External" /><Relationship Type="http://schemas.openxmlformats.org/officeDocument/2006/relationships/hyperlink" Id="rId251" Target="https://doi.org/10.1017/S0954579410000301" TargetMode="External" /><Relationship Type="http://schemas.openxmlformats.org/officeDocument/2006/relationships/hyperlink" Id="rId286" Target="https://doi.org/10.1017/S0954579414000789" TargetMode="External" /><Relationship Type="http://schemas.openxmlformats.org/officeDocument/2006/relationships/hyperlink" Id="rId190" Target="https://doi.org/10.1017/S0954579416000651" TargetMode="External" /><Relationship Type="http://schemas.openxmlformats.org/officeDocument/2006/relationships/hyperlink" Id="rId195" Target="https://doi.org/10.1017/S0954579421001772" TargetMode="External" /><Relationship Type="http://schemas.openxmlformats.org/officeDocument/2006/relationships/hyperlink" Id="rId138" Target="https://doi.org/10.1017/S0954579423001505" TargetMode="External" /><Relationship Type="http://schemas.openxmlformats.org/officeDocument/2006/relationships/hyperlink" Id="rId203" Target="https://doi.org/10.1017/S0954579424000713" TargetMode="External" /><Relationship Type="http://schemas.openxmlformats.org/officeDocument/2006/relationships/hyperlink" Id="rId275" Target="https://doi.org/10.1023/a:1026254005632" TargetMode="External" /><Relationship Type="http://schemas.openxmlformats.org/officeDocument/2006/relationships/hyperlink" Id="rId150" Target="https://doi.org/10.1027/1015-5759.17.1.25" TargetMode="External" /><Relationship Type="http://schemas.openxmlformats.org/officeDocument/2006/relationships/hyperlink" Id="rId310" Target="https://doi.org/10.1037/0003-066X.54.2.93" TargetMode="External" /><Relationship Type="http://schemas.openxmlformats.org/officeDocument/2006/relationships/hyperlink" Id="rId148" Target="https://doi.org/10.1037/0012-1649.39.2.222" TargetMode="External" /><Relationship Type="http://schemas.openxmlformats.org/officeDocument/2006/relationships/hyperlink" Id="rId241" Target="https://doi.org/10.1037/0021-843X.116.4.645" TargetMode="External" /><Relationship Type="http://schemas.openxmlformats.org/officeDocument/2006/relationships/hyperlink" Id="rId243" Target="https://doi.org/10.1037/0021-843x.114.4.537" TargetMode="External" /><Relationship Type="http://schemas.openxmlformats.org/officeDocument/2006/relationships/hyperlink" Id="rId279" Target="https://doi.org/10.1037/0022-006X.61.6.911" TargetMode="External" /><Relationship Type="http://schemas.openxmlformats.org/officeDocument/2006/relationships/hyperlink" Id="rId168" Target="https://doi.org/10.1037/0022-006X.70.1.6" TargetMode="External" /><Relationship Type="http://schemas.openxmlformats.org/officeDocument/2006/relationships/hyperlink" Id="rId263" Target="https://doi.org/10.1037/0033-295X.100.4.674" TargetMode="External" /><Relationship Type="http://schemas.openxmlformats.org/officeDocument/2006/relationships/hyperlink" Id="rId245" Target="https://doi.org/10.1037/1040-3590.16.2.107" TargetMode="External" /><Relationship Type="http://schemas.openxmlformats.org/officeDocument/2006/relationships/hyperlink" Id="rId216" Target="https://doi.org/10.1037/13129-000" TargetMode="External" /><Relationship Type="http://schemas.openxmlformats.org/officeDocument/2006/relationships/hyperlink" Id="rId127" Target="https://doi.org/10.1037/14048-008" TargetMode="External" /><Relationship Type="http://schemas.openxmlformats.org/officeDocument/2006/relationships/hyperlink" Id="rId343" Target="https://doi.org/10.1037/a0021519" TargetMode="External" /><Relationship Type="http://schemas.openxmlformats.org/officeDocument/2006/relationships/hyperlink" Id="rId255" Target="https://doi.org/10.1037/a0023678" TargetMode="External" /><Relationship Type="http://schemas.openxmlformats.org/officeDocument/2006/relationships/hyperlink" Id="rId365" Target="https://doi.org/10.1037/a0030133" TargetMode="External" /><Relationship Type="http://schemas.openxmlformats.org/officeDocument/2006/relationships/hyperlink" Id="rId314" Target="https://doi.org/10.1037/abn0000171" TargetMode="External" /><Relationship Type="http://schemas.openxmlformats.org/officeDocument/2006/relationships/hyperlink" Id="rId306" Target="https://doi.org/10.1037/abn0000232" TargetMode="External" /><Relationship Type="http://schemas.openxmlformats.org/officeDocument/2006/relationships/hyperlink" Id="rId233" Target="https://doi.org/10.1037/abn0000258" TargetMode="External" /><Relationship Type="http://schemas.openxmlformats.org/officeDocument/2006/relationships/hyperlink" Id="rId329" Target="https://doi.org/10.1037/abn0000751" TargetMode="External" /><Relationship Type="http://schemas.openxmlformats.org/officeDocument/2006/relationships/hyperlink" Id="rId178" Target="https://doi.org/10.1037/abn0001084" TargetMode="External" /><Relationship Type="http://schemas.openxmlformats.org/officeDocument/2006/relationships/hyperlink" Id="rId295" Target="https://doi.org/10.1037/dev0000449" TargetMode="External" /><Relationship Type="http://schemas.openxmlformats.org/officeDocument/2006/relationships/hyperlink" Id="rId316" Target="https://doi.org/10.1037/dev0001095" TargetMode="External" /><Relationship Type="http://schemas.openxmlformats.org/officeDocument/2006/relationships/hyperlink" Id="rId283" Target="https://doi.org/10.1037/dev0001657" TargetMode="External" /><Relationship Type="http://schemas.openxmlformats.org/officeDocument/2006/relationships/hyperlink" Id="rId108" Target="https://doi.org/10.1037/edu0000461" TargetMode="External" /><Relationship Type="http://schemas.openxmlformats.org/officeDocument/2006/relationships/hyperlink" Id="rId134" Target="https://doi.org/10.1037/met0000077" TargetMode="External" /><Relationship Type="http://schemas.openxmlformats.org/officeDocument/2006/relationships/hyperlink" Id="rId164" Target="https://doi.org/10.1037/met0000685" TargetMode="External" /><Relationship Type="http://schemas.openxmlformats.org/officeDocument/2006/relationships/hyperlink" Id="rId318" Target="https://doi.org/10.1037/pas0000648" TargetMode="External" /><Relationship Type="http://schemas.openxmlformats.org/officeDocument/2006/relationships/hyperlink" Id="rId75" Target="https://doi.org/10.1037/pas0001441" TargetMode="External" /><Relationship Type="http://schemas.openxmlformats.org/officeDocument/2006/relationships/hyperlink" Id="rId331" Target="https://doi.org/10.1038/s44220-023-00057-5" TargetMode="External" /><Relationship Type="http://schemas.openxmlformats.org/officeDocument/2006/relationships/hyperlink" Id="rId265" Target="https://doi.org/10.1073/pnas.1010076108" TargetMode="External" /><Relationship Type="http://schemas.openxmlformats.org/officeDocument/2006/relationships/hyperlink" Id="rId176" Target="https://doi.org/10.1080/00273171.2014.889594" TargetMode="External" /><Relationship Type="http://schemas.openxmlformats.org/officeDocument/2006/relationships/hyperlink" Id="rId249" Target="https://doi.org/10.1080/00273171.2021.1941730" TargetMode="External" /><Relationship Type="http://schemas.openxmlformats.org/officeDocument/2006/relationships/hyperlink" Id="rId162" Target="https://doi.org/10.1080/00273171.2026.2640576" TargetMode="External" /><Relationship Type="http://schemas.openxmlformats.org/officeDocument/2006/relationships/hyperlink" Id="rId299" Target="https://doi.org/10.1080/10705511.2023.2191292" TargetMode="External" /><Relationship Type="http://schemas.openxmlformats.org/officeDocument/2006/relationships/hyperlink" Id="rId341" Target="https://doi.org/10.1080/15374416.2018.1561296" TargetMode="External" /><Relationship Type="http://schemas.openxmlformats.org/officeDocument/2006/relationships/hyperlink" Id="rId333" Target="https://doi.org/10.1080/15374416.2019.1622124" TargetMode="External" /><Relationship Type="http://schemas.openxmlformats.org/officeDocument/2006/relationships/hyperlink" Id="rId308" Target="https://doi.org/10.1086/269270" TargetMode="External" /><Relationship Type="http://schemas.openxmlformats.org/officeDocument/2006/relationships/hyperlink" Id="rId182" Target="https://doi.org/10.1108/978-1-61735-891-320251015" TargetMode="External" /><Relationship Type="http://schemas.openxmlformats.org/officeDocument/2006/relationships/hyperlink" Id="rId293" Target="https://doi.org/10.1111/cdev.13433" TargetMode="External" /><Relationship Type="http://schemas.openxmlformats.org/officeDocument/2006/relationships/hyperlink" Id="rId281" Target="https://doi.org/10.1111/desc.70216" TargetMode="External" /><Relationship Type="http://schemas.openxmlformats.org/officeDocument/2006/relationships/hyperlink" Id="rId142" Target="https://doi.org/10.1111/j.1467-8624.2004.00755.x" TargetMode="External" /><Relationship Type="http://schemas.openxmlformats.org/officeDocument/2006/relationships/hyperlink" Id="rId259" Target="https://doi.org/10.1111/j.1467-9507.2008.00480.x" TargetMode="External" /><Relationship Type="http://schemas.openxmlformats.org/officeDocument/2006/relationships/hyperlink" Id="rId302" Target="https://doi.org/10.1111/j.1469-7610.2006.01614.x" TargetMode="External" /><Relationship Type="http://schemas.openxmlformats.org/officeDocument/2006/relationships/hyperlink" Id="rId172" Target="https://doi.org/10.1111/j.1469-7610.2011.02511.x" TargetMode="External" /><Relationship Type="http://schemas.openxmlformats.org/officeDocument/2006/relationships/hyperlink" Id="rId218" Target="https://doi.org/10.1111/j.1469-7610.2012.02585.x" TargetMode="External" /><Relationship Type="http://schemas.openxmlformats.org/officeDocument/2006/relationships/hyperlink" Id="rId359" Target="https://doi.org/10.1111/j.1750-8606.2009.00110.x" TargetMode="External" /><Relationship Type="http://schemas.openxmlformats.org/officeDocument/2006/relationships/hyperlink" Id="rId228" Target="https://doi.org/10.1111/j.1750-8606.2009.00112.x" TargetMode="External" /><Relationship Type="http://schemas.openxmlformats.org/officeDocument/2006/relationships/hyperlink" Id="rId186" Target="https://doi.org/10.1111/jcpp.12102" TargetMode="External" /><Relationship Type="http://schemas.openxmlformats.org/officeDocument/2006/relationships/hyperlink" Id="rId322" Target="https://doi.org/10.1111/jcpp.13549" TargetMode="External" /><Relationship Type="http://schemas.openxmlformats.org/officeDocument/2006/relationships/hyperlink" Id="rId136" Target="https://doi.org/10.1111/jcpp.70057" TargetMode="External" /><Relationship Type="http://schemas.openxmlformats.org/officeDocument/2006/relationships/hyperlink" Id="rId304" Target="https://doi.org/10.1111/jcpp.70180" TargetMode="External" /><Relationship Type="http://schemas.openxmlformats.org/officeDocument/2006/relationships/hyperlink" Id="rId222" Target="https://doi.org/10.1111/jora.12252" TargetMode="External" /><Relationship Type="http://schemas.openxmlformats.org/officeDocument/2006/relationships/hyperlink" Id="rId235" Target="https://doi.org/10.1111/psyp.12551" TargetMode="External" /><Relationship Type="http://schemas.openxmlformats.org/officeDocument/2006/relationships/hyperlink" Id="rId180" Target="https://doi.org/10.1126/science.2270481" TargetMode="External" /><Relationship Type="http://schemas.openxmlformats.org/officeDocument/2006/relationships/hyperlink" Id="rId271" Target="https://doi.org/10.1146/annurev-clinpsy-061324-073435" TargetMode="External" /><Relationship Type="http://schemas.openxmlformats.org/officeDocument/2006/relationships/hyperlink" Id="rId267" Target="https://doi.org/10.1159/000270073" TargetMode="External" /><Relationship Type="http://schemas.openxmlformats.org/officeDocument/2006/relationships/hyperlink" Id="rId209" Target="https://doi.org/10.1176/appi.ajp.2008.08030366" TargetMode="External" /><Relationship Type="http://schemas.openxmlformats.org/officeDocument/2006/relationships/hyperlink" Id="rId345" Target="https://doi.org/10.1177/0093854812443645" TargetMode="External" /><Relationship Type="http://schemas.openxmlformats.org/officeDocument/2006/relationships/hyperlink" Id="rId174" Target="https://doi.org/10.1177/0146621612470210" TargetMode="External" /><Relationship Type="http://schemas.openxmlformats.org/officeDocument/2006/relationships/hyperlink" Id="rId361" Target="https://doi.org/10.1177/0165025419880610" TargetMode="External" /><Relationship Type="http://schemas.openxmlformats.org/officeDocument/2006/relationships/hyperlink" Id="rId327" Target="https://doi.org/10.1177/1362361320908972" TargetMode="External" /><Relationship Type="http://schemas.openxmlformats.org/officeDocument/2006/relationships/hyperlink" Id="rId156" Target="https://doi.org/10.1177/2167702613497473" TargetMode="External" /><Relationship Type="http://schemas.openxmlformats.org/officeDocument/2006/relationships/hyperlink" Id="rId277" Target="https://doi.org/10.1371/journal.pone.0063109" TargetMode="External" /><Relationship Type="http://schemas.openxmlformats.org/officeDocument/2006/relationships/hyperlink" Id="rId197" Target="https://doi.org/10.1378/chest.116.5.1208" TargetMode="External" /><Relationship Type="http://schemas.openxmlformats.org/officeDocument/2006/relationships/hyperlink" Id="rId166" Target="https://doi.org/10.14283/jfa.2012.9" TargetMode="External" /><Relationship Type="http://schemas.openxmlformats.org/officeDocument/2006/relationships/hyperlink" Id="rId312" Target="https://doi.org/10.18148/srm/2018.v12i1.7210" TargetMode="External" /><Relationship Type="http://schemas.openxmlformats.org/officeDocument/2006/relationships/hyperlink" Id="rId199" Target="https://doi.org/10.22237/jmasm/1209614640" TargetMode="External" /><Relationship Type="http://schemas.openxmlformats.org/officeDocument/2006/relationships/hyperlink" Id="rId184" Target="https://doi.org/10.2307/2095245" TargetMode="External" /><Relationship Type="http://schemas.openxmlformats.org/officeDocument/2006/relationships/hyperlink" Id="rId335" Target="https://doi.org/10.2307/j.ctt2jbxs1" TargetMode="External" /><Relationship Type="http://schemas.openxmlformats.org/officeDocument/2006/relationships/hyperlink" Id="rId116" Target="https://doi.org/10.25820/work.007199" TargetMode="External" /><Relationship Type="http://schemas.openxmlformats.org/officeDocument/2006/relationships/hyperlink" Id="rId337" Target="https://doi.org/10.3389/fpsyg.2013.00770" TargetMode="External" /><Relationship Type="http://schemas.openxmlformats.org/officeDocument/2006/relationships/hyperlink" Id="rId269" Target="https://doi.org/10.3389/fpsyg.2014.00978" TargetMode="External" /><Relationship Type="http://schemas.openxmlformats.org/officeDocument/2006/relationships/hyperlink" Id="rId170" Target="https://doi.org/10.3389/fpsyg.2014.00982" TargetMode="External" /><Relationship Type="http://schemas.openxmlformats.org/officeDocument/2006/relationships/hyperlink" Id="rId363" Target="https://icd.who.int" TargetMode="External" /><Relationship Type="http://schemas.openxmlformats.org/officeDocument/2006/relationships/hyperlink" Id="rId261"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 Type="http://schemas.openxmlformats.org/officeDocument/2006/relationships/hyperlink" Id="rId201" Target="https://quantitudepod.org/latent-means/" TargetMode="External" /></Relationships>
</file>

<file path=word/_rels/footnotes.xml.rels><?xml version="1.0" encoding="UTF-8"?><Relationships xmlns="http://schemas.openxmlformats.org/package/2006/relationships"><Relationship Type="http://schemas.openxmlformats.org/officeDocument/2006/relationships/hyperlink" Id="rId51" Target="https://DevPsyLab.github.io/studying-psychopathology-development-lifespan/notebooks/analyses-preview.html#cell-fig-externalizingbyage" TargetMode="External" /><Relationship Type="http://schemas.openxmlformats.org/officeDocument/2006/relationships/hyperlink" Id="rId46" Target="https://DevPsyLab.github.io/studying-psychopathology-development-lifespan/notebooks/analyses-preview.html#cell-fig-lifespancognitivetrajectories" TargetMode="External" /><Relationship Type="http://schemas.openxmlformats.org/officeDocument/2006/relationships/hyperlink" Id="rId68" Target="https://DevPsyLab.github.io/studying-psychopathology-development-lifespan/notebooks/analyses-preview.html#cell-fig-longitudinalexternalizingstudies" TargetMode="External" /><Relationship Type="http://schemas.openxmlformats.org/officeDocument/2006/relationships/hyperlink" Id="rId57" Target="https://DevPsyLab.github.io/studying-psychopathology-development-lifespan/notebooks/analyses-preview.html#cell-fig-longitudinalstudies" TargetMode="External" /><Relationship Type="http://schemas.openxmlformats.org/officeDocument/2006/relationships/hyperlink" Id="rId93" Target="https://DevPsyLab.github.io/studying-psychopathology-development-lifespan/notebooks/analyses-preview.html#cell-tbl-externalizingfacets" TargetMode="External" /><Relationship Type="http://schemas.openxmlformats.org/officeDocument/2006/relationships/hyperlink" Id="rId239" Target="https://doi.org/10.1001/archgenpsychiatry.2010.188" TargetMode="External" /><Relationship Type="http://schemas.openxmlformats.org/officeDocument/2006/relationships/hyperlink" Id="rId257" Target="https://doi.org/10.1001/archpsyc.62.12.1352" TargetMode="External" /><Relationship Type="http://schemas.openxmlformats.org/officeDocument/2006/relationships/hyperlink" Id="rId154" Target="https://doi.org/10.1001/jamanetworkopen.2020.3221" TargetMode="External" /><Relationship Type="http://schemas.openxmlformats.org/officeDocument/2006/relationships/hyperlink" Id="rId158" Target="https://doi.org/10.1002/9780470147658.chpsy0306" TargetMode="External" /><Relationship Type="http://schemas.openxmlformats.org/officeDocument/2006/relationships/hyperlink" Id="rId144" Target="https://doi.org/10.1002/9781119125556.devpsy101" TargetMode="External" /><Relationship Type="http://schemas.openxmlformats.org/officeDocument/2006/relationships/hyperlink" Id="rId220" Target="https://doi.org/10.1002/cbm.708" TargetMode="External" /><Relationship Type="http://schemas.openxmlformats.org/officeDocument/2006/relationships/hyperlink" Id="rId130" Target="https://doi.org/10.1002/jcv2.70043" TargetMode="External" /><Relationship Type="http://schemas.openxmlformats.org/officeDocument/2006/relationships/hyperlink" Id="rId237" Target="https://doi.org/10.1002/wps.20844" TargetMode="External" /><Relationship Type="http://schemas.openxmlformats.org/officeDocument/2006/relationships/hyperlink" Id="rId188" Target="https://doi.org/10.1007/978-1-0716-3335-9_5" TargetMode="External" /><Relationship Type="http://schemas.openxmlformats.org/officeDocument/2006/relationships/hyperlink" Id="rId230" Target="https://doi.org/10.1007/978-1-4939-0317-7" TargetMode="External" /><Relationship Type="http://schemas.openxmlformats.org/officeDocument/2006/relationships/hyperlink" Id="rId253" Target="https://doi.org/10.1007/978-3-030-68429-7" TargetMode="External" /><Relationship Type="http://schemas.openxmlformats.org/officeDocument/2006/relationships/hyperlink" Id="rId297" Target="https://doi.org/10.1007/s00127-015-1048-8" TargetMode="External" /><Relationship Type="http://schemas.openxmlformats.org/officeDocument/2006/relationships/hyperlink" Id="rId193" Target="https://doi.org/10.1007/s00234-020-02562-1" TargetMode="External" /><Relationship Type="http://schemas.openxmlformats.org/officeDocument/2006/relationships/hyperlink" Id="rId353" Target="https://doi.org/10.1007/s10802-010-9478-y" TargetMode="External" /><Relationship Type="http://schemas.openxmlformats.org/officeDocument/2006/relationships/hyperlink" Id="rId146" Target="https://doi.org/10.1007/s10802-012-9669-9" TargetMode="External" /><Relationship Type="http://schemas.openxmlformats.org/officeDocument/2006/relationships/hyperlink" Id="rId351" Target="https://doi.org/10.1007/s10802-012-9700-1" TargetMode="External" /><Relationship Type="http://schemas.openxmlformats.org/officeDocument/2006/relationships/hyperlink" Id="rId224" Target="https://doi.org/10.1007/s10802-017-0383-5" TargetMode="External" /><Relationship Type="http://schemas.openxmlformats.org/officeDocument/2006/relationships/hyperlink" Id="rId226" Target="https://doi.org/10.1007/s10802-021-00885-y" TargetMode="External" /><Relationship Type="http://schemas.openxmlformats.org/officeDocument/2006/relationships/hyperlink" Id="rId211" Target="https://doi.org/10.1007/s10826-018-1272-4" TargetMode="External" /><Relationship Type="http://schemas.openxmlformats.org/officeDocument/2006/relationships/hyperlink" Id="rId347" Target="https://doi.org/10.1007/s12103-013-9235-1" TargetMode="External" /><Relationship Type="http://schemas.openxmlformats.org/officeDocument/2006/relationships/hyperlink" Id="rId349" Target="https://doi.org/10.1007/s12103-014-9272-4" TargetMode="External" /><Relationship Type="http://schemas.openxmlformats.org/officeDocument/2006/relationships/hyperlink" Id="rId160" Target="https://doi.org/10.1007/s40865-015-0012-3" TargetMode="External" /><Relationship Type="http://schemas.openxmlformats.org/officeDocument/2006/relationships/hyperlink" Id="rId247" Target="https://doi.org/10.1016/S0005-7967(02)00016-5" TargetMode="External" /><Relationship Type="http://schemas.openxmlformats.org/officeDocument/2006/relationships/hyperlink" Id="rId152" Target="https://doi.org/10.1016/j.cpr.2012.02.006" TargetMode="External" /><Relationship Type="http://schemas.openxmlformats.org/officeDocument/2006/relationships/hyperlink" Id="rId355" Target="https://doi.org/10.1016/j.dr.2008.01.001" TargetMode="External" /><Relationship Type="http://schemas.openxmlformats.org/officeDocument/2006/relationships/hyperlink" Id="rId288" Target="https://doi.org/10.1016/j.dr.2020.100935" TargetMode="External" /><Relationship Type="http://schemas.openxmlformats.org/officeDocument/2006/relationships/hyperlink" Id="rId339" Target="https://doi.org/10.1016/j.jaac.2013.10.011" TargetMode="External" /><Relationship Type="http://schemas.openxmlformats.org/officeDocument/2006/relationships/hyperlink" Id="rId140" Target="https://doi.org/10.1016/j.jaac.2017.05.019" TargetMode="External" /><Relationship Type="http://schemas.openxmlformats.org/officeDocument/2006/relationships/hyperlink" Id="rId85" Target="https://doi.org/10.1016/j.jaacop.2025.10.008" TargetMode="External" /><Relationship Type="http://schemas.openxmlformats.org/officeDocument/2006/relationships/hyperlink" Id="rId367" Target="https://doi.org/10.1016/j.jad.2026.121556" TargetMode="External" /><Relationship Type="http://schemas.openxmlformats.org/officeDocument/2006/relationships/hyperlink" Id="rId320" Target="https://doi.org/10.1016/j.jcrimjus.2024.102155" TargetMode="External" /><Relationship Type="http://schemas.openxmlformats.org/officeDocument/2006/relationships/hyperlink" Id="rId132" Target="https://doi.org/10.1016/j.jpsychires.2013.08.016" TargetMode="External" /><Relationship Type="http://schemas.openxmlformats.org/officeDocument/2006/relationships/hyperlink" Id="rId205" Target="https://doi.org/10.1017/S0033291711001966" TargetMode="External" /><Relationship Type="http://schemas.openxmlformats.org/officeDocument/2006/relationships/hyperlink" Id="rId207" Target="https://doi.org/10.1017/S003329172000183X" TargetMode="External" /><Relationship Type="http://schemas.openxmlformats.org/officeDocument/2006/relationships/hyperlink" Id="rId357" Target="https://doi.org/10.1017/S0954579403000221" TargetMode="External" /><Relationship Type="http://schemas.openxmlformats.org/officeDocument/2006/relationships/hyperlink" Id="rId325" Target="https://doi.org/10.1017/S0954579407070174" TargetMode="External" /><Relationship Type="http://schemas.openxmlformats.org/officeDocument/2006/relationships/hyperlink" Id="rId273" Target="https://doi.org/10.1017/S0954579408000333" TargetMode="External" /><Relationship Type="http://schemas.openxmlformats.org/officeDocument/2006/relationships/hyperlink" Id="rId251" Target="https://doi.org/10.1017/S0954579410000301" TargetMode="External" /><Relationship Type="http://schemas.openxmlformats.org/officeDocument/2006/relationships/hyperlink" Id="rId286" Target="https://doi.org/10.1017/S0954579414000789" TargetMode="External" /><Relationship Type="http://schemas.openxmlformats.org/officeDocument/2006/relationships/hyperlink" Id="rId190" Target="https://doi.org/10.1017/S0954579416000651" TargetMode="External" /><Relationship Type="http://schemas.openxmlformats.org/officeDocument/2006/relationships/hyperlink" Id="rId195" Target="https://doi.org/10.1017/S0954579421001772" TargetMode="External" /><Relationship Type="http://schemas.openxmlformats.org/officeDocument/2006/relationships/hyperlink" Id="rId138" Target="https://doi.org/10.1017/S0954579423001505" TargetMode="External" /><Relationship Type="http://schemas.openxmlformats.org/officeDocument/2006/relationships/hyperlink" Id="rId203" Target="https://doi.org/10.1017/S0954579424000713" TargetMode="External" /><Relationship Type="http://schemas.openxmlformats.org/officeDocument/2006/relationships/hyperlink" Id="rId275" Target="https://doi.org/10.1023/a:1026254005632" TargetMode="External" /><Relationship Type="http://schemas.openxmlformats.org/officeDocument/2006/relationships/hyperlink" Id="rId150" Target="https://doi.org/10.1027/1015-5759.17.1.25" TargetMode="External" /><Relationship Type="http://schemas.openxmlformats.org/officeDocument/2006/relationships/hyperlink" Id="rId310" Target="https://doi.org/10.1037/0003-066X.54.2.93" TargetMode="External" /><Relationship Type="http://schemas.openxmlformats.org/officeDocument/2006/relationships/hyperlink" Id="rId148" Target="https://doi.org/10.1037/0012-1649.39.2.222" TargetMode="External" /><Relationship Type="http://schemas.openxmlformats.org/officeDocument/2006/relationships/hyperlink" Id="rId241" Target="https://doi.org/10.1037/0021-843X.116.4.645" TargetMode="External" /><Relationship Type="http://schemas.openxmlformats.org/officeDocument/2006/relationships/hyperlink" Id="rId243" Target="https://doi.org/10.1037/0021-843x.114.4.537" TargetMode="External" /><Relationship Type="http://schemas.openxmlformats.org/officeDocument/2006/relationships/hyperlink" Id="rId279" Target="https://doi.org/10.1037/0022-006X.61.6.911" TargetMode="External" /><Relationship Type="http://schemas.openxmlformats.org/officeDocument/2006/relationships/hyperlink" Id="rId168" Target="https://doi.org/10.1037/0022-006X.70.1.6" TargetMode="External" /><Relationship Type="http://schemas.openxmlformats.org/officeDocument/2006/relationships/hyperlink" Id="rId263" Target="https://doi.org/10.1037/0033-295X.100.4.674" TargetMode="External" /><Relationship Type="http://schemas.openxmlformats.org/officeDocument/2006/relationships/hyperlink" Id="rId245" Target="https://doi.org/10.1037/1040-3590.16.2.107" TargetMode="External" /><Relationship Type="http://schemas.openxmlformats.org/officeDocument/2006/relationships/hyperlink" Id="rId216" Target="https://doi.org/10.1037/13129-000" TargetMode="External" /><Relationship Type="http://schemas.openxmlformats.org/officeDocument/2006/relationships/hyperlink" Id="rId127" Target="https://doi.org/10.1037/14048-008" TargetMode="External" /><Relationship Type="http://schemas.openxmlformats.org/officeDocument/2006/relationships/hyperlink" Id="rId343" Target="https://doi.org/10.1037/a0021519" TargetMode="External" /><Relationship Type="http://schemas.openxmlformats.org/officeDocument/2006/relationships/hyperlink" Id="rId255" Target="https://doi.org/10.1037/a0023678" TargetMode="External" /><Relationship Type="http://schemas.openxmlformats.org/officeDocument/2006/relationships/hyperlink" Id="rId365" Target="https://doi.org/10.1037/a0030133" TargetMode="External" /><Relationship Type="http://schemas.openxmlformats.org/officeDocument/2006/relationships/hyperlink" Id="rId314" Target="https://doi.org/10.1037/abn0000171" TargetMode="External" /><Relationship Type="http://schemas.openxmlformats.org/officeDocument/2006/relationships/hyperlink" Id="rId306" Target="https://doi.org/10.1037/abn0000232" TargetMode="External" /><Relationship Type="http://schemas.openxmlformats.org/officeDocument/2006/relationships/hyperlink" Id="rId233" Target="https://doi.org/10.1037/abn0000258" TargetMode="External" /><Relationship Type="http://schemas.openxmlformats.org/officeDocument/2006/relationships/hyperlink" Id="rId329" Target="https://doi.org/10.1037/abn0000751" TargetMode="External" /><Relationship Type="http://schemas.openxmlformats.org/officeDocument/2006/relationships/hyperlink" Id="rId178" Target="https://doi.org/10.1037/abn0001084" TargetMode="External" /><Relationship Type="http://schemas.openxmlformats.org/officeDocument/2006/relationships/hyperlink" Id="rId295" Target="https://doi.org/10.1037/dev0000449" TargetMode="External" /><Relationship Type="http://schemas.openxmlformats.org/officeDocument/2006/relationships/hyperlink" Id="rId316" Target="https://doi.org/10.1037/dev0001095" TargetMode="External" /><Relationship Type="http://schemas.openxmlformats.org/officeDocument/2006/relationships/hyperlink" Id="rId283" Target="https://doi.org/10.1037/dev0001657" TargetMode="External" /><Relationship Type="http://schemas.openxmlformats.org/officeDocument/2006/relationships/hyperlink" Id="rId108" Target="https://doi.org/10.1037/edu0000461" TargetMode="External" /><Relationship Type="http://schemas.openxmlformats.org/officeDocument/2006/relationships/hyperlink" Id="rId134" Target="https://doi.org/10.1037/met0000077" TargetMode="External" /><Relationship Type="http://schemas.openxmlformats.org/officeDocument/2006/relationships/hyperlink" Id="rId164" Target="https://doi.org/10.1037/met0000685" TargetMode="External" /><Relationship Type="http://schemas.openxmlformats.org/officeDocument/2006/relationships/hyperlink" Id="rId318" Target="https://doi.org/10.1037/pas0000648" TargetMode="External" /><Relationship Type="http://schemas.openxmlformats.org/officeDocument/2006/relationships/hyperlink" Id="rId75" Target="https://doi.org/10.1037/pas0001441" TargetMode="External" /><Relationship Type="http://schemas.openxmlformats.org/officeDocument/2006/relationships/hyperlink" Id="rId331" Target="https://doi.org/10.1038/s44220-023-00057-5" TargetMode="External" /><Relationship Type="http://schemas.openxmlformats.org/officeDocument/2006/relationships/hyperlink" Id="rId265" Target="https://doi.org/10.1073/pnas.1010076108" TargetMode="External" /><Relationship Type="http://schemas.openxmlformats.org/officeDocument/2006/relationships/hyperlink" Id="rId176" Target="https://doi.org/10.1080/00273171.2014.889594" TargetMode="External" /><Relationship Type="http://schemas.openxmlformats.org/officeDocument/2006/relationships/hyperlink" Id="rId249" Target="https://doi.org/10.1080/00273171.2021.1941730" TargetMode="External" /><Relationship Type="http://schemas.openxmlformats.org/officeDocument/2006/relationships/hyperlink" Id="rId162" Target="https://doi.org/10.1080/00273171.2026.2640576" TargetMode="External" /><Relationship Type="http://schemas.openxmlformats.org/officeDocument/2006/relationships/hyperlink" Id="rId299" Target="https://doi.org/10.1080/10705511.2023.2191292" TargetMode="External" /><Relationship Type="http://schemas.openxmlformats.org/officeDocument/2006/relationships/hyperlink" Id="rId341" Target="https://doi.org/10.1080/15374416.2018.1561296" TargetMode="External" /><Relationship Type="http://schemas.openxmlformats.org/officeDocument/2006/relationships/hyperlink" Id="rId333" Target="https://doi.org/10.1080/15374416.2019.1622124" TargetMode="External" /><Relationship Type="http://schemas.openxmlformats.org/officeDocument/2006/relationships/hyperlink" Id="rId308" Target="https://doi.org/10.1086/269270" TargetMode="External" /><Relationship Type="http://schemas.openxmlformats.org/officeDocument/2006/relationships/hyperlink" Id="rId182" Target="https://doi.org/10.1108/978-1-61735-891-320251015" TargetMode="External" /><Relationship Type="http://schemas.openxmlformats.org/officeDocument/2006/relationships/hyperlink" Id="rId293" Target="https://doi.org/10.1111/cdev.13433" TargetMode="External" /><Relationship Type="http://schemas.openxmlformats.org/officeDocument/2006/relationships/hyperlink" Id="rId281" Target="https://doi.org/10.1111/desc.70216" TargetMode="External" /><Relationship Type="http://schemas.openxmlformats.org/officeDocument/2006/relationships/hyperlink" Id="rId142" Target="https://doi.org/10.1111/j.1467-8624.2004.00755.x" TargetMode="External" /><Relationship Type="http://schemas.openxmlformats.org/officeDocument/2006/relationships/hyperlink" Id="rId259" Target="https://doi.org/10.1111/j.1467-9507.2008.00480.x" TargetMode="External" /><Relationship Type="http://schemas.openxmlformats.org/officeDocument/2006/relationships/hyperlink" Id="rId302" Target="https://doi.org/10.1111/j.1469-7610.2006.01614.x" TargetMode="External" /><Relationship Type="http://schemas.openxmlformats.org/officeDocument/2006/relationships/hyperlink" Id="rId172" Target="https://doi.org/10.1111/j.1469-7610.2011.02511.x" TargetMode="External" /><Relationship Type="http://schemas.openxmlformats.org/officeDocument/2006/relationships/hyperlink" Id="rId218" Target="https://doi.org/10.1111/j.1469-7610.2012.02585.x" TargetMode="External" /><Relationship Type="http://schemas.openxmlformats.org/officeDocument/2006/relationships/hyperlink" Id="rId359" Target="https://doi.org/10.1111/j.1750-8606.2009.00110.x" TargetMode="External" /><Relationship Type="http://schemas.openxmlformats.org/officeDocument/2006/relationships/hyperlink" Id="rId228" Target="https://doi.org/10.1111/j.1750-8606.2009.00112.x" TargetMode="External" /><Relationship Type="http://schemas.openxmlformats.org/officeDocument/2006/relationships/hyperlink" Id="rId186" Target="https://doi.org/10.1111/jcpp.12102" TargetMode="External" /><Relationship Type="http://schemas.openxmlformats.org/officeDocument/2006/relationships/hyperlink" Id="rId322" Target="https://doi.org/10.1111/jcpp.13549" TargetMode="External" /><Relationship Type="http://schemas.openxmlformats.org/officeDocument/2006/relationships/hyperlink" Id="rId136" Target="https://doi.org/10.1111/jcpp.70057" TargetMode="External" /><Relationship Type="http://schemas.openxmlformats.org/officeDocument/2006/relationships/hyperlink" Id="rId304" Target="https://doi.org/10.1111/jcpp.70180" TargetMode="External" /><Relationship Type="http://schemas.openxmlformats.org/officeDocument/2006/relationships/hyperlink" Id="rId222" Target="https://doi.org/10.1111/jora.12252" TargetMode="External" /><Relationship Type="http://schemas.openxmlformats.org/officeDocument/2006/relationships/hyperlink" Id="rId235" Target="https://doi.org/10.1111/psyp.12551" TargetMode="External" /><Relationship Type="http://schemas.openxmlformats.org/officeDocument/2006/relationships/hyperlink" Id="rId180" Target="https://doi.org/10.1126/science.2270481" TargetMode="External" /><Relationship Type="http://schemas.openxmlformats.org/officeDocument/2006/relationships/hyperlink" Id="rId271" Target="https://doi.org/10.1146/annurev-clinpsy-061324-073435" TargetMode="External" /><Relationship Type="http://schemas.openxmlformats.org/officeDocument/2006/relationships/hyperlink" Id="rId267" Target="https://doi.org/10.1159/000270073" TargetMode="External" /><Relationship Type="http://schemas.openxmlformats.org/officeDocument/2006/relationships/hyperlink" Id="rId209" Target="https://doi.org/10.1176/appi.ajp.2008.08030366" TargetMode="External" /><Relationship Type="http://schemas.openxmlformats.org/officeDocument/2006/relationships/hyperlink" Id="rId345" Target="https://doi.org/10.1177/0093854812443645" TargetMode="External" /><Relationship Type="http://schemas.openxmlformats.org/officeDocument/2006/relationships/hyperlink" Id="rId174" Target="https://doi.org/10.1177/0146621612470210" TargetMode="External" /><Relationship Type="http://schemas.openxmlformats.org/officeDocument/2006/relationships/hyperlink" Id="rId361" Target="https://doi.org/10.1177/0165025419880610" TargetMode="External" /><Relationship Type="http://schemas.openxmlformats.org/officeDocument/2006/relationships/hyperlink" Id="rId327" Target="https://doi.org/10.1177/1362361320908972" TargetMode="External" /><Relationship Type="http://schemas.openxmlformats.org/officeDocument/2006/relationships/hyperlink" Id="rId156" Target="https://doi.org/10.1177/2167702613497473" TargetMode="External" /><Relationship Type="http://schemas.openxmlformats.org/officeDocument/2006/relationships/hyperlink" Id="rId277" Target="https://doi.org/10.1371/journal.pone.0063109" TargetMode="External" /><Relationship Type="http://schemas.openxmlformats.org/officeDocument/2006/relationships/hyperlink" Id="rId197" Target="https://doi.org/10.1378/chest.116.5.1208" TargetMode="External" /><Relationship Type="http://schemas.openxmlformats.org/officeDocument/2006/relationships/hyperlink" Id="rId166" Target="https://doi.org/10.14283/jfa.2012.9" TargetMode="External" /><Relationship Type="http://schemas.openxmlformats.org/officeDocument/2006/relationships/hyperlink" Id="rId312" Target="https://doi.org/10.18148/srm/2018.v12i1.7210" TargetMode="External" /><Relationship Type="http://schemas.openxmlformats.org/officeDocument/2006/relationships/hyperlink" Id="rId199" Target="https://doi.org/10.22237/jmasm/1209614640" TargetMode="External" /><Relationship Type="http://schemas.openxmlformats.org/officeDocument/2006/relationships/hyperlink" Id="rId184" Target="https://doi.org/10.2307/2095245" TargetMode="External" /><Relationship Type="http://schemas.openxmlformats.org/officeDocument/2006/relationships/hyperlink" Id="rId335" Target="https://doi.org/10.2307/j.ctt2jbxs1" TargetMode="External" /><Relationship Type="http://schemas.openxmlformats.org/officeDocument/2006/relationships/hyperlink" Id="rId116" Target="https://doi.org/10.25820/work.007199" TargetMode="External" /><Relationship Type="http://schemas.openxmlformats.org/officeDocument/2006/relationships/hyperlink" Id="rId337" Target="https://doi.org/10.3389/fpsyg.2013.00770" TargetMode="External" /><Relationship Type="http://schemas.openxmlformats.org/officeDocument/2006/relationships/hyperlink" Id="rId269" Target="https://doi.org/10.3389/fpsyg.2014.00978" TargetMode="External" /><Relationship Type="http://schemas.openxmlformats.org/officeDocument/2006/relationships/hyperlink" Id="rId170" Target="https://doi.org/10.3389/fpsyg.2014.00982" TargetMode="External" /><Relationship Type="http://schemas.openxmlformats.org/officeDocument/2006/relationships/hyperlink" Id="rId363" Target="https://icd.who.int" TargetMode="External" /><Relationship Type="http://schemas.openxmlformats.org/officeDocument/2006/relationships/hyperlink" Id="rId261"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 Type="http://schemas.openxmlformats.org/officeDocument/2006/relationships/hyperlink" Id="rId201" Target="https://quantitudepod.org/latent-mea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2026-06-29T14:14:52Z</dcterms:created>
  <dcterms:modified xsi:type="dcterms:W3CDTF">2026-06-29T14:14:52Z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2026-06-29</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False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9052</vt:lpwstr>
  </property>
  <property fmtid="{D5CDD505-2E9C-101B-9397-08002B2CF9AE}" pid="83" name="zerocitations">
    <vt:lpwstr>False</vt:lpwstr>
  </property>
</Properties>
</file>