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14.png" ContentType="image/png"/>
  <Override PartName="/word/media/rId78.png" ContentType="image/png"/>
  <Override PartName="/word/media/rId95.png" ContentType="image/png"/>
  <Override PartName="/word/media/rId88.jpg" ContentType="image/jpeg"/>
  <Override PartName="/word/media/rId105.png" ContentType="image/png"/>
  <Override PartName="/word/media/rId123.png" ContentType="image/png"/>
  <Override PartName="/word/media/rId23.svg" ContentType="image/svg+xml"/>
  <Override PartName="/word/media/rId52.png" ContentType="image/png"/>
  <Override PartName="/word/media/rId45.png" ContentType="image/png"/>
  <Override PartName="/word/media/rId71.png" ContentType="image/png"/>
  <Override PartName="/word/media/rId60.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42"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and code for the present study are published online:</w:t>
      </w:r>
      <w:r>
        <w:t xml:space="preserve"> </w:t>
      </w:r>
      <w:hyperlink r:id="rId39">
        <w:r>
          <w:rPr>
            <w:rStyle w:val="Hyperlink"/>
          </w:rPr>
          <w:t xml:space="preserve">https://github.com/DevPsyLab/studying-psychopathology-development-lifespan</w:t>
        </w:r>
      </w:hyperlink>
      <w:r>
        <w:t xml:space="preserve"> </w:t>
      </w:r>
      <w:r>
        <w:t xml:space="preserve">(</w:t>
      </w:r>
      <w:hyperlink r:id="rId40">
        <w:r>
          <w:rPr>
            <w:rStyle w:val="Hyperlink"/>
          </w:rPr>
          <w:t xml:space="preserve">https://osf.io/t3zf9</w:t>
        </w:r>
      </w:hyperlink>
      <w:r>
        <w:t xml:space="preserve">). We have no conflicts of interest to disclose.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w:t>
      </w:r>
      <w:r>
        <w:t xml:space="preserve"> </w:t>
      </w:r>
      <w:hyperlink r:id="rId41">
        <w:r>
          <w:rPr>
            <w:rStyle w:val="Hyperlink"/>
          </w:rPr>
          <w:t xml:space="preserve">isaac-t-petersen@uiowa.edu</w:t>
        </w:r>
      </w:hyperlink>
    </w:p>
    <w:p>
      <w:r>
        <w:br w:type="page"/>
      </w:r>
    </w:p>
    <w:bookmarkEnd w:id="42"/>
    <w:bookmarkStart w:id="43"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3"/>
    <w:bookmarkStart w:id="44"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lockText"/>
      </w:pPr>
      <w:r>
        <w:t xml:space="preserve">“You can be born shy.</w:t>
      </w:r>
      <w:r>
        <w:t xml:space="preserve"> </w:t>
      </w:r>
      <w:r>
        <w:t xml:space="preserve">You can be born as an extrovert.</w:t>
      </w:r>
      <w:r>
        <w:t xml:space="preserve"> </w:t>
      </w:r>
      <w:r>
        <w:t xml:space="preserve">You can be someone who likes to make people laugh.</w:t>
      </w:r>
      <w:r>
        <w:t xml:space="preserve"> </w:t>
      </w:r>
      <w:r>
        <w:t xml:space="preserve">You can be someone who’s much quieter and deeper.</w:t>
      </w:r>
      <w:r>
        <w:t xml:space="preserve"> </w:t>
      </w:r>
      <w:r>
        <w:t xml:space="preserve">And I think that’s in you, but then life happens.”</w:t>
      </w:r>
    </w:p>
    <w:p>
      <w:pPr>
        <w:pStyle w:val="NextBlockText"/>
      </w:pPr>
      <w:r>
        <w:t xml:space="preserve">— Sue Davis on</w:t>
      </w:r>
      <w:r>
        <w:t xml:space="preserve"> </w:t>
      </w:r>
      <w:r>
        <w:t xml:space="preserve">“70 Up”</w:t>
      </w:r>
    </w:p>
    <w:p>
      <w:pPr>
        <w:pStyle w:val="FirstParagraph"/>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the field has taken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which in turn limits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more than 270 externalizing measures, as well as lessons from the study of other constructs such as academic and cognitive skills across lengthy developmental periods.</w:t>
      </w:r>
    </w:p>
    <w:bookmarkEnd w:id="44"/>
    <w:bookmarkStart w:id="59"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relatively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Thus, the trajectory of individual differences remains elusive, and observed age-related differences may reflect processes apart from developmental change, such as cohort effects.</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aging,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48" w:name="fig-lifespancognitivetrajectories"/>
    <w:p>
      <w:pPr>
        <w:pStyle w:val="FigureTitle"/>
      </w:pPr>
      <w:r>
        <w:t xml:space="preserve">Figure 1</w:t>
      </w:r>
    </w:p>
    <w:p>
      <w:pPr>
        <w:pStyle w:val="Caption"/>
      </w:pPr>
      <w:r>
        <w:t xml:space="preserve">Different Cognitive Trajectories of Aging</w:t>
      </w:r>
    </w:p>
    <w:p>
      <w:pPr>
        <w:pStyle w:val="FigureWithNote"/>
      </w:pPr>
      <w:r>
        <w:drawing>
          <wp:inline>
            <wp:extent cx="5943600" cy="2476500"/>
            <wp:effectExtent b="0" l="0" r="0" t="0"/>
            <wp:docPr descr="" title="" id="46" name="Picture"/>
            <a:graphic>
              <a:graphicData uri="http://schemas.openxmlformats.org/drawingml/2006/picture">
                <pic:pic>
                  <pic:nvPicPr>
                    <pic:cNvPr descr="index_files/figure-docx/notebooks-analyses-fig-lifespancognitivetrajectories-output-1.png" id="47" name="Picture"/>
                    <pic:cNvPicPr>
                      <a:picLocks noChangeArrowheads="1" noChangeAspect="1"/>
                    </pic:cNvPicPr>
                  </pic:nvPicPr>
                  <pic:blipFill>
                    <a:blip r:embed="rId45"/>
                    <a:stretch>
                      <a:fillRect/>
                    </a:stretch>
                  </pic:blipFill>
                  <pic:spPr bwMode="auto">
                    <a:xfrm>
                      <a:off x="0" y="0"/>
                      <a:ext cx="5943600" cy="2476500"/>
                    </a:xfrm>
                    <a:prstGeom prst="rect">
                      <a:avLst/>
                    </a:prstGeom>
                    <a:noFill/>
                    <a:ln w="9525">
                      <a:noFill/>
                      <a:headEnd/>
                      <a:tailEnd/>
                    </a:ln>
                  </pic:spPr>
                </pic:pic>
              </a:graphicData>
            </a:graphic>
          </wp:inline>
        </w:drawing>
      </w:r>
    </w:p>
    <w:bookmarkEnd w:id="48"/>
    <w:p>
      <w:pPr>
        <w:pStyle w:val="FigureNote"/>
      </w:pPr>
      <w:r>
        <w:rPr>
          <w:i/>
          <w:iCs/>
        </w:rPr>
        <w:t xml:space="preserve">Note</w:t>
      </w:r>
      <w:r>
        <w:t xml:space="preserve">. - </w:t>
      </w:r>
      <w:r>
        <w:t xml:space="preserve">“</w:t>
      </w:r>
      <w:r>
        <w:rPr>
          <w:b/>
          <w:bCs/>
        </w:rPr>
        <w:t xml:space="preserve">Panel A</w:t>
      </w:r>
      <w:r>
        <w:t xml:space="preserve">: Hypothetical models for different cognitive trajectories of aging. MCI = mild cognitive impairment. (Figure in Panel A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49">
        <w:r>
          <w:rPr>
            <w:rStyle w:val="Hyperlink"/>
          </w:rPr>
          <w:t xml:space="preserve">https://doi.org/10.1590/1980-57642018dn12-030001</w:t>
        </w:r>
      </w:hyperlink>
      <w:r>
        <w:t xml:space="preserve">).”</w:t>
      </w:r>
      <w:r>
        <w:t xml:space="preserve"> </w:t>
      </w:r>
      <w:r>
        <w:t xml:space="preserve">-</w:t>
      </w:r>
      <w:r>
        <w:t xml:space="preserve"> </w:t>
      </w:r>
      <w:r>
        <w:t xml:space="preserve">“</w:t>
      </w:r>
      <w:r>
        <w:rPr>
          <w:b/>
          <w:bCs/>
        </w:rPr>
        <w:t xml:space="preserve">Panel B</w:t>
      </w:r>
      <w:r>
        <w:t xml:space="preserve">: Theoretical illustration of inter-individual variability in cognitive aging trajectories. Each gray line represents one individual hypothetical cognitive health trajectory. The orange line marks the threshold for functional independence; once an individual’s cognitive health drops below this level, autonomous daily living is compromised. (Figure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0">
        <w:r>
          <w:rPr>
            <w:rStyle w:val="Hyperlink"/>
          </w:rPr>
          <w:t xml:space="preserve">https://doi.org/10.1016/j.arr.2026.103102</w:t>
        </w:r>
      </w:hyperlink>
      <w:r>
        <w:t xml:space="preserve">).”</w:t>
      </w:r>
    </w:p>
    <w:p>
      <w:pPr>
        <w:pStyle w:val="FigureWithNote"/>
      </w:pPr>
      <w:r>
        <w:rPr>
          <w:i/>
          <w:iCs/>
        </w:rPr>
        <w:t xml:space="preserve">Note</w:t>
      </w:r>
      <w:r>
        <w:t xml:space="preserve">.</w:t>
      </w:r>
      <w:r>
        <w:t xml:space="preserve"> </w:t>
      </w:r>
      <w:r>
        <w:rPr>
          <w:b/>
          <w:bCs/>
        </w:rPr>
        <w:t xml:space="preserve">Panel A</w:t>
      </w:r>
      <w:r>
        <w:t xml:space="preserve">: Hypothetical models for different cognitive trajectories of aging. MCI = mild cognitive impairment. (Figure in Panel A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49">
        <w:r>
          <w:rPr>
            <w:rStyle w:val="Hyperlink"/>
          </w:rPr>
          <w:t xml:space="preserve">https://doi.org/10.1590/1980-57642018dn12-030001</w:t>
        </w:r>
      </w:hyperlink>
      <w:r>
        <w:t xml:space="preserve">).</w:t>
      </w:r>
    </w:p>
    <w:p>
      <w:pPr>
        <w:pStyle w:val="FigureWithNote"/>
      </w:pPr>
      <w:r>
        <w:rPr>
          <w:b/>
          <w:bCs/>
        </w:rPr>
        <w:t xml:space="preserve">Panel B</w:t>
      </w:r>
      <w:r>
        <w:t xml:space="preserve">: Theoretical illustration of inter-individual variability in cognitive aging trajectories. Each gray line represents one individual hypothetical cognitive health trajectory. The orange line marks the threshold for functional independence; once an individual’s cognitive health drops below this level, autonomous daily living is compromised. (Figure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0">
        <w:r>
          <w:rPr>
            <w:rStyle w:val="Hyperlink"/>
          </w:rPr>
          <w:t xml:space="preserve">https://doi.org/10.1016/j.arr.2026.103102</w:t>
        </w:r>
      </w:hyperlink>
      <w:r>
        <w:t xml:space="preserve">).</w:t>
      </w:r>
    </w:p>
    <w:p>
      <w:pPr>
        <w:pStyle w:val="FigureWithNote"/>
      </w:pPr>
      <w:r>
        <w:rPr>
          <w:vertAlign w:val="subscript"/>
        </w:rPr>
        <w:t xml:space="preserve">Source:</w:t>
      </w:r>
      <w:r>
        <w:rPr>
          <w:vertAlign w:val="subscript"/>
        </w:rPr>
        <w:t xml:space="preserve"> </w:t>
      </w:r>
      <w:hyperlink r:id="rId51">
        <w:r>
          <w:rPr>
            <w:rStyle w:val="Hyperlink"/>
            <w:vertAlign w:val="subscript"/>
          </w:rPr>
          <w:t xml:space="preserve">Analyses</w:t>
        </w:r>
      </w:hyperlink>
    </w:p>
    <w:p>
      <w:pPr>
        <w:pStyle w:val="BodyText"/>
      </w:pPr>
      <w:r>
        <w:br/>
      </w:r>
      <w:r>
        <w:t xml:space="preserve">::: {.figure-caption .content-visible when-format=</w:t>
      </w:r>
      <w:r>
        <w:t xml:space="preserve">“html”</w:t>
      </w:r>
      <w:r>
        <w:t xml:space="preserve">}</w:t>
      </w:r>
    </w:p>
    <w:p>
      <w:pPr>
        <w:pStyle w:val="BodyText"/>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A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49">
        <w:r>
          <w:rPr>
            <w:rStyle w:val="Hyperlink"/>
          </w:rPr>
          <w:t xml:space="preserve">https://doi.org/10.1590/1980-57642018dn12-030001</w:t>
        </w:r>
      </w:hyperlink>
      <w:r>
        <w:t xml:space="preserve">).</w:t>
      </w:r>
    </w:p>
    <w:p>
      <w:pPr>
        <w:pStyle w:val="BodyText"/>
      </w:pPr>
      <w:r>
        <w:rPr>
          <w:b/>
          <w:bCs/>
        </w:rPr>
        <w:t xml:space="preserve">Panel B</w:t>
      </w:r>
      <w:r>
        <w:t xml:space="preserve">: Theoretical illustration of inter-individual variability in cognitive aging trajectories.</w:t>
      </w:r>
      <w:r>
        <w:t xml:space="preserve"> </w:t>
      </w:r>
      <w:r>
        <w:t xml:space="preserve">Each gray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0">
        <w:r>
          <w:rPr>
            <w:rStyle w:val="Hyperlink"/>
          </w:rPr>
          <w:t xml:space="preserve">https://doi.org/10.1016/j.arr.2026.103102</w:t>
        </w:r>
      </w:hyperlink>
      <w:r>
        <w:t xml:space="preserve">)</w:t>
      </w:r>
    </w:p>
    <w:p>
      <w:pPr>
        <w:pStyle w:val="BodyText"/>
      </w:pPr>
      <w:r>
        <w:t xml:space="preserve">:::</w:t>
      </w:r>
    </w:p>
    <w:p>
      <w:pPr>
        <w:pStyle w:val="BodyText"/>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externalizing-by-age">
        <w:r>
          <w:rPr>
            <w:rStyle w:val="Hyperlink"/>
          </w:rPr>
          <w:t xml:space="preserve">Figure 2</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externalizing-by-age">
        <w:r>
          <w:rPr>
            <w:rStyle w:val="Hyperlink"/>
          </w:rPr>
          <w:t xml:space="preserve">Figure 2</w:t>
        </w:r>
      </w:hyperlink>
      <w:r>
        <w:t xml:space="preserve">.</w:t>
      </w:r>
    </w:p>
    <w:p>
      <w:pPr>
        <w:pStyle w:val="BodyText"/>
      </w:pP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especially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(criminalized)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 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ernalizing-by-age">
        <w:r>
          <w:rPr>
            <w:rStyle w:val="Hyperlink"/>
          </w:rPr>
          <w:t xml:space="preserve">Figure 2</w:t>
        </w:r>
      </w:hyperlink>
      <w:r>
        <w:t xml:space="preserve">.</w:t>
      </w:r>
    </w:p>
    <w:p>
      <w:pPr>
        <w:pStyle w:val="BodyText"/>
      </w:pPr>
      <w:r>
        <w:t xml:space="preserve">In sum, if we rely solely on normative age-related patterns of cognitive functioning or psychopathology from cross-sectional research, we would miss the immense differences in people’s developmental courses.</w:t>
      </w:r>
      <w:r>
        <w:t xml:space="preserve"> </w:t>
      </w:r>
      <w:r>
        <w:t xml:space="preserve">And these individual differences are crucial to identify the risk and protective mechanisms that explain these differing developmental courses.</w:t>
      </w:r>
    </w:p>
    <w:bookmarkStart w:id="55" w:name="fig-externalizing-by-age"/>
    <w:p>
      <w:pPr>
        <w:pStyle w:val="FigureTitle"/>
      </w:pPr>
      <w:r>
        <w:t xml:space="preserve">Figure 2</w:t>
      </w:r>
    </w:p>
    <w:p>
      <w:pPr>
        <w:pStyle w:val="Caption"/>
      </w:pPr>
      <w:r>
        <w:t xml:space="preserve">Externalizing Behavior Across Development</w:t>
      </w:r>
    </w:p>
    <w:p>
      <w:pPr>
        <w:pStyle w:val="FigureWithNote"/>
      </w:pPr>
      <w:r>
        <w:drawing>
          <wp:inline>
            <wp:extent cx="5943600" cy="3962400"/>
            <wp:effectExtent b="0" l="0" r="0" t="0"/>
            <wp:docPr descr="" title="" id="53" name="Picture"/>
            <a:graphic>
              <a:graphicData uri="http://schemas.openxmlformats.org/drawingml/2006/picture">
                <pic:pic>
                  <pic:nvPicPr>
                    <pic:cNvPr descr="index_files/figure-docx/notebooks-analyses-fig-externalizing-by-age-output-1.png" id="54" name="Picture"/>
                    <pic:cNvPicPr>
                      <a:picLocks noChangeArrowheads="1" noChangeAspect="1"/>
                    </pic:cNvPicPr>
                  </pic:nvPicPr>
                  <pic:blipFill>
                    <a:blip r:embed="rId52"/>
                    <a:stretch>
                      <a:fillRect/>
                    </a:stretch>
                  </pic:blipFill>
                  <pic:spPr bwMode="auto">
                    <a:xfrm>
                      <a:off x="0" y="0"/>
                      <a:ext cx="5943600" cy="3962400"/>
                    </a:xfrm>
                    <a:prstGeom prst="rect">
                      <a:avLst/>
                    </a:prstGeom>
                    <a:noFill/>
                    <a:ln w="9525">
                      <a:noFill/>
                      <a:headEnd/>
                      <a:tailEnd/>
                    </a:ln>
                  </pic:spPr>
                </pic:pic>
              </a:graphicData>
            </a:graphic>
          </wp:inline>
        </w:drawing>
      </w:r>
    </w:p>
    <w:bookmarkEnd w:id="55"/>
    <w:p>
      <w:pPr>
        <w:pStyle w:val="FigureNote"/>
      </w:pPr>
      <w:r>
        <w:rPr>
          <w:i/>
          <w:iCs/>
        </w:rPr>
        <w:t xml:space="preserve">Note</w:t>
      </w:r>
      <w:r>
        <w:t xml:space="preserve">. - </w:t>
      </w:r>
      <w:r>
        <w:t xml:space="preserve">“</w:t>
      </w: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crime records. 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 (Figure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56">
        <w:r>
          <w:rPr>
            <w:rStyle w:val="Hyperlink"/>
          </w:rPr>
          <w:t xml:space="preserve">https://doi.org/10.1016/j.jcrimjus.2024.102155</w:t>
        </w:r>
      </w:hyperlink>
      <w:r>
        <w:t xml:space="preserve">).”</w:t>
      </w:r>
      <w:r>
        <w:t xml:space="preserve"> </w:t>
      </w:r>
      <w:r>
        <w:t xml:space="preserve">-</w:t>
      </w:r>
      <w:r>
        <w:t xml:space="preserve"> </w:t>
      </w:r>
      <w:r>
        <w:t xml:space="preserve">“</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t xml:space="preserve">-</w:t>
      </w:r>
      <w:r>
        <w:t xml:space="preserve"> </w:t>
      </w:r>
      <w:r>
        <w:t xml:space="preserve">“</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 Average trajectory in red. (Figure adapted from</w:t>
      </w:r>
      <w:r>
        <w:t xml:space="preserve"> </w:t>
      </w:r>
      <w:r>
        <w:t xml:space="preserve">Petersen et al. (</w:t>
      </w:r>
      <w:hyperlink w:anchor="ref-Petersen2015">
        <w:r>
          <w:rPr>
            <w:rStyle w:val="Hyperlink"/>
          </w:rPr>
          <w:t xml:space="preserve">2015</w:t>
        </w:r>
      </w:hyperlink>
      <w:r>
        <w:t xml:space="preserve">)</w:t>
      </w:r>
      <w:r>
        <w:t xml:space="preserve">, Figure 2,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57">
        <w:r>
          <w:rPr>
            <w:rStyle w:val="Hyperlink"/>
          </w:rPr>
          <w:t xml:space="preserve">https://doi.org/10.1017/S0954579414000789</w:t>
        </w:r>
      </w:hyperlink>
      <w:r>
        <w:t xml:space="preserve">).”</w:t>
      </w:r>
    </w:p>
    <w:p>
      <w:pPr>
        <w:pStyle w:val="FigureWithNote"/>
      </w:pPr>
      <w:r>
        <w:rPr>
          <w:i/>
          <w:iCs/>
        </w:rPr>
        <w:t xml:space="preserve">Note</w:t>
      </w:r>
      <w:r>
        <w:t xml:space="preserve">.</w:t>
      </w:r>
      <w:r>
        <w:t xml:space="preserve"> </w:t>
      </w: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crime records. 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 (Figure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56">
        <w:r>
          <w:rPr>
            <w:rStyle w:val="Hyperlink"/>
          </w:rPr>
          <w:t xml:space="preserve">https://doi.org/10.1016/j.jcrimjus.2024.102155</w:t>
        </w:r>
      </w:hyperlink>
      <w:r>
        <w:t xml:space="preserve">).</w:t>
      </w:r>
    </w:p>
    <w:p>
      <w:pPr>
        <w:pStyle w:val="FigureWithNote"/>
      </w:pP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Note"/>
      </w:pP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 Average trajectory in red. (Figure adapted from</w:t>
      </w:r>
      <w:r>
        <w:t xml:space="preserve"> </w:t>
      </w:r>
      <w:r>
        <w:t xml:space="preserve">Petersen et al. (</w:t>
      </w:r>
      <w:hyperlink w:anchor="ref-Petersen2015">
        <w:r>
          <w:rPr>
            <w:rStyle w:val="Hyperlink"/>
          </w:rPr>
          <w:t xml:space="preserve">2015</w:t>
        </w:r>
      </w:hyperlink>
      <w:r>
        <w:t xml:space="preserve">)</w:t>
      </w:r>
      <w:r>
        <w:t xml:space="preserve">, Figure 2,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57">
        <w:r>
          <w:rPr>
            <w:rStyle w:val="Hyperlink"/>
          </w:rPr>
          <w:t xml:space="preserve">https://doi.org/10.1017/S0954579414000789</w:t>
        </w:r>
      </w:hyperlink>
      <w:r>
        <w:t xml:space="preserve">).</w:t>
      </w:r>
    </w:p>
    <w:p>
      <w:pPr>
        <w:pStyle w:val="FigureWithNote"/>
      </w:pPr>
      <w:r>
        <w:rPr>
          <w:vertAlign w:val="subscript"/>
        </w:rPr>
        <w:t xml:space="preserve">Source:</w:t>
      </w:r>
      <w:r>
        <w:rPr>
          <w:vertAlign w:val="subscript"/>
        </w:rPr>
        <w:t xml:space="preserve"> </w:t>
      </w:r>
      <w:hyperlink r:id="rId58">
        <w:r>
          <w:rPr>
            <w:rStyle w:val="Hyperlink"/>
            <w:vertAlign w:val="subscript"/>
          </w:rPr>
          <w:t xml:space="preserve">Analyses</w:t>
        </w:r>
      </w:hyperlink>
    </w:p>
    <w:p>
      <w:pPr>
        <w:pStyle w:val="BodyText"/>
      </w:pPr>
      <w:r>
        <w:br/>
      </w:r>
      <w:r>
        <w:t xml:space="preserve">::: {.figure-caption .content-visible when-format=</w:t>
      </w:r>
      <w:r>
        <w:t xml:space="preserve">“html”</w:t>
      </w:r>
      <w:r>
        <w:t xml:space="preserve">}</w:t>
      </w:r>
    </w:p>
    <w:p>
      <w:pPr>
        <w:pStyle w:val="BodyText"/>
      </w:pPr>
      <w:r>
        <w:rPr>
          <w:b/>
          <w:bCs/>
        </w:rPr>
        <w:t xml:space="preserve">Panel A</w:t>
      </w:r>
      <w:r>
        <w:t xml:space="preserve">: The age-crime participation curve from age 9 through 64 in cohort members who were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within a given country, the steepness of the age-crime curve differs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56">
        <w:r>
          <w:rPr>
            <w:rStyle w:val="Hyperlink"/>
          </w:rPr>
          <w:t xml:space="preserve">https://doi.org/10.1016/j.jcrimjus.2024.102155</w:t>
        </w:r>
      </w:hyperlink>
      <w:r>
        <w:t xml:space="preserve">).</w:t>
      </w:r>
    </w:p>
    <w:p>
      <w:pPr>
        <w:pStyle w:val="BodyText"/>
      </w:pP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BodyText"/>
      </w:pP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w:t>
      </w:r>
      <w:r>
        <w:t xml:space="preserve"> </w:t>
      </w:r>
      <w:r>
        <w:t xml:space="preserve">Average trajectory in red.</w:t>
      </w:r>
      <w:r>
        <w:t xml:space="preserve"> </w:t>
      </w:r>
      <w:r>
        <w:t xml:space="preserve">(Figure adapted from</w:t>
      </w:r>
      <w:r>
        <w:t xml:space="preserve"> </w:t>
      </w:r>
      <w:r>
        <w:t xml:space="preserve">Petersen et al. (</w:t>
      </w:r>
      <w:hyperlink w:anchor="ref-Petersen2015">
        <w:r>
          <w:rPr>
            <w:rStyle w:val="Hyperlink"/>
          </w:rPr>
          <w:t xml:space="preserve">2015</w:t>
        </w:r>
      </w:hyperlink>
      <w:r>
        <w:t xml:space="preserve">)</w:t>
      </w:r>
      <w:r>
        <w:t xml:space="preserve">, Figure 2,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57">
        <w:r>
          <w:rPr>
            <w:rStyle w:val="Hyperlink"/>
          </w:rPr>
          <w:t xml:space="preserve">https://doi.org/10.1017/S0954579414000789</w:t>
        </w:r>
      </w:hyperlink>
      <w:r>
        <w:t xml:space="preserve">).</w:t>
      </w:r>
    </w:p>
    <w:p>
      <w:pPr>
        <w:pStyle w:val="BodyText"/>
      </w:pPr>
      <w:r>
        <w:t xml:space="preserve">:::</w:t>
      </w:r>
    </w:p>
    <w:p>
      <w:pPr>
        <w:pStyle w:val="BodyText"/>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 such as going to school during the Coronavirus pandemic.</w:t>
      </w:r>
      <w:r>
        <w:t xml:space="preserve"> </w:t>
      </w:r>
      <w:r>
        <w:t xml:space="preserve">Fourth, findings from cross-sectional studies can differ from findings that are based on examining the same people over time—a violation of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59"/>
    <w:bookmarkStart w:id="77"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over lengthy developmental periods.</w:t>
      </w:r>
      <w:r>
        <w:t xml:space="preserve"> </w:t>
      </w:r>
      <w:r>
        <w:t xml:space="preserve">We overview some of the seminal longitudinal studies that cover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63" w:name="fig-longitudinalstudies"/>
    <w:p>
      <w:pPr>
        <w:pStyle w:val="FigureTitle"/>
      </w:pPr>
      <w:r>
        <w:t xml:space="preserve">Figure 3</w:t>
      </w:r>
    </w:p>
    <w:p>
      <w:pPr>
        <w:pStyle w:val="Caption"/>
      </w:pPr>
      <w:r>
        <w:t xml:space="preserve">(Approximate) Ages Spanned by Various Lengthy Longitudinal Studies</w:t>
      </w:r>
    </w:p>
    <w:p>
      <w:pPr>
        <w:pStyle w:val="FigureWithNote"/>
      </w:pPr>
      <w:r>
        <w:drawing>
          <wp:inline>
            <wp:extent cx="5943600" cy="6792685"/>
            <wp:effectExtent b="0" l="0" r="0" t="0"/>
            <wp:docPr descr="" title="" id="61" name="Picture"/>
            <a:graphic>
              <a:graphicData uri="http://schemas.openxmlformats.org/drawingml/2006/picture">
                <pic:pic>
                  <pic:nvPicPr>
                    <pic:cNvPr descr="index_files/figure-docx/notebooks-analyses-fig-longitudinalstudies-output-1.png" id="62" name="Picture"/>
                    <pic:cNvPicPr>
                      <a:picLocks noChangeArrowheads="1" noChangeAspect="1"/>
                    </pic:cNvPicPr>
                  </pic:nvPicPr>
                  <pic:blipFill>
                    <a:blip r:embed="rId60"/>
                    <a:stretch>
                      <a:fillRect/>
                    </a:stretch>
                  </pic:blipFill>
                  <pic:spPr bwMode="auto">
                    <a:xfrm>
                      <a:off x="0" y="0"/>
                      <a:ext cx="5943600" cy="6792685"/>
                    </a:xfrm>
                    <a:prstGeom prst="rect">
                      <a:avLst/>
                    </a:prstGeom>
                    <a:noFill/>
                    <a:ln w="9525">
                      <a:noFill/>
                      <a:headEnd/>
                      <a:tailEnd/>
                    </a:ln>
                  </pic:spPr>
                </pic:pic>
              </a:graphicData>
            </a:graphic>
          </wp:inline>
        </w:drawing>
      </w:r>
    </w:p>
    <w:bookmarkEnd w:id="63"/>
    <w:p>
      <w:pPr>
        <w:pStyle w:val="FigureNote"/>
      </w:pPr>
      <w:r>
        <w:rPr>
          <w:i/>
          <w:iCs/>
        </w:rPr>
        <w:t xml:space="preserve">Note</w:t>
      </w:r>
      <w:r>
        <w:t xml:space="preserve">. The list of longitudinal studies is as of this writing and is not exhaustive. Studies that are no longer active are shown in gray.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some participants. A star at age 0 represents that participants were enrolled before birth and the study included prenatal assessments. Ages spanned reflect ages when assessments were collected directly from participants; ages spanned do not include links to registry data (e.g., birth records, offending records). Age was truncated at 100; thus, age 100 indicates that participants were followed into their 90s (or until death).</w:t>
      </w:r>
    </w:p>
    <w:p>
      <w:pPr>
        <w:pStyle w:val="FigureWithNote"/>
      </w:pPr>
      <w:r>
        <w:rPr>
          <w:i/>
          <w:iCs/>
        </w:rPr>
        <w:t xml:space="preserve">Note</w:t>
      </w:r>
      <w:r>
        <w:t xml:space="preserve">. The list of longitudinal studies is as of this writing and is not exhaustive. Studies that are no longer active are shown in gray.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some participants. A star at age 0 represents that participants were enrolled before birth and the study included prenatal assessments. Ages spanned reflect ages when assessments were collected directly from participants; ages spanned do not include links to registry data (e.g., birth records, offending records). Age was truncated at 100; thus, age 100 indicates that participants were followed into their 90s (or until death).</w:t>
      </w:r>
    </w:p>
    <w:p>
      <w:pPr>
        <w:pStyle w:val="FigureWithNote"/>
      </w:pPr>
      <w:r>
        <w:rPr>
          <w:vertAlign w:val="subscript"/>
        </w:rPr>
        <w:t xml:space="preserve">Source:</w:t>
      </w:r>
      <w:r>
        <w:rPr>
          <w:vertAlign w:val="subscript"/>
        </w:rPr>
        <w:t xml:space="preserve"> </w:t>
      </w:r>
      <w:hyperlink r:id="rId64">
        <w:r>
          <w:rPr>
            <w:rStyle w:val="Hyperlink"/>
            <w:vertAlign w:val="subscript"/>
          </w:rPr>
          <w:t xml:space="preserve">Analyses</w:t>
        </w:r>
      </w:hyperlink>
    </w:p>
    <w:p>
      <w:pPr>
        <w:pStyle w:val="BodyText"/>
      </w:pPr>
      <w:r>
        <w:br/>
      </w:r>
      <w:r>
        <w:t xml:space="preserve">::: {.figure-caption .content-visible when-format=</w:t>
      </w:r>
      <w:r>
        <w:t xml:space="preserve">“html”</w:t>
      </w:r>
      <w:r>
        <w:t xml:space="preserve">}</w:t>
      </w:r>
    </w:p>
    <w:p>
      <w:pPr>
        <w:pStyle w:val="BodyText"/>
      </w:pPr>
      <w:r>
        <w:rPr>
          <w:i/>
          <w:iCs/>
        </w:rPr>
        <w:t xml:space="preserve">Note</w:t>
      </w:r>
      <w:r>
        <w:t xml:space="preserve">.</w:t>
      </w:r>
      <w:r>
        <w:t xml:space="preserve"> </w:t>
      </w:r>
      <w:r>
        <w:t xml:space="preserve">The list of longitudinal studies is as of this writing and is not exhaustive.</w:t>
      </w:r>
      <w:r>
        <w:t xml:space="preserve"> </w:t>
      </w:r>
      <w:r>
        <w:t xml:space="preserve">Studies that are no longer active are shown in gray.</w:t>
      </w:r>
      <w:r>
        <w:t xml:space="preserve"> </w:t>
      </w:r>
      <w:r>
        <w:t xml:space="preserve">Solid lines reflect fully longitudinal spans (i.e., the same individuals were followed over time).</w:t>
      </w:r>
      <w:r>
        <w:t xml:space="preserve"> </w:t>
      </w:r>
      <w:r>
        <w:t xml:space="preserve">Dotted lines reflect ages assessed cross-sectionally—even if some participants may have been followed longitudinally.</w:t>
      </w:r>
      <w:r>
        <w:t xml:space="preserve"> </w:t>
      </w:r>
      <w:r>
        <w:t xml:space="preserve">For instance, if a study recruited 5–10-year-old children and followed each child for 20 years, the study would have dotted lines from ages 5–10 and from ages 25–30.</w:t>
      </w:r>
      <w:r>
        <w:t xml:space="preserve"> </w:t>
      </w:r>
      <w:r>
        <w:t xml:space="preserve">Studies shown entirely with dotted lines assessed their full age range cross-sectionally but still included longitudinal follow-up of some participants.</w:t>
      </w:r>
      <w:r>
        <w:t xml:space="preserve"> </w:t>
      </w:r>
      <w:r>
        <w:t xml:space="preserve">A star at age 0 represents that participants were enrolled before birth and the study included prenatal assessments.</w:t>
      </w:r>
      <w:r>
        <w:t xml:space="preserve"> </w:t>
      </w:r>
      <w:r>
        <w:t xml:space="preserve">Ages spanned reflect ages when assessments were collected directly from participants; ages spanned do not include links to registry data (e.g., birth records, offending records).</w:t>
      </w:r>
      <w:r>
        <w:t xml:space="preserve"> </w:t>
      </w:r>
      <w:r>
        <w:t xml:space="preserve">Age was truncated at 100; thus, age 100 indicates that participants were followed into their 90s (or until death).</w:t>
      </w:r>
    </w:p>
    <w:p>
      <w:pPr>
        <w:pStyle w:val="BodyText"/>
      </w:pPr>
      <w:r>
        <w:t xml:space="preserve">:::</w:t>
      </w:r>
    </w:p>
    <w:bookmarkStart w:id="69" w:name="seminal-longitudinal-studies"/>
    <w:p>
      <w:pPr>
        <w:pStyle w:val="Heading2"/>
      </w:pPr>
      <w:r>
        <w:t xml:space="preserve">Seminal Longitudinal Studies</w:t>
      </w:r>
    </w:p>
    <w:bookmarkStart w:id="65"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into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 Kagan and Moss</w:t>
      </w:r>
      <w:r>
        <w:t xml:space="preserve"> </w:t>
      </w:r>
      <w:r>
        <w:t xml:space="preserve">(</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65"/>
    <w:bookmarkStart w:id="66"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66"/>
    <w:bookmarkStart w:id="67" w:name="harvard-study-of-adult-development"/>
    <w:p>
      <w:pPr>
        <w:pStyle w:val="Heading3"/>
      </w:pPr>
      <w:r>
        <w:t xml:space="preserve">Harvard Study of Adult Development</w:t>
      </w:r>
    </w:p>
    <w:p>
      <w:pPr>
        <w:pStyle w:val="FirstParagraph"/>
      </w:pPr>
      <w:r>
        <w:t xml:space="preserve">The Harvard Study of Adult Development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of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67"/>
    <w:bookmarkStart w:id="68"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68"/>
    <w:bookmarkEnd w:id="69"/>
    <w:bookmarkStart w:id="76"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w:t>
      </w:r>
      <w:r>
        <w:t xml:space="preserve"> </w:t>
      </w:r>
      <w:r>
        <w:t xml:space="preserve">(e.g.,</w:t>
      </w:r>
      <w:r>
        <w:t xml:space="preserve"> </w:t>
      </w:r>
      <w:hyperlink w:anchor="ref-Kim2009">
        <w:r>
          <w:rPr>
            <w:rStyle w:val="Hyperlink"/>
          </w:rPr>
          <w:t xml:space="preserve">Kim et al., 2009</w:t>
        </w:r>
      </w:hyperlink>
      <w:r>
        <w:t xml:space="preserve">)</w:t>
      </w:r>
      <w:r>
        <w:t xml:space="preserve">.</w:t>
      </w:r>
      <w:r>
        <w:t xml:space="preserve"> </w:t>
      </w:r>
      <w:r>
        <w:t xml:space="preserve">However, relatively few longitudinal studies attempt to assess people’s</w:t>
      </w:r>
      <w:r>
        <w:t xml:space="preserve"> </w:t>
      </w:r>
      <w:r>
        <w:rPr>
          <w:i/>
          <w:iCs/>
        </w:rPr>
        <w:t xml:space="preserve">change</w:t>
      </w:r>
      <w:r>
        <w:t xml:space="preserve"> </w:t>
      </w:r>
      <w:r>
        <w:t xml:space="preserve">(in level) in a given psychopathology construct over a lengthy period.</w:t>
      </w:r>
      <w:r>
        <w:t xml:space="preserve"> </w:t>
      </w:r>
      <w:r>
        <w:t xml:space="preserve">Here, we focus on studies that have examined trajectories of externalizing behavior.</w:t>
      </w:r>
      <w:r>
        <w:rPr>
          <w:rStyle w:val="FootnoteReference"/>
        </w:rPr>
        <w:footnoteReference w:id="70"/>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In the Mannheim Study of Children at Risk,</w:t>
      </w:r>
      <w:r>
        <w:t xml:space="preserve"> </w:t>
      </w:r>
      <w:r>
        <w:t xml:space="preserve">Sacu et al. (</w:t>
      </w:r>
      <w:hyperlink w:anchor="ref-SacuInPress">
        <w:r>
          <w:rPr>
            <w:rStyle w:val="Hyperlink"/>
          </w:rPr>
          <w:t xml:space="preserve">in press</w:t>
        </w:r>
      </w:hyperlink>
      <w:r>
        <w:t xml:space="preserve">)</w:t>
      </w:r>
      <w:r>
        <w:t xml:space="preserve"> </w:t>
      </w:r>
      <w:r>
        <w:t xml:space="preserve">examined trajectories of externalizing behavior from ages 8–33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11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 with 10 measurement occasions</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different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p>
    <w:p>
      <w:pPr>
        <w:pStyle w:val="BodyText"/>
      </w:pP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 Chen and Bauer examined trajectories of delinquency from ages 12–26 with 3 measurement occasions in the National Longitudinal Study of Adolescent to Adult Health</w:t>
      </w:r>
      <w:r>
        <w:t xml:space="preserve"> </w:t>
      </w:r>
      <w:r>
        <w:t xml:space="preserve">(Add Health;</w:t>
      </w:r>
      <w:r>
        <w:t xml:space="preserve"> </w:t>
      </w:r>
      <w:hyperlink w:anchor="ref-ChenPM">
        <w:r>
          <w:rPr>
            <w:rStyle w:val="Hyperlink"/>
          </w:rPr>
          <w:t xml:space="preserve">in press b</w:t>
        </w:r>
      </w:hyperlink>
      <w:r>
        <w:t xml:space="preserve">)</w:t>
      </w:r>
      <w:r>
        <w:t xml:space="preserve">, and examined trajectories of externalizing behavior from ages 5–12 with 3 measurement occasions in the National Longitudinal Survey of Youth 1979 Child and Young Adult</w:t>
      </w:r>
      <w:r>
        <w:t xml:space="preserve"> </w:t>
      </w:r>
      <w:r>
        <w:t xml:space="preserve">(NLSCYA;</w:t>
      </w:r>
      <w:r>
        <w:t xml:space="preserve"> </w:t>
      </w:r>
      <w:hyperlink w:anchor="ref-ChenMBR">
        <w:r>
          <w:rPr>
            <w:rStyle w:val="Hyperlink"/>
          </w:rPr>
          <w:t xml:space="preserve">in press a</w:t>
        </w:r>
      </w:hyperlink>
      <w:r>
        <w:t xml:space="preserve">)</w:t>
      </w:r>
      <w:r>
        <w:t xml:space="preserve">.</w:t>
      </w:r>
      <w:r>
        <w:t xml:space="preserve"> </w:t>
      </w:r>
      <w:r>
        <w:t xml:space="preserve">In addition, studies have examined trajectories of emotional and behavioral dysregulation (encompassing externalizing problems and emotional symptoms)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74"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w:t>
      </w:r>
    </w:p>
    <w:p>
      <w:pPr>
        <w:pStyle w:val="FigureWithNote"/>
      </w:pPr>
      <w:r>
        <w:drawing>
          <wp:inline>
            <wp:extent cx="5943600" cy="6792685"/>
            <wp:effectExtent b="0" l="0" r="0" t="0"/>
            <wp:docPr descr="" title="" id="72" name="Picture"/>
            <a:graphic>
              <a:graphicData uri="http://schemas.openxmlformats.org/drawingml/2006/picture">
                <pic:pic>
                  <pic:nvPicPr>
                    <pic:cNvPr descr="index_files/figure-docx/notebooks-analyses-fig-longitudinal-externalizing-studies-output-1.png" id="73" name="Picture"/>
                    <pic:cNvPicPr>
                      <a:picLocks noChangeArrowheads="1" noChangeAspect="1"/>
                    </pic:cNvPicPr>
                  </pic:nvPicPr>
                  <pic:blipFill>
                    <a:blip r:embed="rId71"/>
                    <a:stretch>
                      <a:fillRect/>
                    </a:stretch>
                  </pic:blipFill>
                  <pic:spPr bwMode="auto">
                    <a:xfrm>
                      <a:off x="0" y="0"/>
                      <a:ext cx="5943600" cy="6792685"/>
                    </a:xfrm>
                    <a:prstGeom prst="rect">
                      <a:avLst/>
                    </a:prstGeom>
                    <a:noFill/>
                    <a:ln w="9525">
                      <a:noFill/>
                      <a:headEnd/>
                      <a:tailEnd/>
                    </a:ln>
                  </pic:spPr>
                </pic:pic>
              </a:graphicData>
            </a:graphic>
          </wp:inline>
        </w:drawing>
      </w:r>
    </w:p>
    <w:bookmarkEnd w:id="74"/>
    <w:p>
      <w:pPr>
        <w:pStyle w:val="FigureNote"/>
      </w:pPr>
      <w:r>
        <w:rPr>
          <w:i/>
          <w:iCs/>
        </w:rPr>
        <w:t xml:space="preserve">Note</w:t>
      </w:r>
      <w:r>
        <w:t xml:space="preserve">. The list of longitudinal studies is not exhaustive. Studies that are based on registry data are shown in gray. Studies that used developmental scaling to harmonize scores across ages (i.e., to link scores across ages onto the same scale) are in green. Measurement occasions are depicted with solid circles. Note that, in some studies, measurement occasions only apply to a subset of participants in that study—in some cases, no participant was assessed at all measurement occasions.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participants.</w:t>
      </w:r>
      <w:r>
        <w:t xml:space="preserve"> </w:t>
      </w:r>
      <w:r>
        <w:t xml:space="preserve">‘MTSFGCLS’</w:t>
      </w:r>
      <w:r>
        <w:t xml:space="preserve"> </w:t>
      </w:r>
      <w:r>
        <w:t xml:space="preserve">= Montreal Two Samples Four Generations Cross-sectional and Longitudinal Studies.</w:t>
      </w:r>
    </w:p>
    <w:p>
      <w:pPr>
        <w:pStyle w:val="FigureWithNote"/>
      </w:pPr>
      <w:r>
        <w:rPr>
          <w:i/>
          <w:iCs/>
        </w:rPr>
        <w:t xml:space="preserve">Note</w:t>
      </w:r>
      <w:r>
        <w:t xml:space="preserve">. The list of longitudinal studies is not exhaustive. Studies that are based on registry data are shown in gray. Studies that used developmental scaling to harmonize scores across ages (i.e., to link scores across ages onto the same scale) are in green. Measurement occasions are depicted with solid circles. Note that, in some studies, measurement occasions only apply to a subset of participants in that study—in some cases, no participant was assessed at all measurement occasions.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participants.</w:t>
      </w:r>
      <w:r>
        <w:t xml:space="preserve"> </w:t>
      </w:r>
      <w:r>
        <w:t xml:space="preserve">‘MTSFGCLS’</w:t>
      </w:r>
      <w:r>
        <w:t xml:space="preserve"> </w:t>
      </w:r>
      <w:r>
        <w:t xml:space="preserve">= Montreal Two Samples Four Generations Cross-sectional and Longitudinal Studies.</w:t>
      </w:r>
    </w:p>
    <w:p>
      <w:pPr>
        <w:pStyle w:val="FigureWithNote"/>
      </w:pPr>
      <w:r>
        <w:rPr>
          <w:vertAlign w:val="subscript"/>
        </w:rPr>
        <w:t xml:space="preserve">Source:</w:t>
      </w:r>
      <w:r>
        <w:rPr>
          <w:vertAlign w:val="subscript"/>
        </w:rPr>
        <w:t xml:space="preserve"> </w:t>
      </w:r>
      <w:hyperlink r:id="rId75">
        <w:r>
          <w:rPr>
            <w:rStyle w:val="Hyperlink"/>
            <w:vertAlign w:val="subscript"/>
          </w:rPr>
          <w:t xml:space="preserve">Analyses</w:t>
        </w:r>
      </w:hyperlink>
    </w:p>
    <w:p>
      <w:pPr>
        <w:pStyle w:val="BodyText"/>
      </w:pPr>
      <w:r>
        <w:br/>
      </w:r>
      <w:r>
        <w:t xml:space="preserve">::: {.figure-caption .content-visible when-format=</w:t>
      </w:r>
      <w:r>
        <w:t xml:space="preserve">“html”</w:t>
      </w:r>
      <w:r>
        <w:t xml:space="preserve">}</w:t>
      </w:r>
    </w:p>
    <w:p>
      <w:pPr>
        <w:pStyle w:val="BodyText"/>
      </w:pPr>
      <w:r>
        <w:rPr>
          <w:i/>
          <w:iCs/>
        </w:rPr>
        <w:t xml:space="preserve">Note</w:t>
      </w:r>
      <w:r>
        <w:t xml:space="preserve">.</w:t>
      </w:r>
      <w:r>
        <w:t xml:space="preserve"> </w:t>
      </w:r>
      <w:r>
        <w:t xml:space="preserve">The list of longitudinal studies is not exhaustive.</w:t>
      </w:r>
      <w:r>
        <w:t xml:space="preserve"> </w:t>
      </w:r>
      <w:r>
        <w:t xml:space="preserve">Studies that are based on registry data are shown in gray.</w:t>
      </w:r>
      <w:r>
        <w:t xml:space="preserve"> </w:t>
      </w:r>
      <w:r>
        <w:t xml:space="preserve">Studies that used developmental scaling to harmonize scores across ages (i.e., to link scores across ages onto the same scale) are in green.</w:t>
      </w:r>
      <w:r>
        <w:t xml:space="preserve"> </w:t>
      </w:r>
      <w:r>
        <w:t xml:space="preserve">Measurement occasions are depicted with solid circles.</w:t>
      </w:r>
      <w:r>
        <w:t xml:space="preserve"> </w:t>
      </w:r>
      <w:r>
        <w:t xml:space="preserve">Note that, in some studies, measurement occasions only apply to a subset of participants in that study—in some cases, no participant was assessed at all measurement occasions.</w:t>
      </w:r>
      <w:r>
        <w:t xml:space="preserve"> </w:t>
      </w:r>
      <w:r>
        <w:t xml:space="preserve">Solid lines reflect fully longitudinal spans (i.e., the same individuals were followed over time).</w:t>
      </w:r>
      <w:r>
        <w:t xml:space="preserve"> </w:t>
      </w:r>
      <w:r>
        <w:t xml:space="preserve">Dotted lines reflect ages assessed cross-sectionally—even if some participants may have been followed longitudinally.</w:t>
      </w:r>
      <w:r>
        <w:t xml:space="preserve"> </w:t>
      </w:r>
      <w:r>
        <w:t xml:space="preserve">For instance, if a study recruited 5–10-year-old children and followed each child for 20 years, the study would have dotted lines from ages 5–10 and from ages 25–30.</w:t>
      </w:r>
      <w:r>
        <w:t xml:space="preserve"> </w:t>
      </w:r>
      <w:r>
        <w:t xml:space="preserve">Studies shown entirely with dotted lines assessed their full age range cross-sectionally but still included longitudinal follow-up of participants.</w:t>
      </w:r>
      <w:r>
        <w:t xml:space="preserve"> </w:t>
      </w:r>
      <w:r>
        <w:t xml:space="preserve">‘MTSFGCLS’</w:t>
      </w:r>
      <w:r>
        <w:t xml:space="preserve"> </w:t>
      </w:r>
      <w:r>
        <w:t xml:space="preserve">= Montreal Two Samples Four Generations Cross-sectional and Longitudinal Studies.</w:t>
      </w:r>
    </w:p>
    <w:p>
      <w:pPr>
        <w:pStyle w:val="BodyText"/>
      </w:pPr>
      <w:r>
        <w:t xml:space="preserve">:::</w:t>
      </w:r>
    </w:p>
    <w:p>
      <w:pPr>
        <w:pStyle w:val="BodyText"/>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some of our own</w:t>
      </w:r>
      <w:r>
        <w:t xml:space="preserve"> </w:t>
      </w:r>
      <w:r>
        <w:t xml:space="preserve">(e.g.,</w:t>
      </w:r>
      <w:r>
        <w:t xml:space="preserve"> </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which prevent strong inferences regarding individuals’ change over time.</w:t>
      </w:r>
    </w:p>
    <w:bookmarkEnd w:id="76"/>
    <w:bookmarkEnd w:id="77"/>
    <w:bookmarkStart w:id="104"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because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 behavior.</w:t>
      </w:r>
    </w:p>
    <w:bookmarkStart w:id="86"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For instance, children who go on to develop later externalizing problems and conduct problems tend to show earlier temperamental differences such as poorer self-regulation, poorer emotion regulation, low fearfulness, and a more difficult temperament</w:t>
      </w:r>
      <w:r>
        <w:t xml:space="preserve"> </w:t>
      </w:r>
      <w:r>
        <w:t xml:space="preserve">(</w:t>
      </w:r>
      <w:hyperlink w:anchor="ref-Bates2014">
        <w:r>
          <w:rPr>
            <w:rStyle w:val="Hyperlink"/>
          </w:rPr>
          <w:t xml:space="preserve">Bates et al., 2014</w:t>
        </w:r>
      </w:hyperlink>
      <w:r>
        <w:t xml:space="preserve">;</w:t>
      </w:r>
      <w:r>
        <w:t xml:space="preserve"> </w:t>
      </w:r>
      <w:hyperlink w:anchor="ref-Frick2004">
        <w:r>
          <w:rPr>
            <w:rStyle w:val="Hyperlink"/>
          </w:rPr>
          <w:t xml:space="preserve">Frick &amp; Morris, 2004</w:t>
        </w:r>
      </w:hyperlink>
      <w:r>
        <w:t xml:space="preserve">)</w:t>
      </w:r>
      <w:r>
        <w:t xml:space="preserve">.</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of a lion and then the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p>
    <w:p>
      <w:pPr>
        <w:pStyle w:val="BodyText"/>
      </w:pP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hyperlink w:anchor="fig-absoluteFrequencyByAge">
        <w:r>
          <w:rPr>
            <w:rStyle w:val="Hyperlink"/>
          </w:rPr>
          <w:t xml:space="preserve">Figure 5</w:t>
        </w:r>
      </w:hyperlink>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These factors likely interact to produce individual differences in heterotypic continuity of relevance to developmental psychopathology, for instance, earlier emergence of alcohol consumption</w:t>
      </w:r>
      <w:r>
        <w:t xml:space="preserve"> </w:t>
      </w:r>
      <w:r>
        <w:t xml:space="preserve">(</w:t>
      </w:r>
      <w:hyperlink w:anchor="ref-Aiken2018">
        <w:r>
          <w:rPr>
            <w:rStyle w:val="Hyperlink"/>
          </w:rPr>
          <w:t xml:space="preserve">Aiken et al., 2018</w:t>
        </w:r>
      </w:hyperlink>
      <w:r>
        <w:t xml:space="preserve">)</w:t>
      </w:r>
      <w:r>
        <w:t xml:space="preserve">.</w:t>
      </w:r>
    </w:p>
    <w:bookmarkStart w:id="81" w:name="fig-absoluteFrequencyByAge"/>
    <w:p>
      <w:pPr>
        <w:pStyle w:val="FigureTitle"/>
      </w:pPr>
      <w:r>
        <w:t xml:space="preserve">Figure 5</w:t>
      </w:r>
    </w:p>
    <w:p>
      <w:pPr>
        <w:pStyle w:val="Caption"/>
      </w:pPr>
      <w:r>
        <w:t xml:space="preserve">Frequency (Per Month) of Engaging in Various Externalizing Behaviors by Age (</w:t>
      </w:r>
      <w:r>
        <w:rPr>
          <w:i/>
          <w:iCs/>
        </w:rPr>
        <w:t xml:space="preserve">N</w:t>
      </w:r>
      <w:r>
        <w:t xml:space="preserve"> </w:t>
      </w:r>
      <w:r>
        <w:t xml:space="preserve">= 1,237)</w:t>
      </w:r>
    </w:p>
    <w:p>
      <w:pPr>
        <w:pStyle w:val="FigureWithNote"/>
      </w:pPr>
      <w:r>
        <w:drawing>
          <wp:inline>
            <wp:extent cx="5943600" cy="2377440"/>
            <wp:effectExtent b="0" l="0" r="0" t="0"/>
            <wp:docPr descr="" title="" id="79" name="Picture"/>
            <a:graphic>
              <a:graphicData uri="http://schemas.openxmlformats.org/drawingml/2006/picture">
                <pic:pic>
                  <pic:nvPicPr>
                    <pic:cNvPr descr="Figures/Petersen2026_figure1.png" id="80" name="Picture"/>
                    <pic:cNvPicPr>
                      <a:picLocks noChangeArrowheads="1" noChangeAspect="1"/>
                    </pic:cNvPicPr>
                  </pic:nvPicPr>
                  <pic:blipFill>
                    <a:blip r:embed="rId78"/>
                    <a:stretch>
                      <a:fillRect/>
                    </a:stretch>
                  </pic:blipFill>
                  <pic:spPr bwMode="auto">
                    <a:xfrm>
                      <a:off x="0" y="0"/>
                      <a:ext cx="5943600" cy="2377440"/>
                    </a:xfrm>
                    <a:prstGeom prst="rect">
                      <a:avLst/>
                    </a:prstGeom>
                    <a:noFill/>
                    <a:ln w="9525">
                      <a:noFill/>
                      <a:headEnd/>
                      <a:tailEnd/>
                    </a:ln>
                  </pic:spPr>
                </pic:pic>
              </a:graphicData>
            </a:graphic>
          </wp:inline>
        </w:drawing>
      </w:r>
    </w:p>
    <w:bookmarkEnd w:id="81"/>
    <w:p>
      <w:pPr>
        <w:pStyle w:val="FigureNote"/>
      </w:pPr>
      <w:r>
        <w:rPr>
          <w:i/>
          <w:iCs/>
        </w:rPr>
        <w:t xml:space="preserve">Note</w:t>
      </w:r>
      <w:r>
        <w:t xml:space="preserve">. Items are from the Externalizing Spectrum Inventory (ESI), but unlike the True/False ESI, participants rated items on an absolute frequency scale (times per day/week/month/year). The gray band is the 95% confidence interval. The figure demonstrates that different externalizing behaviors are most common at different developmental periods, consistent with heterotypic continuity. As examples, hurting others’ feelings on purpose (left panel) was most common in early adulthood; snapping or raising one’s voice (middle panel) was most common in middle adulthood; getting in power struggles with others (right panel) was most common in older adulthood.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2">
        <w:r>
          <w:rPr>
            <w:rStyle w:val="Hyperlink"/>
          </w:rPr>
          <w:t xml:space="preserve">https://doi.org/10.1037/pas0001441</w:t>
        </w:r>
      </w:hyperlink>
      <w:r>
        <w:t xml:space="preserve">).</w:t>
      </w:r>
    </w:p>
    <w:p>
      <w:pPr>
        <w:pStyle w:val="BodyText"/>
      </w:pPr>
      <w:r>
        <w:br/>
      </w:r>
      <w:r>
        <w:t xml:space="preserve">::: {.figure-caption .content-visible when-format=</w:t>
      </w:r>
      <w:r>
        <w:t xml:space="preserve">“html”</w:t>
      </w:r>
      <w:r>
        <w:t xml:space="preserve">}</w:t>
      </w:r>
    </w:p>
    <w:p>
      <w:pPr>
        <w:pStyle w:val="BodyText"/>
      </w:pPr>
      <w:r>
        <w:rPr>
          <w:i/>
          <w:iCs/>
        </w:rPr>
        <w:t xml:space="preserve">Note</w:t>
      </w:r>
      <w:r>
        <w:t xml:space="preserve">.</w:t>
      </w:r>
      <w:r>
        <w:t xml:space="preserve"> </w:t>
      </w:r>
      <w:r>
        <w:t xml:space="preserve">Items are from the Externalizing Spectrum Inventory (ESI), but unlike the True/False ESI, participants rated items on an absolute frequency scale (times per day/week/month/year).</w:t>
      </w:r>
      <w:r>
        <w:t xml:space="preserve"> </w:t>
      </w:r>
      <w:r>
        <w:t xml:space="preserve">The gray band is the 95% confidence interval.</w:t>
      </w:r>
      <w:r>
        <w:t xml:space="preserve"> </w:t>
      </w:r>
      <w:r>
        <w:t xml:space="preserve">The figure demonstrates that different externalizing behaviors are most common at different developmental periods, consistent with heterotypic continuity.</w:t>
      </w:r>
      <w:r>
        <w:t xml:space="preserve"> </w:t>
      </w:r>
      <w:r>
        <w:t xml:space="preserve">As examples, hurting others’ feelings on purpose (left panel) was most common in early adulthood; snapping or raising one’s voice (middle panel) was most common in middle adulthood; getting in power struggles with others (right panel) was most common in older adulthood.</w:t>
      </w:r>
      <w:r>
        <w:t xml:space="preserve"> </w:t>
      </w:r>
      <w:r>
        <w:t xml:space="preserve">(Figure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2">
        <w:r>
          <w:rPr>
            <w:rStyle w:val="Hyperlink"/>
          </w:rPr>
          <w:t xml:space="preserve">https://doi.org/10.1037/pas0001441</w:t>
        </w:r>
      </w:hyperlink>
      <w:r>
        <w:t xml:space="preserve">)</w:t>
      </w:r>
    </w:p>
    <w:p>
      <w:pPr>
        <w:pStyle w:val="BodyText"/>
      </w:pPr>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Tyrell2019">
        <w:r>
          <w:rPr>
            <w:rStyle w:val="Hyperlink"/>
          </w:rPr>
          <w:t xml:space="preserve">Tyrell et al., 2019</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2026">
        <w:r>
          <w:rPr>
            <w:rStyle w:val="Hyperlink"/>
          </w:rPr>
          <w:t xml:space="preserve">Applegate &amp; Lahey, 2026</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Indeed, fighting is considered to differ in meaning from childhood to adulthood</w:t>
      </w:r>
      <w:r>
        <w:t xml:space="preserve"> </w:t>
      </w:r>
      <w:r>
        <w:t xml:space="preserve">(</w:t>
      </w:r>
      <w:hyperlink w:anchor="ref-Patterson1993">
        <w:r>
          <w:rPr>
            <w:rStyle w:val="Hyperlink"/>
          </w:rPr>
          <w:t xml:space="preserve">Patterson, 1993</w:t>
        </w:r>
      </w:hyperlink>
      <w:r>
        <w:t xml:space="preserve">;</w:t>
      </w:r>
      <w:r>
        <w:t xml:space="preserve"> </w:t>
      </w:r>
      <w:hyperlink w:anchor="ref-Tyrell2019">
        <w:r>
          <w:rPr>
            <w:rStyle w:val="Hyperlink"/>
          </w:rPr>
          <w:t xml:space="preserve">Tyrell et al., 2019</w:t>
        </w:r>
      </w:hyperlink>
      <w:r>
        <w:t xml:space="preserve">)</w:t>
      </w:r>
      <w:r>
        <w:t xml:space="preserve">.</w:t>
      </w:r>
      <w:r>
        <w:t xml:space="preserve"> </w:t>
      </w:r>
      <w:r>
        <w:t xml:space="preserve">Thus, as noted by Applegate and Lahey</w:t>
      </w:r>
      <w:r>
        <w:t xml:space="preserve"> </w:t>
      </w:r>
      <w:r>
        <w:t xml:space="preserve">(</w:t>
      </w:r>
      <w:hyperlink w:anchor="ref-Applegate2026">
        <w:r>
          <w:rPr>
            <w:rStyle w:val="Hyperlink"/>
          </w:rPr>
          <w:t xml:space="preserve">2026, p. 10</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85"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83"/>
      </w:r>
      <w:r>
        <w:t xml:space="preserve">—the diagnostic criteria do not differ across development, even though diagnostic manuals acknowledge that developmental factors impact symptom presentation</w:t>
      </w:r>
      <w:r>
        <w:rPr>
          <w:rStyle w:val="FootnoteReference"/>
        </w:rPr>
        <w:footnoteReference w:id="84"/>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developmental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85"/>
    <w:bookmarkEnd w:id="86"/>
    <w:bookmarkStart w:id="103"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methodological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93"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use the same items to assess problem behaviors across a very wide range of ages and thus do not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 (</w:t>
      </w:r>
      <w:hyperlink w:anchor="fig-approachesToLongitudinalAssessment">
        <w:r>
          <w:rPr>
            <w:rStyle w:val="Hyperlink"/>
          </w:rPr>
          <w:t xml:space="preserve">Figure 6</w:t>
        </w:r>
      </w:hyperlink>
      <w:r>
        <w:t xml:space="preserve">).</w:t>
      </w:r>
      <w:r>
        <w:t xml:space="preserve"> </w:t>
      </w:r>
      <w:r>
        <w:t xml:space="preserve">The</w:t>
      </w:r>
      <w:r>
        <w:t xml:space="preserve"> </w:t>
      </w:r>
      <w:r>
        <w:t xml:space="preserve">“common items”</w:t>
      </w:r>
      <w:r>
        <w:t xml:space="preserve"> </w:t>
      </w:r>
      <w:r>
        <w:t xml:space="preserve">approach removes items that are age specific.</w:t>
      </w:r>
      <w:r>
        <w:rPr>
          <w:rStyle w:val="FootnoteReference"/>
        </w:rPr>
        <w:footnoteReference w:id="87"/>
      </w:r>
      <w:r>
        <w:t xml:space="preserve"> </w:t>
      </w:r>
      <w:r>
        <w:t xml:space="preserve">For example, in a study of externalizing behavior from early childhood to adolescence, a study might remove substance use items that are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those same items across all ages, even outside the ages for which the assessment was designed and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p>
    <w:p>
      <w:pPr>
        <w:pStyle w:val="BodyText"/>
      </w:pP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r>
        <w:t xml:space="preserve"> </w:t>
      </w:r>
      <w:r>
        <w:t xml:space="preserve">As examples of the downward extension approach,</w:t>
      </w:r>
      <w:r>
        <w:t xml:space="preserve"> </w:t>
      </w:r>
      <w:r>
        <w:t xml:space="preserve">Gornik et al. (</w:t>
      </w:r>
      <w:hyperlink w:anchor="ref-Gornik2023">
        <w:r>
          <w:rPr>
            <w:rStyle w:val="Hyperlink"/>
          </w:rPr>
          <w:t xml:space="preserve">2023</w:t>
        </w:r>
      </w:hyperlink>
      <w:r>
        <w:t xml:space="preserve">)</w:t>
      </w:r>
      <w:r>
        <w:t xml:space="preserve"> </w:t>
      </w:r>
      <w:r>
        <w:t xml:space="preserve">used the CBCL 4–18 with 3-year-olds—i.e., ages younger than the assessment was designed.</w:t>
      </w:r>
      <w:r>
        <w:t xml:space="preserve"> </w:t>
      </w:r>
      <w:r>
        <w:t xml:space="preserve">Zhai et al. (</w:t>
      </w:r>
      <w:hyperlink w:anchor="ref-Zhai2026">
        <w:r>
          <w:rPr>
            <w:rStyle w:val="Hyperlink"/>
          </w:rPr>
          <w:t xml:space="preserve">2026</w:t>
        </w:r>
      </w:hyperlink>
      <w:r>
        <w:t xml:space="preserve">)</w:t>
      </w:r>
      <w:r>
        <w:t xml:space="preserve"> </w:t>
      </w:r>
      <w:r>
        <w:t xml:space="preserve">used items (e.g.,</w:t>
      </w:r>
      <w:r>
        <w:t xml:space="preserve"> </w:t>
      </w:r>
      <w:r>
        <w:t xml:space="preserve">“steals from home, school or elsewhere”</w:t>
      </w:r>
      <w:r>
        <w:t xml:space="preserve">) from the Strengths and Difficulties Questionnaire for 4–10/11–17-year-olds with 3 year-olds—i.e., ages younger than the assessment was designed, despite availability of a version for 2–4-year-olds.</w:t>
      </w:r>
    </w:p>
    <w:bookmarkStart w:id="91" w:name="fig-approachesToLongitudinalAssessment"/>
    <w:p>
      <w:pPr>
        <w:pStyle w:val="FigureTitle"/>
      </w:pPr>
      <w:r>
        <w:t xml:space="preserve">Figure 6</w:t>
      </w:r>
    </w:p>
    <w:p>
      <w:pPr>
        <w:pStyle w:val="Caption"/>
      </w:pPr>
      <w:r>
        <w:t xml:space="preserve">Approaches to Longitudinal Assessment</w:t>
      </w:r>
    </w:p>
    <w:p>
      <w:pPr>
        <w:pStyle w:val="FigureWithNote"/>
      </w:pPr>
      <w:r>
        <w:drawing>
          <wp:inline>
            <wp:extent cx="5943600" cy="2351289"/>
            <wp:effectExtent b="0" l="0" r="0" t="0"/>
            <wp:docPr descr="" title="" id="89" name="Picture"/>
            <a:graphic>
              <a:graphicData uri="http://schemas.openxmlformats.org/drawingml/2006/picture">
                <pic:pic>
                  <pic:nvPicPr>
                    <pic:cNvPr descr="Figures/approachesToLongitudinalAssessment.jpg" id="90" name="Picture"/>
                    <pic:cNvPicPr>
                      <a:picLocks noChangeArrowheads="1" noChangeAspect="1"/>
                    </pic:cNvPicPr>
                  </pic:nvPicPr>
                  <pic:blipFill>
                    <a:blip r:embed="rId88"/>
                    <a:stretch>
                      <a:fillRect/>
                    </a:stretch>
                  </pic:blipFill>
                  <pic:spPr bwMode="auto">
                    <a:xfrm>
                      <a:off x="0" y="0"/>
                      <a:ext cx="5943600" cy="2351289"/>
                    </a:xfrm>
                    <a:prstGeom prst="rect">
                      <a:avLst/>
                    </a:prstGeom>
                    <a:noFill/>
                    <a:ln w="9525">
                      <a:noFill/>
                      <a:headEnd/>
                      <a:tailEnd/>
                    </a:ln>
                  </pic:spPr>
                </pic:pic>
              </a:graphicData>
            </a:graphic>
          </wp:inline>
        </w:drawing>
      </w:r>
    </w:p>
    <w:bookmarkEnd w:id="91"/>
    <w:p>
      <w:pPr>
        <w:pStyle w:val="FigureNote"/>
      </w:pPr>
      <w:r>
        <w:rPr>
          <w:i/>
          <w:iCs/>
        </w:rPr>
        <w:t xml:space="preserve">Note</w:t>
      </w:r>
      <w:r>
        <w:t xml:space="preserve">. Item set A refers to items that are construct-valid at only timepoint 1 (T1); item set B is construct-valid at both T1 and T2; item set C is construct-valid at only T2. A dash indicates that the item set was not assessed at a given timepoint. A white box indicates invalid assessment in terms of either a content gap (i.e., important missing items) or intrusion (i.e., invalid items at a given timepoint). 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 The three approaches are: (1) common items: B at T1 and T2, (2) upward/downward extension: ABC at T1 and T2, or (3) construct-valid items: AB at T1; BC at T2.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 (Figure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2">
        <w:r>
          <w:rPr>
            <w:rStyle w:val="Hyperlink"/>
          </w:rPr>
          <w:t xml:space="preserve">https://doi.org/10.1016/j.jaacop.2025.10.008</w:t>
        </w:r>
      </w:hyperlink>
      <w:r>
        <w:t xml:space="preserve">).</w:t>
      </w:r>
    </w:p>
    <w:p>
      <w:pPr>
        <w:pStyle w:val="BodyText"/>
      </w:pPr>
      <w:r>
        <w:br/>
      </w:r>
      <w:r>
        <w:t xml:space="preserve">::: {.figure-caption .content-visible when-format=</w:t>
      </w:r>
      <w:r>
        <w:t xml:space="preserve">“html”</w:t>
      </w:r>
      <w:r>
        <w:t xml:space="preserve">}</w:t>
      </w:r>
    </w:p>
    <w:p>
      <w:pPr>
        <w:pStyle w:val="BodyText"/>
      </w:pPr>
      <w:r>
        <w:rPr>
          <w:i/>
          <w:iCs/>
        </w:rPr>
        <w:t xml:space="preserve">Note</w:t>
      </w:r>
      <w:r>
        <w:t xml:space="preserve">.</w:t>
      </w:r>
      <w:r>
        <w:t xml:space="preserve"> </w:t>
      </w: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2">
        <w:r>
          <w:rPr>
            <w:rStyle w:val="Hyperlink"/>
          </w:rPr>
          <w:t xml:space="preserve">https://doi.org/10.1016/j.jaacop.2025.10.008</w:t>
        </w:r>
      </w:hyperlink>
      <w:r>
        <w:t xml:space="preserve">)</w:t>
      </w:r>
    </w:p>
    <w:p>
      <w:pPr>
        <w:pStyle w:val="BodyText"/>
      </w:pPr>
      <w:r>
        <w:t xml:space="preserve">:::</w:t>
      </w:r>
    </w:p>
    <w:p>
      <w:pPr>
        <w:pStyle w:val="BodyText"/>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a">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have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approaches—thus failing to account for heterotypic continuity—lead to inaccurate developmental inferences.</w:t>
      </w:r>
      <w:r>
        <w:t xml:space="preserve"> </w:t>
      </w:r>
      <w:r>
        <w:t xml:space="preserve">The extent of inaccuracy may vary from small to substantial depending on the approach used, the criterion examined, and the extent to which the construct changes in manifestation (whose changes are ignored).</w:t>
      </w:r>
      <w:r>
        <w:t xml:space="preserve"> </w:t>
      </w:r>
      <w:r>
        <w:t xml:space="preserve">Nevertheless, the effects of failing to account for heterotypic continuity have been large enough to infer that (a) a sample does not show changes in level when it actually does</w:t>
      </w:r>
      <w:r>
        <w:t xml:space="preserve"> </w:t>
      </w:r>
      <w:r>
        <w:t xml:space="preserve">(</w:t>
      </w:r>
      <w:hyperlink w:anchor="ref-Petersen2018">
        <w:r>
          <w:rPr>
            <w:rStyle w:val="Hyperlink"/>
          </w:rPr>
          <w:t xml:space="preserve">Petersen et al., 2018</w:t>
        </w:r>
      </w:hyperlink>
      <w:r>
        <w:t xml:space="preserve">)</w:t>
      </w:r>
      <w:r>
        <w:t xml:space="preserve">, (b) a sample shows increases when it actually decreases</w:t>
      </w:r>
      <w:r>
        <w:t xml:space="preserve"> </w:t>
      </w:r>
      <w:r>
        <w:t xml:space="preserve">(</w:t>
      </w:r>
      <w:hyperlink w:anchor="ref-Petersen2021a">
        <w:r>
          <w:rPr>
            <w:rStyle w:val="Hyperlink"/>
          </w:rPr>
          <w:t xml:space="preserve">Petersen et al., 2021</w:t>
        </w:r>
      </w:hyperlink>
      <w:r>
        <w:t xml:space="preserve">)</w:t>
      </w:r>
      <w:r>
        <w:t xml:space="preserve">, (c) many individuals are misclassified as persisting versus desisting in terms of their externalizing trajectory</w:t>
      </w:r>
      <w:r>
        <w:t xml:space="preserve"> </w:t>
      </w:r>
      <w:r>
        <w:t xml:space="preserve">(</w:t>
      </w:r>
      <w:hyperlink w:anchor="ref-Petersen2026a">
        <w:r>
          <w:rPr>
            <w:rStyle w:val="Hyperlink"/>
          </w:rPr>
          <w:t xml:space="preserve">Petersen, Demko, Lee, et al., 2026</w:t>
        </w:r>
      </w:hyperlink>
      <w:r>
        <w:t xml:space="preserve">)</w:t>
      </w:r>
      <w:r>
        <w:t xml:space="preserve">, and (d) a subgroup’s externalizing behavior emerges in adulthood when it actually onsets much earlier</w:t>
      </w:r>
      <w:r>
        <w:t xml:space="preserve"> </w:t>
      </w:r>
      <w:r>
        <w:t xml:space="preserve">(i.e., adolescence;</w:t>
      </w:r>
      <w:r>
        <w:t xml:space="preserve"> </w:t>
      </w:r>
      <w:hyperlink w:anchor="ref-Chen2015">
        <w:r>
          <w:rPr>
            <w:rStyle w:val="Hyperlink"/>
          </w:rPr>
          <w:t xml:space="preserve">F. R. Chen &amp; Jaffee, 2015</w:t>
        </w:r>
      </w:hyperlink>
      <w:r>
        <w:t xml:space="preserve">)</w:t>
      </w:r>
      <w:r>
        <w:t xml:space="preserve">.</w:t>
      </w:r>
      <w:r>
        <w:t xml:space="preserve"> </w:t>
      </w:r>
      <w:r>
        <w:t xml:space="preserve">In sum, despite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being the most widely used for assessing individuals’ development, they likely lead to inaccurate scores and thus inaccurate trajectories and ages of onset for individuals and groups.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construct-invalid scores and resulting norms.</w:t>
      </w:r>
      <w:r>
        <w:t xml:space="preserve"> </w:t>
      </w:r>
      <w:r>
        <w:t xml:space="preserve">Likewise, using DSM disorders or diagnoses also does not solve the problem because DSM disorders are fictive categories</w:t>
      </w:r>
      <w:r>
        <w:t xml:space="preserve"> </w:t>
      </w:r>
      <w:r>
        <w:t xml:space="preserve">(</w:t>
      </w:r>
      <w:hyperlink w:anchor="ref-Petersen2024">
        <w:r>
          <w:rPr>
            <w:rStyle w:val="Hyperlink"/>
          </w:rPr>
          <w:t xml:space="preserve">Petersen, 2024</w:t>
        </w:r>
      </w:hyperlink>
      <w:r>
        <w:t xml:space="preserve">)</w:t>
      </w:r>
      <w:r>
        <w:t xml:space="preserve"> </w:t>
      </w:r>
      <w:r>
        <w:t xml:space="preserve">and, as described above, DSM disorder criteria do not adequately account for different symptom presentations at different ages.</w:t>
      </w:r>
      <w:r>
        <w:t xml:space="preserve"> </w:t>
      </w:r>
      <w:r>
        <w:t xml:space="preserve">Moreover, diagnostic criteria naturally change with subsequent revisions of the DSM, leading people to lose interest with prior categorizations and to incomparability of diagnoses across DSM versions.</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 and new items to become relevant.</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r>
        <w:t xml:space="preserve"> </w:t>
      </w:r>
      <w:r>
        <w:t xml:space="preserve">Changes in the behavioral manifestation across historical time provide additional reasons to change the measure by removing no-longer-valid items and by adding newer valid items.</w:t>
      </w:r>
    </w:p>
    <w:p>
      <w:pPr>
        <w:pStyle w:val="BodyText"/>
      </w:pPr>
      <w:r>
        <w:t xml:space="preserve">In sum, many problems arise from using the same measure across ages when the construct changes in behavioral manifestation across development and historical time.</w:t>
      </w:r>
    </w:p>
    <w:bookmarkEnd w:id="93"/>
    <w:bookmarkStart w:id="94"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assessments fail to implement the construct-valid item approach across development—existing measures do not assess the most construct-relevant items at particular ages and thus show insufficient differences in which items are assessed at which ages.</w:t>
      </w:r>
      <w:r>
        <w:t xml:space="preserve"> </w:t>
      </w:r>
      <w:r>
        <w:t xml:space="preserve">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 et al.</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In some cases, mean scores and proportion of maximum scores have been used to account for the age-differing measures having different numbers of items</w:t>
      </w:r>
      <w:r>
        <w:t xml:space="preserve"> </w:t>
      </w:r>
      <w:r>
        <w:t xml:space="preserve">(</w:t>
      </w:r>
      <w:hyperlink w:anchor="ref-Owens2003">
        <w:r>
          <w:rPr>
            <w:rStyle w:val="Hyperlink"/>
          </w:rPr>
          <w:t xml:space="preserve">Owens &amp; Shaw, 2003</w:t>
        </w:r>
      </w:hyperlink>
      <w:r>
        <w:t xml:space="preserve">;</w:t>
      </w:r>
      <w:r>
        <w:t xml:space="preserve"> </w:t>
      </w:r>
      <w:hyperlink w:anchor="ref-Petersen2015">
        <w:r>
          <w:rPr>
            <w:rStyle w:val="Hyperlink"/>
          </w:rPr>
          <w:t xml:space="preserve">Petersen et al., 2015</w:t>
        </w:r>
      </w:hyperlink>
      <w:r>
        <w:t xml:space="preserve">;</w:t>
      </w:r>
      <w:r>
        <w:t xml:space="preserve"> </w:t>
      </w:r>
      <w:hyperlink w:anchor="ref-SacuInPress">
        <w:r>
          <w:rPr>
            <w:rStyle w:val="Hyperlink"/>
          </w:rPr>
          <w:t xml:space="preserve">Sacu et al., in press</w:t>
        </w:r>
      </w:hyperlink>
      <w:r>
        <w:t xml:space="preserve">)</w:t>
      </w:r>
      <w:r>
        <w:t xml:space="preserve">.</w:t>
      </w:r>
      <w:r>
        <w:t xml:space="preserve"> </w:t>
      </w:r>
      <w:r>
        <w:t xml:space="preserve">However, such approaches assume that the age-differing measures have the same overall functioning in terms of difficulty and discrimination (described later), which is unlikely.</w:t>
      </w:r>
    </w:p>
    <w:p>
      <w:pPr>
        <w:pStyle w:val="BodyText"/>
      </w:pPr>
      <w:r>
        <w:t xml:space="preserve">Age norms and standardized scores (e.g.,</w:t>
      </w:r>
      <w:r>
        <w:t xml:space="preserve"> </w:t>
      </w:r>
      <w:r>
        <w:rPr>
          <w:i/>
          <w:iCs/>
        </w:rPr>
        <w:t xml:space="preserve">T</w:t>
      </w:r>
      <w:r>
        <w:t xml:space="preserve">- or</w:t>
      </w:r>
      <w:r>
        <w:t xml:space="preserve"> </w:t>
      </w:r>
      <w:r>
        <w:rPr>
          <w:i/>
          <w:iCs/>
        </w:rPr>
        <w:t xml:space="preserve">z</w:t>
      </w:r>
      <w:r>
        <w:t xml:space="preserve">-scores) have also been used to study development of externalizing problems</w:t>
      </w:r>
      <w:r>
        <w:t xml:space="preserve"> </w:t>
      </w:r>
      <w:r>
        <w:t xml:space="preserve">(</w:t>
      </w:r>
      <w:hyperlink w:anchor="ref-Bista2025">
        <w:r>
          <w:rPr>
            <w:rStyle w:val="Hyperlink"/>
          </w:rPr>
          <w:t xml:space="preserve">Bista et al., 2025</w:t>
        </w:r>
      </w:hyperlink>
      <w:r>
        <w:t xml:space="preserve">;</w:t>
      </w:r>
      <w:r>
        <w:t xml:space="preserve"> </w:t>
      </w:r>
      <w:hyperlink w:anchor="ref-Korhonen2018">
        <w:r>
          <w:rPr>
            <w:rStyle w:val="Hyperlink"/>
          </w:rPr>
          <w:t xml:space="preserve">Korhonen et al., 2018</w:t>
        </w:r>
      </w:hyperlink>
      <w:r>
        <w:t xml:space="preserve">)</w:t>
      </w:r>
      <w:r>
        <w:t xml:space="preserve">.</w:t>
      </w:r>
      <w:r>
        <w:t xml:space="preserve"> </w:t>
      </w:r>
      <w:r>
        <w:t xml:space="preserve">However, age norms and standardized 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Thus, age-norming is problematic in longitudinal studies</w:t>
      </w:r>
      <w:r>
        <w:t xml:space="preserve"> </w:t>
      </w:r>
      <w:r>
        <w:t xml:space="preserve">(</w:t>
      </w:r>
      <w:hyperlink w:anchor="ref-Moeller2015">
        <w:r>
          <w:rPr>
            <w:rStyle w:val="Hyperlink"/>
          </w:rPr>
          <w:t xml:space="preserve">Moeller, 2015</w:t>
        </w:r>
      </w:hyperlink>
      <w:r>
        <w:t xml:space="preserve">)</w:t>
      </w:r>
      <w:r>
        <w:t xml:space="preserve">.</w:t>
      </w:r>
    </w:p>
    <w:p>
      <w:pPr>
        <w:pStyle w:val="BodyText"/>
      </w:pPr>
      <w:r>
        <w:t xml:space="preserve">It is important for scores across ages to be on the same apples-to-apples scale so the scores can be compared across ages, which would be valuable even in a cross-sectional study that spans a wide age range, as might be found in an epidemiological study.</w:t>
      </w:r>
      <w:r>
        <w:t xml:space="preserve"> </w:t>
      </w: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However, considerable research in educational psychology links scores across age-differing measures to be on the same scale.</w:t>
      </w:r>
      <w:r>
        <w:t xml:space="preserve"> </w:t>
      </w:r>
      <w:r>
        <w:t xml:space="preserve">For instance, standardized tests are frequently administered in schools to determine the extent of growth across grades.</w:t>
      </w:r>
      <w:r>
        <w:t xml:space="preserve"> </w:t>
      </w:r>
      <w:r>
        <w:t xml:space="preserve">Because of substantial changes in ability level across grades, the same math and reading items cannot be administered at all grades.</w:t>
      </w:r>
      <w:r>
        <w:t xml:space="preserve"> </w:t>
      </w:r>
      <w:r>
        <w:t xml:space="preserve">Otherwise, respondents would receive items that are too easy (thus evoking boredom) or too difficult (thus evoking frustration), relative to their ability.</w:t>
      </w:r>
      <w:r>
        <w:t xml:space="preserve"> </w:t>
      </w:r>
      <w:r>
        <w:t xml:space="preserve">To address this, the test developers write the tests so that some items are in common across adjacent grades—used for linking the scores across grades onto the same scale—along with items that are unique to a particular grade.</w:t>
      </w:r>
      <w:r>
        <w:t xml:space="preserve"> </w:t>
      </w:r>
      <w:r>
        <w:t xml:space="preserve">Then, the researchers apply widely used methods to link the scores from the different measures onto the same scale so they can observe individuals’ growth across grades.</w:t>
      </w:r>
      <w:r>
        <w:t xml:space="preserve"> </w:t>
      </w:r>
      <w:r>
        <w:t xml:space="preserve">The same general methods are also used to place people’s scores on the same scale for standardized tests like the ACT, SAT, GRE, MCAT, LSAT, etc., despite respondents receiving different item content.</w:t>
      </w:r>
    </w:p>
    <w:p>
      <w:pPr>
        <w:pStyle w:val="BodyText"/>
      </w:pPr>
      <w:r>
        <w:t xml:space="preserve">For examples of studies applying various linking methods to academic and cognitive skills, see</w:t>
      </w:r>
      <w:r>
        <w:t xml:space="preserve"> </w:t>
      </w:r>
      <w:r>
        <w:t xml:space="preserve">McArdle et al. (</w:t>
      </w:r>
      <w:hyperlink w:anchor="ref-McArdle2009">
        <w:r>
          <w:rPr>
            <w:rStyle w:val="Hyperlink"/>
          </w:rPr>
          <w:t xml:space="preserve">2009</w:t>
        </w:r>
      </w:hyperlink>
      <w:r>
        <w:t xml:space="preserve">)</w:t>
      </w:r>
      <w:r>
        <w:t xml:space="preserve">, McArdle and Grimm</w:t>
      </w:r>
      <w:r>
        <w:t xml:space="preserve"> </w:t>
      </w:r>
      <w:r>
        <w:t xml:space="preserve">(</w:t>
      </w:r>
      <w:hyperlink w:anchor="ref-McArdle2011">
        <w:r>
          <w:rPr>
            <w:rStyle w:val="Hyperlink"/>
          </w:rPr>
          <w:t xml:space="preserve">2011</w:t>
        </w:r>
      </w:hyperlink>
      <w:r>
        <w:t xml:space="preserve">)</w:t>
      </w:r>
      <w:r>
        <w:t xml:space="preserve">,</w:t>
      </w:r>
      <w:r>
        <w:t xml:space="preserve"> </w:t>
      </w:r>
      <w:r>
        <w:t xml:space="preserve">Murayama et al. (</w:t>
      </w:r>
      <w:hyperlink w:anchor="ref-Murayama2013">
        <w:r>
          <w:rPr>
            <w:rStyle w:val="Hyperlink"/>
          </w:rPr>
          <w:t xml:space="preserve">2013</w:t>
        </w:r>
      </w:hyperlink>
      <w:r>
        <w:t xml:space="preserve">)</w:t>
      </w:r>
      <w:r>
        <w:t xml:space="preserve">,</w:t>
      </w:r>
      <w:r>
        <w:t xml:space="preserve"> </w:t>
      </w:r>
      <w:r>
        <w:t xml:space="preserve">Oleson et al. (</w:t>
      </w:r>
      <w:hyperlink w:anchor="ref-Oleson2016">
        <w:r>
          <w:rPr>
            <w:rStyle w:val="Hyperlink"/>
          </w:rPr>
          <w:t xml:space="preserve">2016</w:t>
        </w:r>
      </w:hyperlink>
      <w:r>
        <w:t xml:space="preserve">)</w:t>
      </w:r>
      <w:r>
        <w:t xml:space="preserve">,</w:t>
      </w:r>
      <w:r>
        <w:t xml:space="preserve"> </w:t>
      </w:r>
      <w:r>
        <w:t xml:space="preserve">Petscher et al. (</w:t>
      </w:r>
      <w:hyperlink w:anchor="ref-Petscher2018">
        <w:r>
          <w:rPr>
            <w:rStyle w:val="Hyperlink"/>
          </w:rPr>
          <w:t xml:space="preserve">2018</w:t>
        </w:r>
      </w:hyperlink>
      <w:r>
        <w:t xml:space="preserve">)</w:t>
      </w:r>
      <w:r>
        <w:t xml:space="preserve">,</w:t>
      </w:r>
      <w:r>
        <w:t xml:space="preserve"> </w:t>
      </w:r>
      <w:r>
        <w:t xml:space="preserve">Ward et al. (</w:t>
      </w:r>
      <w:hyperlink w:anchor="ref-Ward2022">
        <w:r>
          <w:rPr>
            <w:rStyle w:val="Hyperlink"/>
          </w:rPr>
          <w:t xml:space="preserve">2022</w:t>
        </w:r>
      </w:hyperlink>
      <w:r>
        <w:t xml:space="preserve">)</w:t>
      </w:r>
      <w:r>
        <w:t xml:space="preserve">, and</w:t>
      </w:r>
      <w:r>
        <w:t xml:space="preserve"> </w:t>
      </w:r>
      <w:r>
        <w:t xml:space="preserve">Weeks (</w:t>
      </w:r>
      <w:hyperlink w:anchor="ref-Weeks2018">
        <w:r>
          <w:rPr>
            <w:rStyle w:val="Hyperlink"/>
          </w:rPr>
          <w:t xml:space="preserve">2018</w:t>
        </w:r>
      </w:hyperlink>
      <w:r>
        <w:t xml:space="preserve">)</w:t>
      </w:r>
      <w:r>
        <w:t xml:space="preserve">.</w:t>
      </w:r>
      <w:r>
        <w:t xml:space="preserve"> </w:t>
      </w:r>
      <w:r>
        <w:t xml:space="preserve">However, the use of linking methods is rare in studies of social and behavioral development broadly and psychopathology specifically.</w:t>
      </w:r>
      <w:r>
        <w:t xml:space="preserve"> </w:t>
      </w:r>
      <w:r>
        <w:t xml:space="preserve">For studies that have applied such methods in studying social and behavioral development, see studies on self-concept</w:t>
      </w:r>
      <w:r>
        <w:t xml:space="preserve"> </w:t>
      </w:r>
      <w:r>
        <w:t xml:space="preserve">(</w:t>
      </w:r>
      <w:hyperlink w:anchor="ref-Hancock2008">
        <w:r>
          <w:rPr>
            <w:rStyle w:val="Hyperlink"/>
          </w:rPr>
          <w:t xml:space="preserve">Hancock &amp; Buehl, 2008</w:t>
        </w:r>
      </w:hyperlink>
      <w:r>
        <w:t xml:space="preserve">)</w:t>
      </w:r>
      <w:r>
        <w:t xml:space="preserve">, neuroticism</w:t>
      </w:r>
      <w:r>
        <w:t xml:space="preserve"> </w:t>
      </w:r>
      <w:r>
        <w:t xml:space="preserve">(</w:t>
      </w:r>
      <w:hyperlink w:anchor="ref-Lai2023">
        <w:r>
          <w:rPr>
            <w:rStyle w:val="Hyperlink"/>
          </w:rPr>
          <w:t xml:space="preserve">Lai, 2023</w:t>
        </w:r>
      </w:hyperlink>
      <w:r>
        <w:t xml:space="preserve">)</w:t>
      </w:r>
      <w:r>
        <w:t xml:space="preserve">, self-regulation</w:t>
      </w:r>
      <w:r>
        <w:t xml:space="preserve"> </w:t>
      </w:r>
      <w:r>
        <w:t xml:space="preserve">(</w:t>
      </w:r>
      <w:hyperlink w:anchor="ref-Hosch2022">
        <w:r>
          <w:rPr>
            <w:rStyle w:val="Hyperlink"/>
          </w:rPr>
          <w:t xml:space="preserve">Hosch et al., 2022</w:t>
        </w:r>
      </w:hyperlink>
      <w:r>
        <w:t xml:space="preserve">)</w:t>
      </w:r>
      <w:r>
        <w:t xml:space="preserve">, underactivity/overactivity</w:t>
      </w:r>
      <w:r>
        <w:t xml:space="preserve"> </w:t>
      </w:r>
      <w:r>
        <w:t xml:space="preserve">(and their subdimensions;</w:t>
      </w:r>
      <w:r>
        <w:t xml:space="preserve"> </w:t>
      </w:r>
      <w:hyperlink w:anchor="ref-McDermott2013">
        <w:r>
          <w:rPr>
            <w:rStyle w:val="Hyperlink"/>
          </w:rPr>
          <w:t xml:space="preserve">McDermott et al., 2013</w:t>
        </w:r>
      </w:hyperlink>
      <w:r>
        <w:t xml:space="preserve">)</w:t>
      </w:r>
      <w:r>
        <w:t xml:space="preserve">, thought-disordered problems</w:t>
      </w:r>
      <w:r>
        <w:t xml:space="preserve"> </w:t>
      </w:r>
      <w:r>
        <w:t xml:space="preserve">(</w:t>
      </w:r>
      <w:hyperlink w:anchor="ref-Petersen2026a">
        <w:r>
          <w:rPr>
            <w:rStyle w:val="Hyperlink"/>
          </w:rPr>
          <w:t xml:space="preserve">Petersen, Demko, Lee, et al., 2026</w:t>
        </w:r>
      </w:hyperlink>
      <w:r>
        <w:t xml:space="preserve">)</w:t>
      </w:r>
      <w:r>
        <w:t xml:space="preserve">, internalizing problems</w:t>
      </w:r>
      <w:r>
        <w:t xml:space="preserve"> </w:t>
      </w:r>
      <w:r>
        <w:t xml:space="preserve">(</w:t>
      </w:r>
      <w:hyperlink w:anchor="ref-Harris2025">
        <w:r>
          <w:rPr>
            <w:rStyle w:val="Hyperlink"/>
          </w:rPr>
          <w:t xml:space="preserve">Harris et al., 2025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Tyrell2019">
        <w:r>
          <w:rPr>
            <w:rStyle w:val="Hyperlink"/>
          </w:rPr>
          <w:t xml:space="preserve">Tyrell et al., 2019</w:t>
        </w:r>
      </w:hyperlink>
      <w:r>
        <w:t xml:space="preserve">)</w:t>
      </w:r>
      <w:r>
        <w:t xml:space="preserve">, and externalizing problems</w:t>
      </w:r>
      <w:r>
        <w:t xml:space="preserve"> </w:t>
      </w:r>
      <w:r>
        <w:t xml:space="preserve">(</w:t>
      </w:r>
      <w:hyperlink w:anchor="ref-ChenMBR">
        <w:r>
          <w:rPr>
            <w:rStyle w:val="Hyperlink"/>
          </w:rPr>
          <w:t xml:space="preserve">S. M. Chen &amp; Bauer, in press a</w:t>
        </w:r>
      </w:hyperlink>
      <w:r>
        <w:t xml:space="preserve">,</w:t>
      </w:r>
      <w:r>
        <w:t xml:space="preserve"> </w:t>
      </w:r>
      <w:hyperlink w:anchor="ref-ChenPM">
        <w:r>
          <w:rPr>
            <w:rStyle w:val="Hyperlink"/>
          </w:rPr>
          <w:t xml:space="preserve">in press b</w:t>
        </w:r>
      </w:hyperlink>
      <w:r>
        <w:t xml:space="preserve">;</w:t>
      </w:r>
      <w:r>
        <w:t xml:space="preserve"> </w:t>
      </w:r>
      <w:hyperlink w:anchor="ref-Harris2025">
        <w:r>
          <w:rPr>
            <w:rStyle w:val="Hyperlink"/>
          </w:rPr>
          <w:t xml:space="preserve">Harris et al., 2025</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Petersen2021b">
        <w:r>
          <w:rPr>
            <w:rStyle w:val="Hyperlink"/>
          </w:rPr>
          <w:t xml:space="preserve">Petersen &amp; LeBeau, 2021</w:t>
        </w:r>
      </w:hyperlink>
      <w:r>
        <w:t xml:space="preserve">,</w:t>
      </w:r>
      <w:r>
        <w:t xml:space="preserve"> </w:t>
      </w:r>
      <w:hyperlink w:anchor="ref-Petersen2022">
        <w:r>
          <w:rPr>
            <w:rStyle w:val="Hyperlink"/>
          </w:rPr>
          <w:t xml:space="preserve">2022</w:t>
        </w:r>
      </w:hyperlink>
      <w:r>
        <w:t xml:space="preserve">)</w:t>
      </w:r>
      <w:r>
        <w:t xml:space="preserve">.</w:t>
      </w:r>
      <w:r>
        <w:t xml:space="preserve"> </w:t>
      </w:r>
      <w:r>
        <w:t xml:space="preserve">And even fewer of these studies accounted for heterotypic continuity by using different measures across ages</w:t>
      </w:r>
      <w:r>
        <w:t xml:space="preserve"> </w:t>
      </w:r>
      <w:r>
        <w:t xml:space="preserve">(</w:t>
      </w:r>
      <w:hyperlink w:anchor="ref-ChenPM">
        <w:r>
          <w:rPr>
            <w:rStyle w:val="Hyperlink"/>
          </w:rPr>
          <w:t xml:space="preserve">S. M. Chen &amp; Bauer, in press b</w:t>
        </w:r>
      </w:hyperlink>
      <w:r>
        <w:t xml:space="preserve">;</w:t>
      </w:r>
      <w:r>
        <w:t xml:space="preserve"> </w:t>
      </w:r>
      <w:hyperlink w:anchor="ref-Hancock2008">
        <w:r>
          <w:rPr>
            <w:rStyle w:val="Hyperlink"/>
          </w:rPr>
          <w:t xml:space="preserve">Hancock &amp; Buehl, 2008</w:t>
        </w:r>
      </w:hyperlink>
      <w:r>
        <w:t xml:space="preserve">;</w:t>
      </w:r>
      <w:r>
        <w:t xml:space="preserve"> </w:t>
      </w:r>
      <w:hyperlink w:anchor="ref-Harris2025">
        <w:r>
          <w:rPr>
            <w:rStyle w:val="Hyperlink"/>
          </w:rPr>
          <w:t xml:space="preserve">Harris et al., 2025</w:t>
        </w:r>
      </w:hyperlink>
      <w:r>
        <w:t xml:space="preserve">;</w:t>
      </w:r>
      <w:r>
        <w:t xml:space="preserve"> </w:t>
      </w:r>
      <w:hyperlink w:anchor="ref-Hosch2022">
        <w:r>
          <w:rPr>
            <w:rStyle w:val="Hyperlink"/>
          </w:rPr>
          <w:t xml:space="preserve">Hosch et al., 2022</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Petersen2022">
        <w:r>
          <w:rPr>
            <w:rStyle w:val="Hyperlink"/>
          </w:rPr>
          <w:t xml:space="preserve">Petersen &amp; LeBeau, 2022</w:t>
        </w:r>
      </w:hyperlink>
      <w:r>
        <w:t xml:space="preserve">;</w:t>
      </w:r>
      <w:r>
        <w:t xml:space="preserve"> </w:t>
      </w:r>
      <w:hyperlink w:anchor="ref-Tyrell2019">
        <w:r>
          <w:rPr>
            <w:rStyle w:val="Hyperlink"/>
          </w:rPr>
          <w:t xml:space="preserve">Tyrell et al., 2019</w:t>
        </w:r>
      </w:hyperlink>
      <w:r>
        <w:t xml:space="preserve">)</w:t>
      </w:r>
      <w:r>
        <w:t xml:space="preserve">.</w:t>
      </w:r>
    </w:p>
    <w:p>
      <w:pPr>
        <w:pStyle w:val="BodyText"/>
      </w:pPr>
      <w:r>
        <w:t xml:space="preserve">A failure to apply linking methods has consistently been shown to yield less accurate trajectories—at the person and group level</w:t>
      </w:r>
      <w:r>
        <w:t xml:space="preserve"> </w:t>
      </w:r>
      <w:r>
        <w:t xml:space="preserve">(</w:t>
      </w:r>
      <w:hyperlink w:anchor="ref-ChenMBR">
        <w:r>
          <w:rPr>
            <w:rStyle w:val="Hyperlink"/>
          </w:rPr>
          <w:t xml:space="preserve">S. M. Chen &amp; Bauer, in press a</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1a">
        <w:r>
          <w:rPr>
            <w:rStyle w:val="Hyperlink"/>
          </w:rPr>
          <w:t xml:space="preserve">Petersen et al., 2021</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Thus, it is imperative that studies link scores across age-differing measures of psychopathology.</w:t>
      </w:r>
      <w:r>
        <w:t xml:space="preserve"> </w:t>
      </w:r>
      <w:r>
        <w:t xml:space="preserve">However, psychopathology assessments do not include scoring tools for linking scores across age- (or rater-) differing versions.</w:t>
      </w:r>
      <w:r>
        <w:t xml:space="preserve"> </w:t>
      </w:r>
      <w:r>
        <w:t xml:space="preserve">The lack of scoring tools that link scores from age-differing psychopathology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r>
        <w:t xml:space="preserve"> </w:t>
      </w:r>
      <w:r>
        <w:t xml:space="preserve">Restricting the age range of study to when the same measure was assessed naturally prevents studying development across important developmental transitions, when changes in behavior manifestatation may be especially likely, such as puberty, school entry, and entry into parenthood.</w:t>
      </w:r>
    </w:p>
    <w:bookmarkEnd w:id="94"/>
    <w:bookmarkStart w:id="101"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 </w:t>
      </w:r>
      <w:r>
        <w:t xml:space="preserve">“sometimes,”</w:t>
      </w:r>
      <w:r>
        <w:t xml:space="preserve"> </w:t>
      </w:r>
      <w:r>
        <w:t xml:space="preserve">“often,”</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w:t>
      </w:r>
      <w:r>
        <w:t xml:space="preserve"> </w:t>
      </w:r>
      <w:r>
        <w:t xml:space="preserve">(i.e., greater reduction of uncertainty in estimates of a person’s construct level; though there are diminishing returns when using more than six response options;</w:t>
      </w:r>
      <w:r>
        <w:t xml:space="preserve"> </w:t>
      </w:r>
      <w:hyperlink w:anchor="ref-Culpepper2013">
        <w:r>
          <w:rPr>
            <w:rStyle w:val="Hyperlink"/>
          </w:rPr>
          <w:t xml:space="preserve">Culpepper, 2013</w:t>
        </w:r>
      </w:hyperlink>
      <w:r>
        <w:t xml:space="preserve">;</w:t>
      </w:r>
      <w:r>
        <w:t xml:space="preserve"> </w:t>
      </w:r>
      <w:hyperlink w:anchor="ref-Simms2019">
        <w:r>
          <w:rPr>
            <w:rStyle w:val="Hyperlink"/>
          </w:rPr>
          <w:t xml:space="preserve">Simms et al., 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7</w:t>
        </w:r>
      </w:hyperlink>
      <w:r>
        <w:t xml:space="preserve">, items assessing absolute frequency have been shown to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including onset, timing, duration, intensity, function, and resulting impairment.</w:t>
      </w:r>
    </w:p>
    <w:bookmarkStart w:id="98" w:name="fig-absoluteFrequencyInformation"/>
    <w:p>
      <w:pPr>
        <w:pStyle w:val="FigureTitle"/>
      </w:pPr>
      <w:r>
        <w:t xml:space="preserve">Figure 7</w:t>
      </w:r>
    </w:p>
    <w:p>
      <w:pPr>
        <w:pStyle w:val="Caption"/>
      </w:pPr>
      <w:r>
        <w:t xml:space="preserve">Test Information Functions of Absolute Frequency Versus Dichotomized Versus Adult Self-Report Items: Test Information as a Function of Theta (θ)</w:t>
      </w:r>
    </w:p>
    <w:p>
      <w:pPr>
        <w:pStyle w:val="FigureWithNote"/>
      </w:pPr>
      <w:r>
        <w:drawing>
          <wp:inline>
            <wp:extent cx="5943600" cy="3668050"/>
            <wp:effectExtent b="0" l="0" r="0" t="0"/>
            <wp:docPr descr="" title="" id="96" name="Picture"/>
            <a:graphic>
              <a:graphicData uri="http://schemas.openxmlformats.org/drawingml/2006/picture">
                <pic:pic>
                  <pic:nvPicPr>
                    <pic:cNvPr descr="Figures/Petersen2026_figure4.png" id="97" name="Picture"/>
                    <pic:cNvPicPr>
                      <a:picLocks noChangeArrowheads="1" noChangeAspect="1"/>
                    </pic:cNvPicPr>
                  </pic:nvPicPr>
                  <pic:blipFill>
                    <a:blip r:embed="rId95"/>
                    <a:stretch>
                      <a:fillRect/>
                    </a:stretch>
                  </pic:blipFill>
                  <pic:spPr bwMode="auto">
                    <a:xfrm>
                      <a:off x="0" y="0"/>
                      <a:ext cx="5943600" cy="3668050"/>
                    </a:xfrm>
                    <a:prstGeom prst="rect">
                      <a:avLst/>
                    </a:prstGeom>
                    <a:noFill/>
                    <a:ln w="9525">
                      <a:noFill/>
                      <a:headEnd/>
                      <a:tailEnd/>
                    </a:ln>
                  </pic:spPr>
                </pic:pic>
              </a:graphicData>
            </a:graphic>
          </wp:inline>
        </w:drawing>
      </w:r>
    </w:p>
    <w:bookmarkEnd w:id="98"/>
    <w:p>
      <w:pPr>
        <w:pStyle w:val="FigureNote"/>
      </w:pPr>
      <w:r>
        <w:rPr>
          <w:i/>
          <w:iCs/>
        </w:rPr>
        <w:t xml:space="preserve">Note</w:t>
      </w:r>
      <w:r>
        <w:t xml:space="preserve">.</w:t>
      </w:r>
      <w:r>
        <w:t xml:space="preserve"> </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 Theta represents the person’s level on the latent externalizing problems factor. The figure demonstrates that items assessing absolute frequency yield more information (i.e., measurement precision) than dichotomized versions of the same items and the Likert-type response options of the Adult Self-Report.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2">
        <w:r>
          <w:rPr>
            <w:rStyle w:val="Hyperlink"/>
          </w:rPr>
          <w:t xml:space="preserve">https://doi.org/10.1037/pas0001441</w:t>
        </w:r>
      </w:hyperlink>
      <w:r>
        <w:t xml:space="preserve">).</w:t>
      </w:r>
    </w:p>
    <w:p>
      <w:pPr>
        <w:pStyle w:val="BodyText"/>
      </w:pPr>
      <w:r>
        <w:br/>
      </w:r>
      <w:r>
        <w:t xml:space="preserve">::: {.figure-caption .content-visible when-format=</w:t>
      </w:r>
      <w:r>
        <w:t xml:space="preserve">“html”</w:t>
      </w:r>
      <w:r>
        <w:t xml:space="preserve">}</w:t>
      </w:r>
    </w:p>
    <w:p>
      <w:pPr>
        <w:pStyle w:val="BodyText"/>
      </w:pPr>
      <w:r>
        <w:rPr>
          <w:i/>
          <w:iCs/>
        </w:rPr>
        <w:t xml:space="preserve">Note</w:t>
      </w:r>
      <w:r>
        <w:t xml:space="preserve">.</w:t>
      </w:r>
      <w:r>
        <w:t xml:space="preserve"> </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w:t>
      </w:r>
      <w:r>
        <w:t xml:space="preserve"> </w:t>
      </w:r>
      <w:r>
        <w:t xml:space="preserve">“θ”</w:t>
      </w:r>
      <w:r>
        <w:t xml:space="preserve"> </w:t>
      </w:r>
      <w:r>
        <w:t xml:space="preserve">represents the person’s level on the latent externalizing problems factor.</w:t>
      </w:r>
      <w:r>
        <w:t xml:space="preserve"> </w:t>
      </w:r>
      <w:r>
        <w:t xml:space="preserve">The figure demonstrates that items assessing absolute frequency yield more information than dichotomized versions of the same items and the Likert-type response options of the Adult Self-Report.</w:t>
      </w:r>
      <w:r>
        <w:t xml:space="preserve"> </w:t>
      </w:r>
      <w:r>
        <w:t xml:space="preserve">(Figure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2">
        <w:r>
          <w:rPr>
            <w:rStyle w:val="Hyperlink"/>
          </w:rPr>
          <w:t xml:space="preserve">https://doi.org/10.1037/pas0001441</w:t>
        </w:r>
      </w:hyperlink>
      <w:r>
        <w:t xml:space="preserve">)</w:t>
      </w:r>
    </w:p>
    <w:p>
      <w:pPr>
        <w:pStyle w:val="BodyText"/>
      </w:pPr>
      <w:r>
        <w:t xml:space="preserve">:::</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Kliem et al., 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Krueger et al., 2005</w:t>
        </w:r>
      </w:hyperlink>
      <w:r>
        <w:t xml:space="preserve">;</w:t>
      </w:r>
      <w:r>
        <w:t xml:space="preserve"> </w:t>
      </w:r>
      <w:hyperlink w:anchor="ref-Krueger2007">
        <w:r>
          <w:rPr>
            <w:rStyle w:val="Hyperlink"/>
          </w:rPr>
          <w:t xml:space="preserve">Krueger et al., 2007</w:t>
        </w:r>
      </w:hyperlink>
      <w:r>
        <w:t xml:space="preserve">;</w:t>
      </w:r>
      <w:r>
        <w:t xml:space="preserve"> </w:t>
      </w:r>
      <w:hyperlink w:anchor="ref-Krueger2021">
        <w:r>
          <w:rPr>
            <w:rStyle w:val="Hyperlink"/>
          </w:rPr>
          <w:t xml:space="preserve">Krueger et al., 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To provide better phenotypic resolution, and to better identify biological processes underlying psychopathology,</w:t>
      </w:r>
      <w:r>
        <w:t xml:space="preserve"> </w:t>
      </w:r>
      <w:r>
        <w:t xml:space="preserve">Tiego et al.</w:t>
      </w:r>
      <w:r>
        <w:t xml:space="preserve"> </w:t>
      </w:r>
      <w:r>
        <w:t xml:space="preserve">(</w:t>
      </w:r>
      <w:hyperlink w:anchor="ref-Tiego2023">
        <w:r>
          <w:rPr>
            <w:rStyle w:val="Hyperlink"/>
          </w:rPr>
          <w:t xml:space="preserve">2023</w:t>
        </w:r>
      </w:hyperlink>
      <w:r>
        <w:t xml:space="preserve">)</w:t>
      </w:r>
      <w:r>
        <w:t xml:space="preserve"> </w:t>
      </w:r>
      <w:r>
        <w:t xml:space="preserve">argue for including content covering the full range, including items assessing the adaptive end of the continuum.</w:t>
      </w:r>
      <w:r>
        <w:t xml:space="preserve"> </w:t>
      </w:r>
      <w:r>
        <w:t xml:space="preserve">Doing so would help move the field away from a focus of symptoms (and absence of symptoms) and toward consideration of the full range of functioning, including thriving.</w:t>
      </w:r>
      <w:r>
        <w:t xml:space="preserve"> </w:t>
      </w:r>
      <w:r>
        <w:t xml:space="preserve">As they note, low scores on clinical measures are typically intended to assess absence of pathological functioning rather than the opposite end of the latent continuum—i.e., the presence of adaptive functioning.</w:t>
      </w:r>
      <w:r>
        <w:t xml:space="preserve"> </w:t>
      </w:r>
      <w:r>
        <w:t xml:space="preserve">For instance, it can be valuable to consider</w:t>
      </w:r>
      <w:r>
        <w:t xml:space="preserve"> </w:t>
      </w:r>
      <w:r>
        <w:t xml:space="preserve">“positive opposites”</w:t>
      </w:r>
      <w:r>
        <w:t xml:space="preserve">—i.e., positive behaviors that compete with and are (simultaneously) incompatible with the particular antisocial behavior.</w:t>
      </w:r>
      <w:r>
        <w:t xml:space="preserve"> </w:t>
      </w:r>
      <w:r>
        <w:t xml:space="preserve">For instance, in a study of externalizing behavior, it would be valuable to consider prosocial behavior (e.g., kindness, helping others, sharing, dependability, compliance, accountability).</w:t>
      </w:r>
      <w:r>
        <w:t xml:space="preserve"> </w:t>
      </w:r>
      <w:r>
        <w:t xml:space="preserve">Indeed, in a machine learning study of children’s conduct problems in the ABCD study, prosocial behavior was the strongest predictor</w:t>
      </w:r>
      <w:r>
        <w:t xml:space="preserve"> </w:t>
      </w:r>
      <w:r>
        <w:t xml:space="preserve">(</w:t>
      </w:r>
      <w:hyperlink w:anchor="ref-Berluti2026">
        <w:r>
          <w:rPr>
            <w:rStyle w:val="Hyperlink"/>
          </w:rPr>
          <w:t xml:space="preserve">Berluti et al., 2026</w:t>
        </w:r>
      </w:hyperlink>
      <w:r>
        <w:t xml:space="preserve">)</w:t>
      </w:r>
      <w:r>
        <w:t xml:space="preserve">.</w:t>
      </w:r>
      <w:r>
        <w:t xml:space="preserve"> </w:t>
      </w:r>
      <w:r>
        <w:t xml:space="preserve">Moreover, measures of externalizing behavior tend to focus on just global scores or just one or a few subdimensions.</w:t>
      </w:r>
      <w:r>
        <w:t xml:space="preserve"> </w:t>
      </w:r>
      <w:r>
        <w:t xml:space="preserve">For better phenotypic resolution, instruments should assess a wide range of phenotypes to better capture the full range of externalizing behaviors, which will be important to distinguish various forms of behavior—e.g., physical versus verbal versus destructive versus relational aggression—and their functions—e.g., proactive versus reactive.</w:t>
      </w:r>
    </w:p>
    <w:p>
      <w:pPr>
        <w:pStyle w:val="BodyText"/>
      </w:pPr>
      <w:r>
        <w:t xml:space="preserve">Based on our content analysis of over 270 measures of externalizing behavior, we identified a wide range of facets that would be important for measures of externalizing behavior to capture (see</w:t>
      </w:r>
      <w:r>
        <w:t xml:space="preserve"> </w:t>
      </w:r>
      <w:hyperlink w:anchor="tbl-externalizingfacets">
        <w:r>
          <w:rPr>
            <w:rStyle w:val="Hyperlink"/>
          </w:rPr>
          <w:t xml:space="preserve">Table 1</w:t>
        </w:r>
      </w:hyperlink>
      <w:r>
        <w:t xml:space="preserve">).</w:t>
      </w:r>
      <w:r>
        <w:t xml:space="preserve"> </w:t>
      </w:r>
      <w:r>
        <w:t xml:space="preserve">We also identified potential positive opposites of each facet.</w:t>
      </w:r>
    </w:p>
    <w:bookmarkStart w:id="99" w:name="tbl-externalizingfacets"/>
    <w:p>
      <w:pPr>
        <w:pStyle w:val="FigureTitle"/>
      </w:pPr>
      <w:r>
        <w:t xml:space="preserve">Table 1</w:t>
      </w:r>
    </w:p>
    <w:p>
      <w:pPr>
        <w:pStyle w:val="Caption"/>
      </w:pPr>
      <w:r>
        <w:t xml:space="preserve">Externalizing Facets Identified in Content Analysis of Externalizing Measures.</w:t>
      </w:r>
    </w:p>
    <w:tbl>
      <w:tblPr>
        <w:tblStyle w:val="Table"/>
        <w:tblW w:type="pct" w:w="4948"/>
        <w:tblLayout w:type="fixed"/>
        <w:tblLook w:firstRow="1" w:lastRow="0" w:firstColumn="0" w:lastColumn="0" w:noHBand="0" w:noVBand="0" w:val="0020"/>
      </w:tblPr>
      <w:tblGrid>
        <w:gridCol w:w="2954"/>
        <w:gridCol w:w="1846"/>
        <w:gridCol w:w="3036"/>
      </w:tblGrid>
      <w:tr>
        <w:trPr>
          <w:tblHeader w:val="on"/>
        </w:trPr>
        <w:tc>
          <w:tcPr/>
          <w:p>
            <w:pPr>
              <w:pStyle w:val="Compact"/>
              <w:jc w:val="left"/>
            </w:pPr>
            <w:r>
              <w:t xml:space="preserve">Facet</w:t>
            </w:r>
          </w:p>
        </w:tc>
        <w:tc>
          <w:tcPr/>
          <w:p>
            <w:pPr>
              <w:pStyle w:val="Compact"/>
              <w:jc w:val="left"/>
            </w:pPr>
            <w:r>
              <w:t xml:space="preserve">Definition</w:t>
            </w:r>
          </w:p>
        </w:tc>
        <w:tc>
          <w:tcPr/>
          <w:p>
            <w:pPr>
              <w:pStyle w:val="Compact"/>
              <w:jc w:val="left"/>
            </w:pPr>
            <w:r>
              <w:t xml:space="preserve">Potential Positive Opposite</w:t>
            </w:r>
          </w:p>
        </w:tc>
      </w:tr>
      <w:tr>
        <w:tc>
          <w:tcPr/>
          <w:p>
            <w:pPr>
              <w:pStyle w:val="Compact"/>
              <w:jc w:val="left"/>
            </w:pPr>
            <w:r>
              <w:t xml:space="preserve">Apathy/Indolence/Disengagement</w:t>
            </w:r>
          </w:p>
        </w:tc>
        <w:tc>
          <w:tcPr/>
          <w:p>
            <w:pPr>
              <w:pStyle w:val="Compact"/>
              <w:jc w:val="left"/>
            </w:pPr>
            <w:r>
              <w:t xml:space="preserve">Unconcerned about achievement, low</w:t>
            </w:r>
            <w:r>
              <w:t xml:space="preserve"> </w:t>
            </w:r>
            <w:r>
              <w:t xml:space="preserve">motivation, low concern about how one’s</w:t>
            </w:r>
            <w:r>
              <w:t xml:space="preserve"> </w:t>
            </w:r>
            <w:r>
              <w:t xml:space="preserve">abilities or actions are evaluated, specific</w:t>
            </w:r>
            <w:r>
              <w:t xml:space="preserve"> </w:t>
            </w:r>
            <w:r>
              <w:t xml:space="preserve">to contexts in which others have</w:t>
            </w:r>
            <w:r>
              <w:t xml:space="preserve"> </w:t>
            </w:r>
            <w:r>
              <w:t xml:space="preserve">expectations for performance (e.g., school</w:t>
            </w:r>
            <w:r>
              <w:t xml:space="preserve"> </w:t>
            </w:r>
            <w:r>
              <w:t xml:space="preserve">and work), specifically low effort rather</w:t>
            </w:r>
            <w:r>
              <w:t xml:space="preserve"> </w:t>
            </w:r>
            <w:r>
              <w:t xml:space="preserve">than performance</w:t>
            </w:r>
          </w:p>
        </w:tc>
        <w:tc>
          <w:tcPr/>
          <w:p>
            <w:pPr>
              <w:pStyle w:val="Compact"/>
              <w:jc w:val="left"/>
            </w:pPr>
            <w:r>
              <w:t xml:space="preserve">Diligence/Achievement motivation</w:t>
            </w:r>
          </w:p>
        </w:tc>
      </w:tr>
      <w:tr>
        <w:tc>
          <w:tcPr/>
          <w:p>
            <w:pPr>
              <w:pStyle w:val="Compact"/>
              <w:jc w:val="left"/>
            </w:pPr>
            <w:r>
              <w:t xml:space="preserve">Attention seeking/Exhibitionism</w:t>
            </w:r>
          </w:p>
        </w:tc>
        <w:tc>
          <w:tcPr/>
          <w:p>
            <w:pPr>
              <w:pStyle w:val="Compact"/>
              <w:jc w:val="left"/>
            </w:pPr>
            <w:r>
              <w:t xml:space="preserve">Exaggerated or dramatic expressions,</w:t>
            </w:r>
            <w:r>
              <w:t xml:space="preserve"> </w:t>
            </w:r>
            <w:r>
              <w:t xml:space="preserve">interrupting others, inappropriate or</w:t>
            </w:r>
            <w:r>
              <w:t xml:space="preserve"> </w:t>
            </w:r>
            <w:r>
              <w:t xml:space="preserve">provocative behaviors, provoking reactions</w:t>
            </w:r>
          </w:p>
        </w:tc>
        <w:tc>
          <w:tcPr/>
          <w:p>
            <w:pPr>
              <w:pStyle w:val="Compact"/>
              <w:jc w:val="left"/>
            </w:pPr>
            <w:r>
              <w:t xml:space="preserve">Humility/Appropriate self-expression</w:t>
            </w:r>
          </w:p>
        </w:tc>
      </w:tr>
      <w:tr>
        <w:tc>
          <w:tcPr/>
          <w:p>
            <w:pPr>
              <w:pStyle w:val="Compact"/>
              <w:jc w:val="left"/>
            </w:pPr>
            <w:r>
              <w:t xml:space="preserve">Behavioral addiction</w:t>
            </w:r>
          </w:p>
        </w:tc>
        <w:tc>
          <w:tcPr/>
          <w:p>
            <w:pPr>
              <w:pStyle w:val="Compact"/>
              <w:jc w:val="left"/>
            </w:pPr>
            <w:r>
              <w:t xml:space="preserve">Impulsive/compulsive engagement in rewarding</w:t>
            </w:r>
            <w:r>
              <w:t xml:space="preserve"> </w:t>
            </w:r>
            <w:r>
              <w:t xml:space="preserve">non-substance behaviors (e.g., gambling,</w:t>
            </w:r>
            <w:r>
              <w:t xml:space="preserve"> </w:t>
            </w:r>
            <w:r>
              <w:t xml:space="preserve">video games, risky sex, pornography, food,</w:t>
            </w:r>
            <w:r>
              <w:t xml:space="preserve"> </w:t>
            </w:r>
            <w:r>
              <w:t xml:space="preserve">the internet, mobile devices, shopping)</w:t>
            </w:r>
          </w:p>
        </w:tc>
        <w:tc>
          <w:tcPr/>
          <w:p>
            <w:pPr>
              <w:pStyle w:val="Compact"/>
              <w:jc w:val="left"/>
            </w:pPr>
            <w:r>
              <w:t xml:space="preserve">Self-regulated engagement</w:t>
            </w:r>
          </w:p>
        </w:tc>
      </w:tr>
      <w:tr>
        <w:tc>
          <w:tcPr/>
          <w:p>
            <w:pPr>
              <w:pStyle w:val="Compact"/>
              <w:jc w:val="left"/>
            </w:pPr>
            <w:r>
              <w:t xml:space="preserve">Blame externalization</w:t>
            </w:r>
          </w:p>
        </w:tc>
        <w:tc>
          <w:tcPr/>
          <w:p>
            <w:pPr>
              <w:pStyle w:val="Compact"/>
              <w:jc w:val="left"/>
            </w:pPr>
            <w:r>
              <w:t xml:space="preserve">Attribute cause of problems or failures to</w:t>
            </w:r>
            <w:r>
              <w:t xml:space="preserve"> </w:t>
            </w:r>
            <w:r>
              <w:t xml:space="preserve">external factors, falsely claiming</w:t>
            </w:r>
            <w:r>
              <w:t xml:space="preserve"> </w:t>
            </w:r>
            <w:r>
              <w:t xml:space="preserve">victimhood, blaming others</w:t>
            </w:r>
          </w:p>
        </w:tc>
        <w:tc>
          <w:tcPr/>
          <w:p>
            <w:pPr>
              <w:pStyle w:val="Compact"/>
              <w:jc w:val="left"/>
            </w:pPr>
            <w:r>
              <w:t xml:space="preserve">Personal responsibility/Accountability</w:t>
            </w:r>
          </w:p>
        </w:tc>
      </w:tr>
      <w:tr>
        <w:tc>
          <w:tcPr/>
          <w:p>
            <w:pPr>
              <w:pStyle w:val="Compact"/>
              <w:jc w:val="left"/>
            </w:pPr>
            <w:r>
              <w:t xml:space="preserve">Boredom proneness</w:t>
            </w:r>
          </w:p>
        </w:tc>
        <w:tc>
          <w:tcPr/>
          <w:p>
            <w:pPr>
              <w:pStyle w:val="Compact"/>
              <w:jc w:val="left"/>
            </w:pPr>
            <w:r>
              <w:t xml:space="preserve">Expressing boredom often, difficulty</w:t>
            </w:r>
            <w:r>
              <w:t xml:space="preserve"> </w:t>
            </w:r>
            <w:r>
              <w:t xml:space="preserve">maintaining interest, lack of engagement</w:t>
            </w:r>
          </w:p>
        </w:tc>
        <w:tc>
          <w:tcPr/>
          <w:p>
            <w:pPr>
              <w:pStyle w:val="Compact"/>
              <w:jc w:val="left"/>
            </w:pPr>
            <w:r>
              <w:t xml:space="preserve">Curiosity/Sustained engagement</w:t>
            </w:r>
          </w:p>
        </w:tc>
      </w:tr>
      <w:tr>
        <w:tc>
          <w:tcPr/>
          <w:p>
            <w:pPr>
              <w:pStyle w:val="Compact"/>
              <w:jc w:val="left"/>
            </w:pPr>
            <w:r>
              <w:t xml:space="preserve">Callous aggression</w:t>
            </w:r>
          </w:p>
        </w:tc>
        <w:tc>
          <w:tcPr/>
          <w:p>
            <w:pPr>
              <w:pStyle w:val="Compact"/>
              <w:jc w:val="left"/>
            </w:pPr>
            <w:r>
              <w:t xml:space="preserve">Inflicting harm without feeling remorse or</w:t>
            </w:r>
            <w:r>
              <w:t xml:space="preserve"> </w:t>
            </w:r>
            <w:r>
              <w:t xml:space="preserve">concern, usually proactive/intentional</w:t>
            </w:r>
          </w:p>
        </w:tc>
        <w:tc>
          <w:tcPr/>
          <w:p>
            <w:pPr>
              <w:pStyle w:val="Compact"/>
              <w:jc w:val="left"/>
            </w:pPr>
            <w:r>
              <w:t xml:space="preserve">Compassionate protection/Benevolence</w:t>
            </w:r>
          </w:p>
        </w:tc>
      </w:tr>
      <w:tr>
        <w:tc>
          <w:tcPr/>
          <w:p>
            <w:pPr>
              <w:pStyle w:val="Compact"/>
              <w:jc w:val="left"/>
            </w:pPr>
            <w:r>
              <w:t xml:space="preserve">Callousness/Disregard for others/Selfishness/Egocentricity</w:t>
            </w:r>
          </w:p>
        </w:tc>
        <w:tc>
          <w:tcPr/>
          <w:p>
            <w:pPr>
              <w:pStyle w:val="Compact"/>
              <w:jc w:val="left"/>
            </w:pPr>
            <w:r>
              <w:t xml:space="preserve">Emotional detachment, indifference to</w:t>
            </w:r>
            <w:r>
              <w:t xml:space="preserve"> </w:t>
            </w:r>
            <w:r>
              <w:t xml:space="preserve">well-being of others</w:t>
            </w:r>
          </w:p>
        </w:tc>
        <w:tc>
          <w:tcPr/>
          <w:p>
            <w:pPr>
              <w:pStyle w:val="Compact"/>
              <w:jc w:val="left"/>
            </w:pPr>
            <w:r>
              <w:t xml:space="preserve">Empathy/Compassion/Concern for others/Helping others/Sharing</w:t>
            </w:r>
          </w:p>
        </w:tc>
      </w:tr>
      <w:tr>
        <w:tc>
          <w:tcPr/>
          <w:p>
            <w:pPr>
              <w:pStyle w:val="Compact"/>
              <w:jc w:val="left"/>
            </w:pPr>
            <w:r>
              <w:t xml:space="preserve">Deceitfulness/Fraud/Lying/Cheating/Dishonesty/Sneakiness/Exploitation</w:t>
            </w:r>
          </w:p>
        </w:tc>
        <w:tc>
          <w:tcPr/>
          <w:p>
            <w:pPr>
              <w:pStyle w:val="Compact"/>
              <w:jc w:val="left"/>
            </w:pPr>
            <w:r>
              <w:t xml:space="preserve">Keeping the truth hidden, especially to get</w:t>
            </w:r>
            <w:r>
              <w:t xml:space="preserve"> </w:t>
            </w:r>
            <w:r>
              <w:t xml:space="preserve">an advantage (e.g., lying, withholding</w:t>
            </w:r>
            <w:r>
              <w:t xml:space="preserve"> </w:t>
            </w:r>
            <w:r>
              <w:t xml:space="preserve">information, manipulation, making false</w:t>
            </w:r>
            <w:r>
              <w:t xml:space="preserve"> </w:t>
            </w:r>
            <w:r>
              <w:t xml:space="preserve">promises)</w:t>
            </w:r>
          </w:p>
        </w:tc>
        <w:tc>
          <w:tcPr/>
          <w:p>
            <w:pPr>
              <w:pStyle w:val="Compact"/>
              <w:jc w:val="left"/>
            </w:pPr>
            <w:r>
              <w:t xml:space="preserve">Honesty/Integrity/Fairness</w:t>
            </w:r>
          </w:p>
        </w:tc>
      </w:tr>
      <w:tr>
        <w:tc>
          <w:tcPr/>
          <w:p>
            <w:pPr>
              <w:pStyle w:val="Compact"/>
              <w:jc w:val="left"/>
            </w:pPr>
            <w:r>
              <w:t xml:space="preserve">Deviant peer affiliation</w:t>
            </w:r>
          </w:p>
        </w:tc>
        <w:tc>
          <w:tcPr/>
          <w:p>
            <w:pPr>
              <w:pStyle w:val="Compact"/>
              <w:jc w:val="left"/>
            </w:pPr>
            <w:r>
              <w:t xml:space="preserve">Affiliating with peers who engage in deviant</w:t>
            </w:r>
            <w:r>
              <w:t xml:space="preserve"> </w:t>
            </w:r>
            <w:r>
              <w:t xml:space="preserve">or delinquent behaviors</w:t>
            </w:r>
          </w:p>
        </w:tc>
        <w:tc>
          <w:tcPr/>
          <w:p>
            <w:pPr>
              <w:pStyle w:val="Compact"/>
              <w:jc w:val="left"/>
            </w:pPr>
            <w:r>
              <w:t xml:space="preserve">Prosocial peer affiliations</w:t>
            </w:r>
          </w:p>
        </w:tc>
      </w:tr>
      <w:tr>
        <w:tc>
          <w:tcPr/>
          <w:p>
            <w:pPr>
              <w:pStyle w:val="Compact"/>
              <w:jc w:val="left"/>
            </w:pPr>
            <w:r>
              <w:t xml:space="preserve">Destructive aggression/Destruction of property</w:t>
            </w:r>
          </w:p>
        </w:tc>
        <w:tc>
          <w:tcPr/>
          <w:p>
            <w:pPr>
              <w:pStyle w:val="Compact"/>
              <w:jc w:val="left"/>
            </w:pPr>
            <w:r>
              <w:t xml:space="preserve">Destruction of property, self, or others,</w:t>
            </w:r>
            <w:r>
              <w:t xml:space="preserve"> </w:t>
            </w:r>
            <w:r>
              <w:t xml:space="preserve">objects</w:t>
            </w:r>
          </w:p>
        </w:tc>
        <w:tc>
          <w:tcPr/>
          <w:p>
            <w:pPr>
              <w:pStyle w:val="Compact"/>
              <w:jc w:val="left"/>
            </w:pPr>
            <w:r>
              <w:t xml:space="preserve">Constructiveness/Care for property</w:t>
            </w:r>
          </w:p>
        </w:tc>
      </w:tr>
      <w:tr>
        <w:tc>
          <w:tcPr/>
          <w:p>
            <w:pPr>
              <w:pStyle w:val="Compact"/>
              <w:jc w:val="left"/>
            </w:pPr>
            <w:r>
              <w:t xml:space="preserve">Distractibility/Inattention/Attention</w:t>
            </w:r>
            <w:r>
              <w:t xml:space="preserve"> </w:t>
            </w:r>
            <w:r>
              <w:t xml:space="preserve">dysregulation/Forgetfulness/Daydreaming</w:t>
            </w:r>
          </w:p>
        </w:tc>
        <w:tc>
          <w:tcPr/>
          <w:p>
            <w:pPr>
              <w:pStyle w:val="Compact"/>
              <w:jc w:val="left"/>
            </w:pPr>
            <w:r>
              <w:t xml:space="preserve">Difficulty maintaining focus, attention, or</w:t>
            </w:r>
            <w:r>
              <w:t xml:space="preserve"> </w:t>
            </w:r>
            <w:r>
              <w:t xml:space="preserve">concentration, frequent attention shifts</w:t>
            </w:r>
          </w:p>
        </w:tc>
        <w:tc>
          <w:tcPr/>
          <w:p>
            <w:pPr>
              <w:pStyle w:val="Compact"/>
              <w:jc w:val="left"/>
            </w:pPr>
            <w:r>
              <w:t xml:space="preserve">Attentional control/Sustained attention</w:t>
            </w:r>
          </w:p>
        </w:tc>
      </w:tr>
      <w:tr>
        <w:tc>
          <w:tcPr/>
          <w:p>
            <w:pPr>
              <w:pStyle w:val="Compact"/>
              <w:jc w:val="left"/>
            </w:pPr>
            <w:r>
              <w:t xml:space="preserve">Domineering/Bossiness</w:t>
            </w:r>
          </w:p>
        </w:tc>
        <w:tc>
          <w:tcPr/>
          <w:p>
            <w:pPr>
              <w:pStyle w:val="Compact"/>
              <w:jc w:val="left"/>
            </w:pPr>
            <w:r>
              <w:t xml:space="preserve">Asserting control, power, and authority in</w:t>
            </w:r>
            <w:r>
              <w:t xml:space="preserve"> </w:t>
            </w:r>
            <w:r>
              <w:t xml:space="preserve">an overbearing or oppressive manner</w:t>
            </w:r>
          </w:p>
        </w:tc>
        <w:tc>
          <w:tcPr/>
          <w:p>
            <w:pPr>
              <w:pStyle w:val="Compact"/>
              <w:jc w:val="left"/>
            </w:pPr>
            <w:r>
              <w:t xml:space="preserve">Collaborativeness</w:t>
            </w:r>
          </w:p>
        </w:tc>
      </w:tr>
      <w:tr>
        <w:tc>
          <w:tcPr/>
          <w:p>
            <w:pPr>
              <w:pStyle w:val="Compact"/>
              <w:jc w:val="left"/>
            </w:pPr>
            <w:r>
              <w:t xml:space="preserve">Excitement seeking/Risk taking/Sensation seeking</w:t>
            </w:r>
          </w:p>
        </w:tc>
        <w:tc>
          <w:tcPr/>
          <w:p>
            <w:pPr>
              <w:pStyle w:val="Compact"/>
              <w:jc w:val="left"/>
            </w:pPr>
            <w:r>
              <w:t xml:space="preserve">Tendency to impulsively pursue new and</w:t>
            </w:r>
            <w:r>
              <w:t xml:space="preserve"> </w:t>
            </w:r>
            <w:r>
              <w:t xml:space="preserve">different sensations, especially ones that</w:t>
            </w:r>
            <w:r>
              <w:t xml:space="preserve"> </w:t>
            </w:r>
            <w:r>
              <w:t xml:space="preserve">are intense, exhilarating, thrilling,</w:t>
            </w:r>
            <w:r>
              <w:t xml:space="preserve"> </w:t>
            </w:r>
            <w:r>
              <w:t xml:space="preserve">unsafe, etc. (e.g., risk taking, preference</w:t>
            </w:r>
            <w:r>
              <w:t xml:space="preserve"> </w:t>
            </w:r>
            <w:r>
              <w:t xml:space="preserve">for novelty, intensity)</w:t>
            </w:r>
          </w:p>
        </w:tc>
        <w:tc>
          <w:tcPr/>
          <w:p>
            <w:pPr>
              <w:pStyle w:val="Compact"/>
              <w:jc w:val="left"/>
            </w:pPr>
            <w:r>
              <w:t xml:space="preserve">Prudent exploration/Measured novelty seeking</w:t>
            </w:r>
          </w:p>
        </w:tc>
      </w:tr>
      <w:tr>
        <w:tc>
          <w:tcPr/>
          <w:p>
            <w:pPr>
              <w:pStyle w:val="Compact"/>
              <w:jc w:val="left"/>
            </w:pPr>
            <w:r>
              <w:t xml:space="preserve">Grandiosity/Overconfidence</w:t>
            </w:r>
          </w:p>
        </w:tc>
        <w:tc>
          <w:tcPr/>
          <w:p>
            <w:pPr>
              <w:pStyle w:val="Compact"/>
              <w:jc w:val="left"/>
            </w:pPr>
            <w:r>
              <w:t xml:space="preserve">Exaggerated sense of self-importance, sense</w:t>
            </w:r>
            <w:r>
              <w:t xml:space="preserve"> </w:t>
            </w:r>
            <w:r>
              <w:t xml:space="preserve">of superiority or specialness</w:t>
            </w:r>
          </w:p>
        </w:tc>
        <w:tc>
          <w:tcPr/>
          <w:p>
            <w:pPr>
              <w:pStyle w:val="Compact"/>
              <w:jc w:val="left"/>
            </w:pPr>
            <w:r>
              <w:t xml:space="preserve">Realistic self-confidence</w:t>
            </w:r>
          </w:p>
        </w:tc>
      </w:tr>
      <w:tr>
        <w:tc>
          <w:tcPr/>
          <w:p>
            <w:pPr>
              <w:pStyle w:val="Compact"/>
              <w:jc w:val="left"/>
            </w:pPr>
            <w:r>
              <w:t xml:space="preserve">Hostility/Rudeness</w:t>
            </w:r>
          </w:p>
        </w:tc>
        <w:tc>
          <w:tcPr/>
          <w:p>
            <w:pPr>
              <w:pStyle w:val="Compact"/>
              <w:jc w:val="left"/>
            </w:pPr>
            <w:r>
              <w:t xml:space="preserve">Hostile behavior, unfriendliness,</w:t>
            </w:r>
            <w:r>
              <w:t xml:space="preserve"> </w:t>
            </w:r>
            <w:r>
              <w:t xml:space="preserve">resentment, antagonism, ranging from mild</w:t>
            </w:r>
            <w:r>
              <w:t xml:space="preserve"> </w:t>
            </w:r>
            <w:r>
              <w:t xml:space="preserve">irritation to intense rage, interpret</w:t>
            </w:r>
            <w:r>
              <w:t xml:space="preserve"> </w:t>
            </w:r>
            <w:r>
              <w:t xml:space="preserve">others’ behavior as hostile</w:t>
            </w:r>
          </w:p>
        </w:tc>
        <w:tc>
          <w:tcPr/>
          <w:p>
            <w:pPr>
              <w:pStyle w:val="Compact"/>
              <w:jc w:val="left"/>
            </w:pPr>
            <w:r>
              <w:t xml:space="preserve">Warmth/Friendliness/Kindness</w:t>
            </w:r>
          </w:p>
        </w:tc>
      </w:tr>
      <w:tr>
        <w:tc>
          <w:tcPr/>
          <w:p>
            <w:pPr>
              <w:pStyle w:val="Compact"/>
              <w:jc w:val="left"/>
            </w:pPr>
            <w:r>
              <w:t xml:space="preserve">Hyperactivity</w:t>
            </w:r>
          </w:p>
        </w:tc>
        <w:tc>
          <w:tcPr/>
          <w:p>
            <w:pPr>
              <w:pStyle w:val="Compact"/>
              <w:jc w:val="left"/>
            </w:pPr>
            <w:r>
              <w:t xml:space="preserve">High levels of physical activity,</w:t>
            </w:r>
            <w:r>
              <w:t xml:space="preserve"> </w:t>
            </w:r>
            <w:r>
              <w:t xml:space="preserve">restlessness, difficulty engaging in quiet</w:t>
            </w:r>
            <w:r>
              <w:t xml:space="preserve"> </w:t>
            </w:r>
            <w:r>
              <w:t xml:space="preserve">activities</w:t>
            </w:r>
          </w:p>
        </w:tc>
        <w:tc>
          <w:tcPr/>
          <w:p>
            <w:pPr>
              <w:pStyle w:val="Compact"/>
              <w:jc w:val="left"/>
            </w:pPr>
            <w:r>
              <w:t xml:space="preserve">Behavioral regulation</w:t>
            </w:r>
          </w:p>
        </w:tc>
      </w:tr>
      <w:tr>
        <w:tc>
          <w:tcPr/>
          <w:p>
            <w:pPr>
              <w:pStyle w:val="Compact"/>
              <w:jc w:val="left"/>
            </w:pPr>
            <w:r>
              <w:t xml:space="preserve">Impulsivity/Disinhibition/Impatient urgency</w:t>
            </w:r>
          </w:p>
        </w:tc>
        <w:tc>
          <w:tcPr/>
          <w:p>
            <w:pPr>
              <w:pStyle w:val="Compact"/>
              <w:jc w:val="left"/>
            </w:pPr>
            <w:r>
              <w:t xml:space="preserve">Tendency to act without thinking,</w:t>
            </w:r>
            <w:r>
              <w:t xml:space="preserve"> </w:t>
            </w:r>
            <w:r>
              <w:t xml:space="preserve">disinhibited engagement</w:t>
            </w:r>
          </w:p>
        </w:tc>
        <w:tc>
          <w:tcPr/>
          <w:p>
            <w:pPr>
              <w:pStyle w:val="Compact"/>
              <w:jc w:val="left"/>
            </w:pPr>
            <w:r>
              <w:t xml:space="preserve">Planful control</w:t>
            </w:r>
          </w:p>
        </w:tc>
      </w:tr>
      <w:tr>
        <w:tc>
          <w:tcPr/>
          <w:p>
            <w:pPr>
              <w:pStyle w:val="Compact"/>
              <w:jc w:val="left"/>
            </w:pPr>
            <w:r>
              <w:t xml:space="preserve">Irresponsibility/Unreliability/Disorganization</w:t>
            </w:r>
          </w:p>
        </w:tc>
        <w:tc>
          <w:tcPr/>
          <w:p>
            <w:pPr>
              <w:pStyle w:val="Compact"/>
              <w:jc w:val="left"/>
            </w:pPr>
            <w:r>
              <w:t xml:space="preserve">Failing to meet obligations, avoiding</w:t>
            </w:r>
            <w:r>
              <w:t xml:space="preserve"> </w:t>
            </w:r>
            <w:r>
              <w:t xml:space="preserve">addressing difficulties, inconsistency, lack</w:t>
            </w:r>
            <w:r>
              <w:t xml:space="preserve"> </w:t>
            </w:r>
            <w:r>
              <w:t xml:space="preserve">of organization and planning</w:t>
            </w:r>
          </w:p>
        </w:tc>
        <w:tc>
          <w:tcPr/>
          <w:p>
            <w:pPr>
              <w:pStyle w:val="Compact"/>
              <w:jc w:val="left"/>
            </w:pPr>
            <w:r>
              <w:t xml:space="preserve">Responsibility/Conscientiousness/Dependability/Reliability/Organization</w:t>
            </w:r>
          </w:p>
        </w:tc>
      </w:tr>
      <w:tr>
        <w:tc>
          <w:tcPr/>
          <w:p>
            <w:pPr>
              <w:pStyle w:val="Compact"/>
              <w:jc w:val="left"/>
            </w:pPr>
            <w:r>
              <w:t xml:space="preserve">Manipulativeness/Psychological aggression</w:t>
            </w:r>
          </w:p>
        </w:tc>
        <w:tc>
          <w:tcPr/>
          <w:p>
            <w:pPr>
              <w:pStyle w:val="Compact"/>
              <w:jc w:val="left"/>
            </w:pPr>
            <w:r>
              <w:t xml:space="preserve">Tendency to influence or control others to</w:t>
            </w:r>
            <w:r>
              <w:t xml:space="preserve"> </w:t>
            </w:r>
            <w:r>
              <w:t xml:space="preserve">achieve one’s own goals or desires, e.g.,</w:t>
            </w:r>
            <w:r>
              <w:t xml:space="preserve"> </w:t>
            </w:r>
            <w:r>
              <w:t xml:space="preserve">playing the victim, flattery, gaslighting,</w:t>
            </w:r>
            <w:r>
              <w:t xml:space="preserve"> </w:t>
            </w:r>
            <w:r>
              <w:t xml:space="preserve">guilt-tripping, psychological aggression</w:t>
            </w:r>
          </w:p>
        </w:tc>
        <w:tc>
          <w:tcPr/>
          <w:p>
            <w:pPr>
              <w:pStyle w:val="Compact"/>
              <w:jc w:val="left"/>
            </w:pPr>
            <w:r>
              <w:t xml:space="preserve">Sincerity/Authenticity</w:t>
            </w:r>
          </w:p>
        </w:tc>
      </w:tr>
      <w:tr>
        <w:tc>
          <w:tcPr/>
          <w:p>
            <w:pPr>
              <w:pStyle w:val="Compact"/>
              <w:jc w:val="left"/>
            </w:pPr>
            <w:r>
              <w:t xml:space="preserve">Mistrust/Suspiciousness/Paranoia</w:t>
            </w:r>
          </w:p>
        </w:tc>
        <w:tc>
          <w:tcPr/>
          <w:p>
            <w:pPr>
              <w:pStyle w:val="Compact"/>
              <w:jc w:val="left"/>
            </w:pPr>
            <w:r>
              <w:t xml:space="preserve">Lack of confidence in the reliability,</w:t>
            </w:r>
            <w:r>
              <w:t xml:space="preserve"> </w:t>
            </w:r>
            <w:r>
              <w:t xml:space="preserve">intentions of others, difficulty forming</w:t>
            </w:r>
            <w:r>
              <w:t xml:space="preserve"> </w:t>
            </w:r>
            <w:r>
              <w:t xml:space="preserve">close relationships with others, difficulty</w:t>
            </w:r>
            <w:r>
              <w:t xml:space="preserve"> </w:t>
            </w:r>
            <w:r>
              <w:t xml:space="preserve">forgiving</w:t>
            </w:r>
          </w:p>
        </w:tc>
        <w:tc>
          <w:tcPr/>
          <w:p>
            <w:pPr>
              <w:pStyle w:val="Compact"/>
              <w:jc w:val="left"/>
            </w:pPr>
            <w:r>
              <w:t xml:space="preserve">Interpersonal trust (appropriately calibrated)</w:t>
            </w:r>
          </w:p>
        </w:tc>
      </w:tr>
      <w:tr>
        <w:tc>
          <w:tcPr/>
          <w:p>
            <w:pPr>
              <w:pStyle w:val="Compact"/>
              <w:jc w:val="left"/>
            </w:pPr>
            <w:r>
              <w:t xml:space="preserve">Oppositionality/Stubbornness</w:t>
            </w:r>
          </w:p>
        </w:tc>
        <w:tc>
          <w:tcPr/>
          <w:p>
            <w:pPr>
              <w:pStyle w:val="Compact"/>
              <w:jc w:val="left"/>
            </w:pPr>
            <w:r>
              <w:t xml:space="preserve">Persistent and defiant attitude, tendency to</w:t>
            </w:r>
            <w:r>
              <w:t xml:space="preserve"> </w:t>
            </w:r>
            <w:r>
              <w:t xml:space="preserve">challenge authority, refusal to comply,</w:t>
            </w:r>
            <w:r>
              <w:t xml:space="preserve"> </w:t>
            </w:r>
            <w:r>
              <w:t xml:space="preserve">argumentativeness (could include while</w:t>
            </w:r>
            <w:r>
              <w:t xml:space="preserve"> </w:t>
            </w:r>
            <w:r>
              <w:t xml:space="preserve">complying), etc.</w:t>
            </w:r>
          </w:p>
        </w:tc>
        <w:tc>
          <w:tcPr/>
          <w:p>
            <w:pPr>
              <w:pStyle w:val="Compact"/>
              <w:jc w:val="left"/>
            </w:pPr>
            <w:r>
              <w:t xml:space="preserve">Cooperativeness</w:t>
            </w:r>
          </w:p>
        </w:tc>
      </w:tr>
      <w:tr>
        <w:tc>
          <w:tcPr/>
          <w:p>
            <w:pPr>
              <w:pStyle w:val="Compact"/>
              <w:jc w:val="left"/>
            </w:pPr>
            <w:r>
              <w:t xml:space="preserve">Physical aggression</w:t>
            </w:r>
          </w:p>
        </w:tc>
        <w:tc>
          <w:tcPr/>
          <w:p>
            <w:pPr>
              <w:pStyle w:val="Compact"/>
              <w:jc w:val="left"/>
            </w:pPr>
            <w:r>
              <w:t xml:space="preserve">Use of physical force or violence to harm</w:t>
            </w:r>
            <w:r>
              <w:t xml:space="preserve"> </w:t>
            </w:r>
            <w:r>
              <w:t xml:space="preserve">others or their property</w:t>
            </w:r>
          </w:p>
        </w:tc>
        <w:tc>
          <w:tcPr/>
          <w:p>
            <w:pPr>
              <w:pStyle w:val="Compact"/>
              <w:jc w:val="left"/>
            </w:pPr>
            <w:r>
              <w:t xml:space="preserve">Respect for others’ bodies/Helping others</w:t>
            </w:r>
          </w:p>
        </w:tc>
      </w:tr>
      <w:tr>
        <w:tc>
          <w:tcPr/>
          <w:p>
            <w:pPr>
              <w:pStyle w:val="Compact"/>
              <w:jc w:val="left"/>
            </w:pPr>
            <w:r>
              <w:t xml:space="preserve">Punishment insensitivity</w:t>
            </w:r>
          </w:p>
        </w:tc>
        <w:tc>
          <w:tcPr/>
          <w:p>
            <w:pPr>
              <w:pStyle w:val="Compact"/>
              <w:jc w:val="left"/>
            </w:pPr>
            <w:r>
              <w:t xml:space="preserve">Does not change behavior after punishment,</w:t>
            </w:r>
            <w:r>
              <w:t xml:space="preserve"> </w:t>
            </w:r>
            <w:r>
              <w:t xml:space="preserve">high tolerance for negative outcomes</w:t>
            </w:r>
          </w:p>
        </w:tc>
        <w:tc>
          <w:tcPr/>
          <w:p>
            <w:pPr>
              <w:pStyle w:val="Compact"/>
              <w:jc w:val="left"/>
            </w:pPr>
            <w:r>
              <w:t xml:space="preserve">Responsive to consequences</w:t>
            </w:r>
          </w:p>
        </w:tc>
      </w:tr>
      <w:tr>
        <w:tc>
          <w:tcPr/>
          <w:p>
            <w:pPr>
              <w:pStyle w:val="Compact"/>
              <w:jc w:val="left"/>
            </w:pPr>
            <w:r>
              <w:t xml:space="preserve">Rebelliousness/Rule-breaking/Noncompliance</w:t>
            </w:r>
          </w:p>
        </w:tc>
        <w:tc>
          <w:tcPr/>
          <w:p>
            <w:pPr>
              <w:pStyle w:val="Compact"/>
              <w:jc w:val="left"/>
            </w:pPr>
            <w:r>
              <w:t xml:space="preserve">Doing things differently than one is asked</w:t>
            </w:r>
            <w:r>
              <w:t xml:space="preserve"> </w:t>
            </w:r>
            <w:r>
              <w:t xml:space="preserve">to do (e.g., breaking house rules)</w:t>
            </w:r>
          </w:p>
        </w:tc>
        <w:tc>
          <w:tcPr/>
          <w:p>
            <w:pPr>
              <w:pStyle w:val="Compact"/>
              <w:jc w:val="left"/>
            </w:pPr>
            <w:r>
              <w:t xml:space="preserve">Compliance/Civic responsibility</w:t>
            </w:r>
          </w:p>
        </w:tc>
      </w:tr>
      <w:tr>
        <w:tc>
          <w:tcPr/>
          <w:p>
            <w:pPr>
              <w:pStyle w:val="Compact"/>
              <w:jc w:val="left"/>
            </w:pPr>
            <w:r>
              <w:t xml:space="preserve">Relational aggression</w:t>
            </w:r>
          </w:p>
        </w:tc>
        <w:tc>
          <w:tcPr/>
          <w:p>
            <w:pPr>
              <w:pStyle w:val="Compact"/>
              <w:jc w:val="left"/>
            </w:pPr>
            <w:r>
              <w:t xml:space="preserve">Aggression intended to harm others through</w:t>
            </w:r>
            <w:r>
              <w:t xml:space="preserve"> </w:t>
            </w:r>
            <w:r>
              <w:t xml:space="preserve">deliberate manipulation of their social</w:t>
            </w:r>
            <w:r>
              <w:t xml:space="preserve"> </w:t>
            </w:r>
            <w:r>
              <w:t xml:space="preserve">standing and relationships (e.g., exclusion,</w:t>
            </w:r>
            <w:r>
              <w:t xml:space="preserve"> </w:t>
            </w:r>
            <w:r>
              <w:t xml:space="preserve">speaking negatively of another, etc.)</w:t>
            </w:r>
          </w:p>
        </w:tc>
        <w:tc>
          <w:tcPr/>
          <w:p>
            <w:pPr>
              <w:pStyle w:val="Compact"/>
              <w:jc w:val="left"/>
            </w:pPr>
            <w:r>
              <w:t xml:space="preserve">Inclusion</w:t>
            </w:r>
          </w:p>
        </w:tc>
      </w:tr>
      <w:tr>
        <w:tc>
          <w:tcPr/>
          <w:p>
            <w:pPr>
              <w:pStyle w:val="Compact"/>
              <w:jc w:val="left"/>
            </w:pPr>
            <w:r>
              <w:t xml:space="preserve">Sexual aggression</w:t>
            </w:r>
          </w:p>
        </w:tc>
        <w:tc>
          <w:tcPr/>
          <w:p>
            <w:pPr>
              <w:pStyle w:val="Compact"/>
              <w:jc w:val="left"/>
            </w:pPr>
            <w:r>
              <w:t xml:space="preserve">Engaging in sexual activity with someone who</w:t>
            </w:r>
            <w:r>
              <w:t xml:space="preserve"> </w:t>
            </w:r>
            <w:r>
              <w:t xml:space="preserve">does not or cannot consent to that behavior,</w:t>
            </w:r>
            <w:r>
              <w:t xml:space="preserve"> </w:t>
            </w:r>
            <w:r>
              <w:t xml:space="preserve">or threatening to do so (e.g., harassment)</w:t>
            </w:r>
          </w:p>
        </w:tc>
        <w:tc>
          <w:tcPr/>
          <w:p>
            <w:pPr>
              <w:pStyle w:val="Compact"/>
              <w:jc w:val="left"/>
            </w:pPr>
            <w:r>
              <w:t xml:space="preserve">Respect for consent</w:t>
            </w:r>
          </w:p>
        </w:tc>
      </w:tr>
      <w:tr>
        <w:tc>
          <w:tcPr/>
          <w:p>
            <w:pPr>
              <w:pStyle w:val="Compact"/>
              <w:jc w:val="left"/>
            </w:pPr>
            <w:r>
              <w:t xml:space="preserve">Impulsive sexual behavior/Risky sexual behavior</w:t>
            </w:r>
          </w:p>
        </w:tc>
        <w:tc>
          <w:tcPr/>
          <w:p>
            <w:pPr>
              <w:pStyle w:val="Compact"/>
              <w:jc w:val="left"/>
            </w:pPr>
            <w:r>
              <w:t xml:space="preserve">Engaging in risky sexual activity (e.g., sex</w:t>
            </w:r>
            <w:r>
              <w:t xml:space="preserve"> </w:t>
            </w:r>
            <w:r>
              <w:t xml:space="preserve">without contraceptives)</w:t>
            </w:r>
          </w:p>
        </w:tc>
        <w:tc>
          <w:tcPr/>
          <w:p>
            <w:pPr>
              <w:pStyle w:val="Compact"/>
              <w:jc w:val="left"/>
            </w:pPr>
            <w:r>
              <w:t xml:space="preserve">Responsible sexual decision-making</w:t>
            </w:r>
          </w:p>
        </w:tc>
      </w:tr>
      <w:tr>
        <w:tc>
          <w:tcPr/>
          <w:p>
            <w:pPr>
              <w:pStyle w:val="Compact"/>
              <w:jc w:val="left"/>
            </w:pPr>
            <w:r>
              <w:t xml:space="preserve">(Harmful) Substance Use/Problems</w:t>
            </w:r>
          </w:p>
        </w:tc>
        <w:tc>
          <w:tcPr/>
          <w:p>
            <w:pPr>
              <w:pStyle w:val="Compact"/>
              <w:jc w:val="left"/>
            </w:pPr>
            <w:r>
              <w:t xml:space="preserve">Harmful use of any drugs (e.g., alcohol,</w:t>
            </w:r>
            <w:r>
              <w:t xml:space="preserve"> </w:t>
            </w:r>
            <w:r>
              <w:t xml:space="preserve">tobacco, illegal drugs)</w:t>
            </w:r>
          </w:p>
        </w:tc>
        <w:tc>
          <w:tcPr/>
          <w:p>
            <w:pPr>
              <w:pStyle w:val="Compact"/>
              <w:jc w:val="left"/>
            </w:pPr>
            <w:r>
              <w:t xml:space="preserve">Healthy choices around substance use</w:t>
            </w:r>
          </w:p>
        </w:tc>
      </w:tr>
      <w:tr>
        <w:tc>
          <w:tcPr/>
          <w:p>
            <w:pPr>
              <w:pStyle w:val="Compact"/>
              <w:jc w:val="left"/>
            </w:pPr>
            <w:r>
              <w:t xml:space="preserve">Theft/Stealing</w:t>
            </w:r>
          </w:p>
        </w:tc>
        <w:tc>
          <w:tcPr/>
          <w:p>
            <w:pPr>
              <w:pStyle w:val="Compact"/>
              <w:jc w:val="left"/>
            </w:pPr>
            <w:r>
              <w:t xml:space="preserve">Unauthorized taking of someone else’s</w:t>
            </w:r>
            <w:r>
              <w:t xml:space="preserve"> </w:t>
            </w:r>
            <w:r>
              <w:t xml:space="preserve">property without their knowledge or consent</w:t>
            </w:r>
          </w:p>
        </w:tc>
        <w:tc>
          <w:tcPr/>
          <w:p>
            <w:pPr>
              <w:pStyle w:val="Compact"/>
              <w:jc w:val="left"/>
            </w:pPr>
            <w:r>
              <w:t xml:space="preserve">Respect for people’s possessions</w:t>
            </w:r>
          </w:p>
        </w:tc>
      </w:tr>
      <w:tr>
        <w:tc>
          <w:tcPr/>
          <w:p>
            <w:pPr>
              <w:pStyle w:val="Compact"/>
              <w:jc w:val="left"/>
            </w:pPr>
            <w:r>
              <w:t xml:space="preserve">Verbal Aggression</w:t>
            </w:r>
          </w:p>
        </w:tc>
        <w:tc>
          <w:tcPr/>
          <w:p>
            <w:pPr>
              <w:pStyle w:val="Compact"/>
              <w:jc w:val="left"/>
            </w:pPr>
            <w:r>
              <w:t xml:space="preserve">Communication with an intention to harm an</w:t>
            </w:r>
            <w:r>
              <w:t xml:space="preserve"> </w:t>
            </w:r>
            <w:r>
              <w:t xml:space="preserve">individual through words, tone, or manner</w:t>
            </w:r>
          </w:p>
        </w:tc>
        <w:tc>
          <w:tcPr/>
          <w:p>
            <w:pPr>
              <w:pStyle w:val="Compact"/>
              <w:jc w:val="left"/>
            </w:pPr>
            <w:r>
              <w:t xml:space="preserve">Respectful communication</w:t>
            </w:r>
          </w:p>
        </w:tc>
      </w:tr>
    </w:tbl>
    <w:p>
      <w:pPr>
        <w:pStyle w:val="FigureNote"/>
      </w:pPr>
      <w:r>
        <w:rPr>
          <w:i/>
          <w:iCs/>
        </w:rPr>
        <w:t xml:space="preserve">Note</w:t>
      </w:r>
      <w:r>
        <w:t xml:space="preserve">. Transdiagnostic facets of psychopathology that frequently encompass externalizing problems were also identified and include irritability/reactive anger, unemotionality, sleep problems, social problems, learning problems, and low functional independence.</w:t>
      </w:r>
    </w:p>
    <w:bookmarkEnd w:id="99"/>
    <w:p>
      <w:pPr>
        <w:pStyle w:val="FigureWithNote"/>
      </w:pPr>
      <w:r>
        <w:rPr>
          <w:i/>
          <w:iCs/>
        </w:rPr>
        <w:t xml:space="preserve">Note</w:t>
      </w:r>
      <w:r>
        <w:t xml:space="preserve">. Transdiagnostic facets of psychopathology that frequently encompass externalizing problems were also identified and include irritability/reactive anger, unemotionality, sleep problems, social problems, learning problems, and low functional independence.</w:t>
      </w:r>
    </w:p>
    <w:p>
      <w:pPr>
        <w:pStyle w:val="FigureWithNote"/>
      </w:pPr>
      <w:r>
        <w:rPr>
          <w:vertAlign w:val="subscript"/>
        </w:rPr>
        <w:t xml:space="preserve">Source:</w:t>
      </w:r>
      <w:r>
        <w:rPr>
          <w:vertAlign w:val="subscript"/>
        </w:rPr>
        <w:t xml:space="preserve"> </w:t>
      </w:r>
      <w:hyperlink r:id="rId100">
        <w:r>
          <w:rPr>
            <w:rStyle w:val="Hyperlink"/>
            <w:vertAlign w:val="subscript"/>
          </w:rPr>
          <w:t xml:space="preserve">Analyses</w:t>
        </w:r>
      </w:hyperlink>
    </w:p>
    <w:p>
      <w:pPr>
        <w:pStyle w:val="BodyText"/>
      </w:pPr>
      <w:r>
        <w:br/>
      </w:r>
      <w:r>
        <w:t xml:space="preserve">::: {.figure-caption .content-visible when-format=</w:t>
      </w:r>
      <w:r>
        <w:t xml:space="preserve">“html”</w:t>
      </w:r>
      <w:r>
        <w:t xml:space="preserve">}</w:t>
      </w:r>
    </w:p>
    <w:p>
      <w:pPr>
        <w:pStyle w:val="BodyText"/>
      </w:pPr>
      <w:r>
        <w:rPr>
          <w:i/>
          <w:iCs/>
        </w:rPr>
        <w:t xml:space="preserve">Note</w:t>
      </w:r>
      <w:r>
        <w:t xml:space="preserve">.</w:t>
      </w:r>
      <w:r>
        <w:t xml:space="preserve"> </w:t>
      </w:r>
      <w:r>
        <w:t xml:space="preserve">Transdiagnostic facets of psychopathology that frequently encompass externalizing problems were also identified and include irritability/reactive anger, unemotionality, sleep problems, social problems, learning problems, and low functional independence.</w:t>
      </w:r>
    </w:p>
    <w:p>
      <w:pPr>
        <w:pStyle w:val="BodyText"/>
      </w:pPr>
      <w:r>
        <w:t xml:space="preserve">:::</w:t>
      </w:r>
    </w:p>
    <w:p>
      <w:pPr>
        <w:pStyle w:val="BodyText"/>
      </w:pPr>
      <w:r>
        <w:t xml:space="preserve">Because existing measures do not capture the full range of individual differences, this naturally further limits the measures’ sensitivity to detect change (i.e., responsiveness), which is crucial for clinical utility and for longitudinal research.</w:t>
      </w:r>
      <w:r>
        <w:t xml:space="preserve"> </w:t>
      </w:r>
      <w:r>
        <w:t xml:space="preserve">Moreover, it is important for measures not to show restriction of range owing to ceiling or floor effects.</w:t>
      </w:r>
    </w:p>
    <w:bookmarkEnd w:id="101"/>
    <w:bookmarkStart w:id="102"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r>
        <w:t xml:space="preserve"> </w:t>
      </w:r>
      <w:r>
        <w:t xml:space="preserve">As we described above, existing assessments of externalizing behavior—and of other forms of psychopathology—have key limitations.</w:t>
      </w:r>
      <w:r>
        <w:t xml:space="preserve"> </w:t>
      </w:r>
      <w:r>
        <w:t xml:space="preserve">To address this concern, the field will need to develop better assessments.</w:t>
      </w:r>
      <w:r>
        <w:t xml:space="preserve"> </w:t>
      </w:r>
      <w:r>
        <w:t xml:space="preserve">In addition, there are problems with how assessments are used to examine development—studies have primarily used problematic approaches including the common items approach or the upward/downward extension approach across ages, leading to inaccurate scores and resulting trajectories and developmental inferences.</w:t>
      </w:r>
      <w:r>
        <w:t xml:space="preserve"> </w:t>
      </w:r>
      <w:r>
        <w:t xml:space="preserve">Moreover, studies have largely failed to place scores on a comparable scale across development.</w:t>
      </w:r>
      <w:r>
        <w:t xml:space="preserve"> </w:t>
      </w:r>
      <w:r>
        <w:t xml:space="preserve">Researchers studying psychopathology development are doing their best to grapple with developmental equivalence in the ways they know how, such as by dropping items, using items outside the age range of validation, restricting the age range of analysis (or data collection) to the ages when the same measure was (or would be) used, using diagnostic categories, averaging scores, and age-norming.</w:t>
      </w:r>
      <w:r>
        <w:t xml:space="preserve"> </w:t>
      </w:r>
      <w:r>
        <w:t xml:space="preserve">However, it is important for the field to advance its awareness of stronger approaches for placing scores on a comparable scale across development.</w:t>
      </w:r>
      <w:r>
        <w:t xml:space="preserve"> </w:t>
      </w:r>
      <w:r>
        <w:t xml:space="preserve">To address these concerns, we propose a potential solution to account for heterotypic continuity and to allow charting individuals’ change across the lifespan: a developmental scaling framework.</w:t>
      </w:r>
    </w:p>
    <w:bookmarkEnd w:id="102"/>
    <w:bookmarkEnd w:id="103"/>
    <w:bookmarkEnd w:id="104"/>
    <w:bookmarkStart w:id="121" w:name="X90173f212147643646723f86a6ce6f8ad77bf31"/>
    <w:p>
      <w:pPr>
        <w:pStyle w:val="Heading1"/>
      </w:pPr>
      <w:r>
        <w:t xml:space="preserve">Solution: A Developmental Scaling Framework</w:t>
      </w:r>
    </w:p>
    <w:p>
      <w:pPr>
        <w:pStyle w:val="FirstParagraph"/>
      </w:pPr>
      <w:r>
        <w:t xml:space="preserve">A developmental scaling framework informs both assessment—including item selection—and linking of scores.</w:t>
      </w:r>
    </w:p>
    <w:bookmarkStart w:id="109" w:name="item-selection"/>
    <w:p>
      <w:pPr>
        <w:pStyle w:val="Heading2"/>
      </w:pPr>
      <w:r>
        <w:t xml:space="preserve">Item Selection</w:t>
      </w:r>
    </w:p>
    <w:p>
      <w:pPr>
        <w:pStyle w:val="FirstParagraph"/>
      </w:pPr>
      <w:r>
        <w:t xml:space="preserve">When a construct changes in behavioral manifestation across development, which we would argue is the norm rather than the exception when considering constructs across the lifespan, it is essential to account for such changes in item selection.</w:t>
      </w:r>
      <w:r>
        <w:t xml:space="preserve"> </w:t>
      </w:r>
      <w:r>
        <w:t xml:space="preserve">Thus, it is important to use the construct-valid items at a given age, even if that leads to using different measures across ages.</w:t>
      </w:r>
      <w:r>
        <w:t xml:space="preserve"> </w:t>
      </w: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age-common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08" w:name="fig-constructValidItemDesign"/>
    <w:p>
      <w:pPr>
        <w:pStyle w:val="FigureTitle"/>
      </w:pPr>
      <w:r>
        <w:t xml:space="preserve">Figure 8</w:t>
      </w:r>
    </w:p>
    <w:p>
      <w:pPr>
        <w:pStyle w:val="Caption"/>
      </w:pPr>
      <w:r>
        <w:t xml:space="preserve">Conceptual Depiction of a Construct-Valid Item Design from Infancy to Adulthood</w:t>
      </w:r>
    </w:p>
    <w:p>
      <w:pPr>
        <w:pStyle w:val="FigureWithNote"/>
      </w:pPr>
      <w:r>
        <w:drawing>
          <wp:inline>
            <wp:extent cx="5877848" cy="3260034"/>
            <wp:effectExtent b="0" l="0" r="0" t="0"/>
            <wp:docPr descr="" title="" id="106" name="Picture"/>
            <a:graphic>
              <a:graphicData uri="http://schemas.openxmlformats.org/drawingml/2006/picture">
                <pic:pic>
                  <pic:nvPicPr>
                    <pic:cNvPr descr="Figures/constructValidItemDesign.png" id="107" name="Picture"/>
                    <pic:cNvPicPr>
                      <a:picLocks noChangeArrowheads="1" noChangeAspect="1"/>
                    </pic:cNvPicPr>
                  </pic:nvPicPr>
                  <pic:blipFill>
                    <a:blip r:embed="rId105"/>
                    <a:stretch>
                      <a:fillRect/>
                    </a:stretch>
                  </pic:blipFill>
                  <pic:spPr bwMode="auto">
                    <a:xfrm>
                      <a:off x="0" y="0"/>
                      <a:ext cx="5877848" cy="3260034"/>
                    </a:xfrm>
                    <a:prstGeom prst="rect">
                      <a:avLst/>
                    </a:prstGeom>
                    <a:noFill/>
                    <a:ln w="9525">
                      <a:noFill/>
                      <a:headEnd/>
                      <a:tailEnd/>
                    </a:ln>
                  </pic:spPr>
                </pic:pic>
              </a:graphicData>
            </a:graphic>
          </wp:inline>
        </w:drawing>
      </w:r>
    </w:p>
    <w:bookmarkEnd w:id="108"/>
    <w:p>
      <w:pPr>
        <w:pStyle w:val="FigureNote"/>
      </w:pPr>
      <w:r>
        <w:rPr>
          <w:i/>
          <w:iCs/>
        </w:rPr>
        <w:t xml:space="preserve">Note</w:t>
      </w:r>
      <w:r>
        <w:t xml:space="preserve">. The age(s) at which an item set is assessed are represented by the letter</w:t>
      </w:r>
      <w:r>
        <w:t xml:space="preserve"> </w:t>
      </w:r>
      <w:r>
        <w:rPr>
          <w:rStyle w:val="VerbatimChar"/>
        </w:rPr>
        <w:t xml:space="preserve">x</w:t>
      </w:r>
      <w:r>
        <w:t xml:space="preserve"> </w:t>
      </w:r>
      <w:r>
        <w:t xml:space="preserve">and a colored box. Some items (</w:t>
      </w:r>
      <w:r>
        <w:t xml:space="preserve">“Core”</w:t>
      </w:r>
      <w:r>
        <w:t xml:space="preserve">, in green) represent the core of the phenotype and are assessed across all ages. Some items (in varying shades of brown) are age-specific and are assessed at only one or a few ages. However, some of the items assessed at a given age are shared with those assessed at adjacent ages, to facilitate linking the scores across ages. 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 Hypothetically, items could be assessed for as many or as few years as desired—as long as the items are construct valid for those ages and there enough age-common items between adjacent ages for linking scores across ages.</w:t>
      </w:r>
    </w:p>
    <w:p>
      <w:pPr>
        <w:pStyle w:val="BodyText"/>
      </w:pPr>
      <w:r>
        <w:br/>
      </w:r>
      <w:r>
        <w:t xml:space="preserve">::: {.figure-caption .content-visible when-format=</w:t>
      </w:r>
      <w:r>
        <w:t xml:space="preserve">“html”</w:t>
      </w:r>
      <w:r>
        <w:t xml:space="preserve">}</w:t>
      </w:r>
    </w:p>
    <w:p>
      <w:pPr>
        <w:pStyle w:val="BodyText"/>
      </w:pPr>
      <w:r>
        <w:rPr>
          <w:i/>
          <w:iCs/>
        </w:rPr>
        <w:t xml:space="preserve">Note</w:t>
      </w:r>
      <w:r>
        <w:t xml:space="preserve">.</w:t>
      </w:r>
      <w:r>
        <w:t xml:space="preserve"> </w:t>
      </w:r>
      <w:r>
        <w:t xml:space="preserve">The age(s) at which an item set is assessed are represented by the letter</w:t>
      </w:r>
      <w:r>
        <w:t xml:space="preserve"> </w:t>
      </w:r>
      <w:r>
        <w:rPr>
          <w:rStyle w:val="VerbatimChar"/>
        </w:rPr>
        <w:t xml:space="preserve">x</w:t>
      </w:r>
      <w:r>
        <w:t xml:space="preserve"> </w:t>
      </w:r>
      <w:r>
        <w:t xml:space="preserve">and a colored box.</w:t>
      </w:r>
      <w:r>
        <w:t xml:space="preserve"> </w:t>
      </w:r>
      <w:r>
        <w:t xml:space="preserve">Some items (</w:t>
      </w:r>
      <w:r>
        <w:t xml:space="preserve">“Core”</w:t>
      </w:r>
      <w:r>
        <w:t xml:space="preserve">, in green) represent the core of the phenotype and are assessed across all ages.</w:t>
      </w:r>
      <w:r>
        <w:t xml:space="preserve"> </w:t>
      </w:r>
      <w:r>
        <w:t xml:space="preserve">Some items (in varying shades of brown) are age-specific and are assessed at only one or a few ages.</w:t>
      </w:r>
      <w:r>
        <w:t xml:space="preserve"> </w:t>
      </w:r>
      <w:r>
        <w:t xml:space="preserve">However, some of the items assessed at a given age are shared with those assessed at adjacent ages, to facilitate linking the scores across ages.</w:t>
      </w:r>
      <w:r>
        <w:t xml:space="preserve"> </w:t>
      </w:r>
      <w:r>
        <w:t xml:space="preserve">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w:t>
      </w:r>
      <w:r>
        <w:t xml:space="preserve"> </w:t>
      </w:r>
      <w:r>
        <w:t xml:space="preserve">Hypothetically, items could be assessed for as many or as few years as desired—as long as the items are construct valid for those ages and there enough age-common items between adjacent ages for linking scores across ages.</w:t>
      </w:r>
    </w:p>
    <w:p>
      <w:pPr>
        <w:pStyle w:val="BodyText"/>
      </w:pPr>
      <w:r>
        <w:t xml:space="preserve">:::</w:t>
      </w:r>
    </w:p>
    <w:bookmarkEnd w:id="109"/>
    <w:bookmarkStart w:id="120" w:name="linking-of-scores"/>
    <w:p>
      <w:pPr>
        <w:pStyle w:val="Heading2"/>
      </w:pPr>
      <w:r>
        <w:t xml:space="preserve">Linking of Scores</w:t>
      </w:r>
    </w:p>
    <w:p>
      <w:pPr>
        <w:pStyle w:val="FirstParagraph"/>
      </w:pPr>
      <w:r>
        <w:t xml:space="preserve">After the age-differing measures have been assessed, the scores from the age-differing measures can be linked to be on the same scale.</w:t>
      </w:r>
      <w:r>
        <w:t xml:space="preserve"> </w:t>
      </w:r>
      <w:r>
        <w:t xml:space="preserve">To perform developmental scaling, a variety of approaches can be used, including partial measurement invariance, the alignment method, moderated nonlinear factor analysis (MNLFA), and item response theory (IRT).</w:t>
      </w:r>
      <w:r>
        <w:t xml:space="preserve"> </w:t>
      </w:r>
      <w:r>
        <w:t xml:space="preserve">These are all approaches to harmonization—i.e., linking scores from different measures onto the same scale so they can be meaningfully compared.</w:t>
      </w:r>
      <w:r>
        <w:t xml:space="preserve"> </w:t>
      </w:r>
      <w:r>
        <w:t xml:space="preserve">Harmonization is also used for integrative data analysis, to pool data from different measures in various studies</w:t>
      </w:r>
      <w:r>
        <w:t xml:space="preserve"> </w:t>
      </w:r>
      <w:r>
        <w:t xml:space="preserve">(</w:t>
      </w:r>
      <w:hyperlink w:anchor="ref-Curran2008">
        <w:r>
          <w:rPr>
            <w:rStyle w:val="Hyperlink"/>
          </w:rPr>
          <w:t xml:space="preserve">Curran et al., 2008</w:t>
        </w:r>
      </w:hyperlink>
      <w:r>
        <w:t xml:space="preserve">;</w:t>
      </w:r>
      <w:r>
        <w:t xml:space="preserve"> </w:t>
      </w:r>
      <w:hyperlink w:anchor="ref-McDaniel2023">
        <w:r>
          <w:rPr>
            <w:rStyle w:val="Hyperlink"/>
          </w:rPr>
          <w:t xml:space="preserve">McDaniel et al., 2023</w:t>
        </w:r>
      </w:hyperlink>
      <w:r>
        <w:t xml:space="preserve">)</w:t>
      </w:r>
      <w:r>
        <w:t xml:space="preserve">.</w:t>
      </w:r>
      <w:r>
        <w:t xml:space="preserve"> </w:t>
      </w:r>
      <w:r>
        <w:t xml:space="preserve">The aforementioned approaches to harmonization attempt to estimate latent variables—using either confirmatory factor analysis (CFA) or IRT—on a common scale across ages.</w:t>
      </w:r>
      <w:r>
        <w:t xml:space="preserve"> </w:t>
      </w:r>
      <w:r>
        <w:t xml:space="preserve">They do so by trying to align the item parameters for at least a subset of items.</w:t>
      </w:r>
      <w:r>
        <w:t xml:space="preserve"> </w:t>
      </w:r>
      <w:r>
        <w:t xml:space="preserve">To be able to chart individuals’ change over time, it is helpful to ensure that the scores are on the same number line across time—that is, they have the same scale and location across ages.</w:t>
      </w:r>
      <w:r>
        <w:t xml:space="preserve"> </w:t>
      </w:r>
      <w:r>
        <w:t xml:space="preserve">Scale refers to the size of a unit on the number line.</w:t>
      </w:r>
      <w:r>
        <w:t xml:space="preserve"> </w:t>
      </w:r>
      <w:r>
        <w:t xml:space="preserve">If scores have the same scale across ages, a one-unit difference represents the same amount of the construct at each age.</w:t>
      </w:r>
      <w:r>
        <w:t xml:space="preserve"> </w:t>
      </w:r>
      <w:r>
        <w:t xml:space="preserve">Location refers to the origin or zero point on the number line.</w:t>
      </w:r>
      <w:r>
        <w:t xml:space="preserve"> </w:t>
      </w:r>
      <w:r>
        <w:t xml:space="preserve">If scores have the same location across ages, a score of zero corresponds to the same position on the construct across ages.</w:t>
      </w:r>
      <w:r>
        <w:t xml:space="preserve"> </w:t>
      </w:r>
      <w:r>
        <w:t xml:space="preserve">Collectively, if scores have the same scale and location across ages, the measure is constantly calibrated across ages, and the same score corresponds to the same level on the construct across ages.</w:t>
      </w:r>
      <w:r>
        <w:t xml:space="preserve"> </w:t>
      </w:r>
      <w:r>
        <w:t xml:space="preserve">CFA and IRT each have item parameters corresponding to scale and location.</w:t>
      </w:r>
    </w:p>
    <w:p>
      <w:pPr>
        <w:pStyle w:val="BodyText"/>
      </w:pPr>
      <w:r>
        <w:t xml:space="preserve">In CFA, scale is informed by an item’s factor loading, and location is informed by an item’s intercept.</w:t>
      </w:r>
      <w:r>
        <w:t xml:space="preserve"> </w:t>
      </w:r>
      <w:r>
        <w:t xml:space="preserve">A factor loading reflects the strength of association between the item and the latent factor, with larger loadings indicating stronger associations.</w:t>
      </w:r>
      <w:r>
        <w:t xml:space="preserve"> </w:t>
      </w:r>
      <w:r>
        <w:t xml:space="preserve">For instance, an item assessing the extent to which a child hits others would have a stronger factor loading on an externalizing factor than an item assessing the extent to which a child likes ice cream.</w:t>
      </w:r>
      <w:r>
        <w:t xml:space="preserve"> </w:t>
      </w:r>
      <w:r>
        <w:t xml:space="preserve">The intercept is the expected score on the item when the latent factor equals zero.</w:t>
      </w:r>
      <w:r>
        <w:t xml:space="preserve"> </w:t>
      </w:r>
      <w:r>
        <w:t xml:space="preserve">When the latent factor is centered to have a mean of zero, the intercept represents the expected score on the item for someone at the mean level of the construct.</w:t>
      </w:r>
      <w:r>
        <w:t xml:space="preserve"> </w:t>
      </w:r>
      <w:r>
        <w:t xml:space="preserve">Items with lower intercepts tend to be endorsed by individuals with higher levels of the latent factor and therefore often reflect more severe behaviors.</w:t>
      </w:r>
      <w:r>
        <w:t xml:space="preserve"> </w:t>
      </w:r>
      <w:r>
        <w:t xml:space="preserve">For example, an item assessing the extent to which a child sets fires would be expected to have a lower intercept than an item assessing the extent to which a child argues.</w:t>
      </w:r>
    </w:p>
    <w:p>
      <w:pPr>
        <w:pStyle w:val="BodyText"/>
      </w:pPr>
      <w:r>
        <w:t xml:space="preserve">In IRT, scale is informed by an item’s discrimination, and location is informed by an item’s difficulty.</w:t>
      </w:r>
      <w:r>
        <w:t xml:space="preserve"> </w:t>
      </w:r>
      <w:r>
        <w:t xml:space="preserve">An item’s discrimination reflects how strongly the item differentiates individuals at various levels of the construct, with higher discrimination indicating a stronger association with the latent factor.</w:t>
      </w:r>
      <w:r>
        <w:t xml:space="preserve"> </w:t>
      </w:r>
      <w:r>
        <w:t xml:space="preserve">In a two-parameter IRT model, an item’s difficulty reflects the level on the latent factor where there is a 50% probability of endorsing the item.</w:t>
      </w:r>
      <w:r>
        <w:t xml:space="preserve"> </w:t>
      </w:r>
      <w:r>
        <w:t xml:space="preserve">Items with higher difficulty require a higher level of the latent factor to have a 50% probability of endorsing the item and therefore represent more severe behaviors.</w:t>
      </w:r>
    </w:p>
    <w:bookmarkStart w:id="111" w:name="partial-invariance"/>
    <w:p>
      <w:pPr>
        <w:pStyle w:val="Heading3"/>
      </w:pPr>
      <w:r>
        <w:t xml:space="preserve">Partial Invariance</w:t>
      </w:r>
    </w:p>
    <w:p>
      <w:pPr>
        <w:pStyle w:val="FirstParagraph"/>
      </w:pPr>
      <w:r>
        <w:t xml:space="preserve">The partial invariance method can be used to link scores across different measures</w:t>
      </w:r>
      <w:r>
        <w:t xml:space="preserve"> </w:t>
      </w:r>
      <w:r>
        <w:t xml:space="preserve">(</w:t>
      </w:r>
      <w:hyperlink w:anchor="ref-Tyrell2019">
        <w:r>
          <w:rPr>
            <w:rStyle w:val="Hyperlink"/>
          </w:rPr>
          <w:t xml:space="preserve">Tyrell et al., 2019</w:t>
        </w:r>
      </w:hyperlink>
      <w:r>
        <w:t xml:space="preserve">)</w:t>
      </w:r>
      <w:r>
        <w:t xml:space="preserve"> </w:t>
      </w:r>
      <w:r>
        <w:t xml:space="preserve">and can be paired with second-order growth functions to examine individuals’ change over time</w:t>
      </w:r>
      <w:r>
        <w:t xml:space="preserve"> </w:t>
      </w:r>
      <w:r>
        <w:t xml:space="preserve">(</w:t>
      </w:r>
      <w:hyperlink w:anchor="ref-Hancock2008">
        <w:r>
          <w:rPr>
            <w:rStyle w:val="Hyperlink"/>
          </w:rPr>
          <w:t xml:space="preserve">Hancock &amp; Buehl, 2008</w:t>
        </w:r>
      </w:hyperlink>
      <w:r>
        <w:t xml:space="preserve">)</w:t>
      </w:r>
      <w:r>
        <w:t xml:space="preserve">.</w:t>
      </w:r>
      <w:r>
        <w:t xml:space="preserve"> </w:t>
      </w:r>
      <w:r>
        <w:t xml:space="preserve">The partial invariance approach attempts to establish partial strong longitudinal factorial invariance</w:t>
      </w:r>
      <w:r>
        <w:rPr>
          <w:rStyle w:val="FootnoteReference"/>
        </w:rPr>
        <w:footnoteReference w:id="110"/>
      </w:r>
      <w:r>
        <w:t xml:space="preserve">—i.e., invariant intercepts and factor loadings across ages for a subset of items to set the latent factor across ages on a comparable scale, with some items’ intercepts and/or factor loadings allowed to differ across ages.</w:t>
      </w:r>
      <w:r>
        <w:t xml:space="preserve"> </w:t>
      </w:r>
      <w:r>
        <w:t xml:space="preserve">The researcher first identifies which items show invariant factor loadings and/or intercepts and which items show noninvariant factor loadings or intercepts.</w:t>
      </w:r>
      <w:r>
        <w:t xml:space="preserve"> </w:t>
      </w:r>
      <w:r>
        <w:t xml:space="preserve">The researcher then constrains the factor loadings across time for any items with invariant factor loadings, to serve as anchor items and establish an equivalent scale of the measures across time, and allows the factor loadings to differ across time for the items with noninvariant factor loadings.</w:t>
      </w:r>
      <w:r>
        <w:t xml:space="preserve"> </w:t>
      </w:r>
      <w:r>
        <w:t xml:space="preserve">In addition, the researcher constrains the intercepts across time for any items with invariant intercepts, to serve as anchor items and establish an equivalent location of the measures across time, and allows the intercepts to differ across time for the items with noninvariant intercepts.</w:t>
      </w:r>
      <w:r>
        <w:t xml:space="preserve"> </w:t>
      </w:r>
      <w:r>
        <w:t xml:space="preserve">The anchor items thus equate the latent factor over time, preventing drift in the scale calibration and rendering scores comparable across time</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Then, the researcher estimates second-order growth functions (e.g., intercept and slope) of the first-order latent factor across time.</w:t>
      </w:r>
      <w:r>
        <w:t xml:space="preserve"> </w:t>
      </w:r>
      <w:r>
        <w:t xml:space="preserve">The method can allow different indicators across ages, either by dropping or adding indicators or by using item parcels composed of differing items across ages</w:t>
      </w:r>
      <w:r>
        <w:t xml:space="preserve"> </w:t>
      </w:r>
      <w:r>
        <w:t xml:space="preserve">(</w:t>
      </w:r>
      <w:hyperlink w:anchor="ref-Tyrell2019">
        <w:r>
          <w:rPr>
            <w:rStyle w:val="Hyperlink"/>
          </w:rPr>
          <w:t xml:space="preserve">Tyrell et al., 2019</w:t>
        </w:r>
      </w:hyperlink>
      <w:r>
        <w:t xml:space="preserve">)</w:t>
      </w:r>
      <w:r>
        <w:t xml:space="preserve">.</w:t>
      </w:r>
    </w:p>
    <w:p>
      <w:pPr>
        <w:pStyle w:val="BodyText"/>
      </w:pPr>
      <w:r>
        <w:t xml:space="preserve">However, the partial invariance approach requires identifying—and accurately specifying—invariant items and any noninvariant items, which can be both inefficient and error-prone</w:t>
      </w:r>
      <w:r>
        <w:t xml:space="preserve"> </w:t>
      </w:r>
      <w:r>
        <w:t xml:space="preserve">(</w:t>
      </w:r>
      <w:hyperlink w:anchor="ref-ChenPM">
        <w:r>
          <w:rPr>
            <w:rStyle w:val="Hyperlink"/>
          </w:rPr>
          <w:t xml:space="preserve">S. M. Chen &amp; Bauer, in press b</w:t>
        </w:r>
      </w:hyperlink>
      <w:r>
        <w:t xml:space="preserve">;</w:t>
      </w:r>
      <w:r>
        <w:t xml:space="preserve"> </w:t>
      </w:r>
      <w:hyperlink w:anchor="ref-Lai2023">
        <w:r>
          <w:rPr>
            <w:rStyle w:val="Hyperlink"/>
          </w:rPr>
          <w:t xml:space="preserve">Lai, 2023</w:t>
        </w:r>
      </w:hyperlink>
      <w:r>
        <w:t xml:space="preserve">)</w:t>
      </w:r>
      <w:r>
        <w:t xml:space="preserve">.</w:t>
      </w:r>
      <w:r>
        <w:t xml:space="preserve"> </w:t>
      </w:r>
      <w:r>
        <w:t xml:space="preserve">Moreover, the partial invariance approach tends not to work as well when a large proportion of items are noninvariant</w:t>
      </w:r>
      <w:r>
        <w:t xml:space="preserve"> </w:t>
      </w:r>
      <w:r>
        <w:t xml:space="preserve">(</w:t>
      </w:r>
      <w:hyperlink w:anchor="ref-Lai2023">
        <w:r>
          <w:rPr>
            <w:rStyle w:val="Hyperlink"/>
          </w:rPr>
          <w:t xml:space="preserve">Lai, 2023</w:t>
        </w:r>
      </w:hyperlink>
      <w:r>
        <w:t xml:space="preserve">)</w:t>
      </w:r>
      <w:r>
        <w:t xml:space="preserve">, there are many timepoints, there is considerable variability in the numbers of responses provided to items such as might occur due to missing data or when not all items are assessed at all timepoints, or the researcher wants to consider factorial invariance or differential item functioning (DIF) as a function of multiple variables or continuous variables</w:t>
      </w:r>
      <w:r>
        <w:t xml:space="preserve"> </w:t>
      </w:r>
      <w:r>
        <w:t xml:space="preserve">(</w:t>
      </w:r>
      <w:hyperlink w:anchor="ref-ChenPM">
        <w:r>
          <w:rPr>
            <w:rStyle w:val="Hyperlink"/>
          </w:rPr>
          <w:t xml:space="preserve">S. M. Chen &amp; Bauer, in press b</w:t>
        </w:r>
      </w:hyperlink>
      <w:r>
        <w:t xml:space="preserve">)</w:t>
      </w:r>
      <w:r>
        <w:t xml:space="preserve">.</w:t>
      </w:r>
    </w:p>
    <w:bookmarkEnd w:id="111"/>
    <w:bookmarkStart w:id="112" w:name="alignment-optimization"/>
    <w:p>
      <w:pPr>
        <w:pStyle w:val="Heading3"/>
      </w:pPr>
      <w:r>
        <w:t xml:space="preserve">Alignment Optimization</w:t>
      </w:r>
    </w:p>
    <w:p>
      <w:pPr>
        <w:pStyle w:val="FirstParagraph"/>
      </w:pPr>
      <w:r>
        <w:t xml:space="preserve">The alignment optimization method</w:t>
      </w:r>
      <w:r>
        <w:t xml:space="preserve"> </w:t>
      </w:r>
      <w:r>
        <w:t xml:space="preserve">(</w:t>
      </w:r>
      <w:hyperlink w:anchor="ref-Muthen2014">
        <w:r>
          <w:rPr>
            <w:rStyle w:val="Hyperlink"/>
          </w:rPr>
          <w:t xml:space="preserve">Muthén &amp; Asparouhov, 2014</w:t>
        </w:r>
      </w:hyperlink>
      <w:r>
        <w:t xml:space="preserve">)</w:t>
      </w:r>
      <w:r>
        <w:t xml:space="preserve"> </w:t>
      </w:r>
      <w:r>
        <w:t xml:space="preserve">has been used to link scores across time</w:t>
      </w:r>
      <w:r>
        <w:t xml:space="preserve"> </w:t>
      </w:r>
      <w:r>
        <w:t xml:space="preserve">(</w:t>
      </w:r>
      <w:hyperlink w:anchor="ref-Lai2023">
        <w:r>
          <w:rPr>
            <w:rStyle w:val="Hyperlink"/>
          </w:rPr>
          <w:t xml:space="preserve">Lai, 2023</w:t>
        </w:r>
      </w:hyperlink>
      <w:r>
        <w:t xml:space="preserve">)</w:t>
      </w:r>
      <w:r>
        <w:t xml:space="preserve">.</w:t>
      </w:r>
      <w:r>
        <w:t xml:space="preserve"> </w:t>
      </w:r>
      <w:r>
        <w:t xml:space="preserve">The alignment optimization method within confirmatory factor analysis attempts to identify a model with approximate longitudinal factorial invariance—that is, to retain any instances of large noninvariance across ages and to keep other parameters approximately invariant across ages—to adjust for violations of invariance.</w:t>
      </w:r>
      <w:r>
        <w:t xml:space="preserve"> </w:t>
      </w:r>
      <w:r>
        <w:t xml:space="preserve">The approach uses a component loss function to align the item parameters across ages so that the scores on the latent factors are on the same scale.</w:t>
      </w:r>
      <w:r>
        <w:t xml:space="preserve"> </w:t>
      </w:r>
      <w:r>
        <w:t xml:space="preserve">Unlike the partial invariance method, the alignment method does not require a priori identification of any noninvariant items</w:t>
      </w:r>
      <w:r>
        <w:t xml:space="preserve"> </w:t>
      </w:r>
      <w:r>
        <w:t xml:space="preserve">(</w:t>
      </w:r>
      <w:hyperlink w:anchor="ref-Lai2023">
        <w:r>
          <w:rPr>
            <w:rStyle w:val="Hyperlink"/>
          </w:rPr>
          <w:t xml:space="preserve">Lai, 2023</w:t>
        </w:r>
      </w:hyperlink>
      <w:r>
        <w:t xml:space="preserve">)</w:t>
      </w:r>
      <w:r>
        <w:t xml:space="preserve">.</w:t>
      </w:r>
    </w:p>
    <w:bookmarkEnd w:id="112"/>
    <w:bookmarkStart w:id="113" w:name="moderated-nonlinear-factor-analysis"/>
    <w:p>
      <w:pPr>
        <w:pStyle w:val="Heading3"/>
      </w:pPr>
      <w:r>
        <w:t xml:space="preserve">Moderated Nonlinear Factor Analysis</w:t>
      </w:r>
    </w:p>
    <w:p>
      <w:pPr>
        <w:pStyle w:val="FirstParagraph"/>
      </w:pPr>
      <w:r>
        <w:t xml:space="preserve">MNLFA</w:t>
      </w:r>
      <w:r>
        <w:t xml:space="preserve"> </w:t>
      </w:r>
      <w:r>
        <w:t xml:space="preserve">(</w:t>
      </w:r>
      <w:hyperlink w:anchor="ref-Bauer2017">
        <w:r>
          <w:rPr>
            <w:rStyle w:val="Hyperlink"/>
          </w:rPr>
          <w:t xml:space="preserve">Bauer, 2017</w:t>
        </w:r>
      </w:hyperlink>
      <w:r>
        <w:t xml:space="preserve">)</w:t>
      </w:r>
      <w:r>
        <w:t xml:space="preserve"> </w:t>
      </w:r>
      <w:r>
        <w:t xml:space="preserve">has also been used to link scores across different measures</w:t>
      </w:r>
      <w:r>
        <w:t xml:space="preserve"> </w:t>
      </w:r>
      <w:r>
        <w:t xml:space="preserve">(</w:t>
      </w:r>
      <w:hyperlink w:anchor="ref-Curran2014">
        <w:r>
          <w:rPr>
            <w:rStyle w:val="Hyperlink"/>
          </w:rPr>
          <w:t xml:space="preserve">Curran et al., 2014</w:t>
        </w:r>
      </w:hyperlink>
      <w:r>
        <w:t xml:space="preserve">)</w:t>
      </w:r>
      <w:r>
        <w:t xml:space="preserve">, including across ages</w:t>
      </w:r>
      <w:r>
        <w:t xml:space="preserve"> </w:t>
      </w:r>
      <w:r>
        <w:t xml:space="preserve">(</w:t>
      </w:r>
      <w:hyperlink w:anchor="ref-ChenPM">
        <w:r>
          <w:rPr>
            <w:rStyle w:val="Hyperlink"/>
          </w:rPr>
          <w:t xml:space="preserve">S. M. Chen &amp; Bauer, in press b</w:t>
        </w:r>
      </w:hyperlink>
      <w:r>
        <w:t xml:space="preserve">,</w:t>
      </w:r>
      <w:r>
        <w:t xml:space="preserve"> </w:t>
      </w:r>
      <w:hyperlink w:anchor="ref-ChenMBR">
        <w:r>
          <w:rPr>
            <w:rStyle w:val="Hyperlink"/>
          </w:rPr>
          <w:t xml:space="preserve">in press a</w:t>
        </w:r>
      </w:hyperlink>
      <w:r>
        <w:t xml:space="preserve">;</w:t>
      </w:r>
      <w:r>
        <w:t xml:space="preserve"> </w:t>
      </w:r>
      <w:hyperlink w:anchor="ref-Student2025">
        <w:r>
          <w:rPr>
            <w:rStyle w:val="Hyperlink"/>
          </w:rPr>
          <w:t xml:space="preserve">Student, 2025</w:t>
        </w:r>
      </w:hyperlink>
      <w:r>
        <w:t xml:space="preserve">)</w:t>
      </w:r>
      <w:r>
        <w:t xml:space="preserve">.</w:t>
      </w:r>
      <w:r>
        <w:t xml:space="preserve"> </w:t>
      </w:r>
      <w:r>
        <w:t xml:space="preserve">Unlike the partial invariance approach, MNLFA represents the measurement model in continuous time (rather than discrete time).</w:t>
      </w:r>
      <w:r>
        <w:t xml:space="preserve"> </w:t>
      </w:r>
      <w:r>
        <w:t xml:space="preserve">MNLFA allows simultaneous estimation of growth functions while estimating and accounting for DIF effects.</w:t>
      </w:r>
      <w:r>
        <w:t xml:space="preserve"> </w:t>
      </w:r>
      <w:r>
        <w:t xml:space="preserve">It allows estimating DIF as a function of time and as a function of multiple variables, including categorical and continuous variables.</w:t>
      </w:r>
      <w:r>
        <w:t xml:space="preserve"> </w:t>
      </w:r>
      <w:r>
        <w:t xml:space="preserve">Bayesian approaches can be used to apply MNLFA.</w:t>
      </w:r>
      <w:r>
        <w:t xml:space="preserve"> </w:t>
      </w:r>
      <w:r>
        <w:t xml:space="preserve">A key benefit of Bayesian approaches is the use of regularizing priors that allow estimating the model without having to identify noninvariant/DIF items and anchor items in advance</w:t>
      </w:r>
      <w:r>
        <w:t xml:space="preserve"> </w:t>
      </w:r>
      <w:r>
        <w:t xml:space="preserve">(</w:t>
      </w:r>
      <w:hyperlink w:anchor="ref-ChenPM">
        <w:r>
          <w:rPr>
            <w:rStyle w:val="Hyperlink"/>
          </w:rPr>
          <w:t xml:space="preserve">S. M. Chen &amp; Bauer, in press b</w:t>
        </w:r>
      </w:hyperlink>
      <w:r>
        <w:t xml:space="preserve">,</w:t>
      </w:r>
      <w:r>
        <w:t xml:space="preserve"> </w:t>
      </w:r>
      <w:hyperlink w:anchor="ref-ChenMBR">
        <w:r>
          <w:rPr>
            <w:rStyle w:val="Hyperlink"/>
          </w:rPr>
          <w:t xml:space="preserve">in press a</w:t>
        </w:r>
      </w:hyperlink>
      <w:r>
        <w:t xml:space="preserve">)</w:t>
      </w:r>
      <w:r>
        <w:t xml:space="preserve">.</w:t>
      </w:r>
      <w:r>
        <w:t xml:space="preserve"> </w:t>
      </w:r>
      <w:r>
        <w:t xml:space="preserve">Using regularization, unimportant DIF effects are shrunken toward zero—while retaining larger DIF effects—thus identifying potential anchor items without having to specify them in advance</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In addition, Bayesian approaches are often better suited to handling small sample sizes and data with sparse responses</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Using a simulation, Chen and Bauer</w:t>
      </w:r>
      <w:r>
        <w:t xml:space="preserve"> </w:t>
      </w:r>
      <w:r>
        <w:t xml:space="preserve">(</w:t>
      </w:r>
      <w:hyperlink w:anchor="ref-ChenMBR">
        <w:r>
          <w:rPr>
            <w:rStyle w:val="Hyperlink"/>
          </w:rPr>
          <w:t xml:space="preserve">in press a</w:t>
        </w:r>
      </w:hyperlink>
      <w:r>
        <w:t xml:space="preserve">)</w:t>
      </w:r>
      <w:r>
        <w:t xml:space="preserve"> </w:t>
      </w:r>
      <w:r>
        <w:t xml:space="preserve">found that MNLFA estimated change more accurately than traditional first- or second-order growth curve models.</w:t>
      </w:r>
    </w:p>
    <w:bookmarkEnd w:id="113"/>
    <w:bookmarkStart w:id="119" w:name="item-response-theory"/>
    <w:p>
      <w:pPr>
        <w:pStyle w:val="Heading3"/>
      </w:pPr>
      <w:r>
        <w:t xml:space="preserve">Item Response Theory</w:t>
      </w:r>
    </w:p>
    <w:p>
      <w:pPr>
        <w:pStyle w:val="FirstParagraph"/>
      </w:pPr>
      <w:r>
        <w:t xml:space="preserve">IRT can also be used to link scores across different measures</w:t>
      </w:r>
      <w:r>
        <w:t xml:space="preserve"> </w:t>
      </w:r>
      <w:r>
        <w:t xml:space="preserve">(</w:t>
      </w:r>
      <w:hyperlink w:anchor="ref-Kolen2014">
        <w:r>
          <w:rPr>
            <w:rStyle w:val="Hyperlink"/>
          </w:rPr>
          <w:t xml:space="preserve">Kolen &amp; Brennan, 2014</w:t>
        </w:r>
      </w:hyperlink>
      <w:r>
        <w:t xml:space="preserve">)</w:t>
      </w:r>
      <w:r>
        <w:t xml:space="preserve">.</w:t>
      </w:r>
      <w:r>
        <w:t xml:space="preserve"> </w:t>
      </w:r>
      <w:r>
        <w:t xml:space="preserve">The IRT approach to developmental scaling is depicted in</w:t>
      </w:r>
      <w:r>
        <w:t xml:space="preserve"> </w:t>
      </w:r>
      <w:hyperlink w:anchor="fig-linking">
        <w:r>
          <w:rPr>
            <w:rStyle w:val="Hyperlink"/>
          </w:rPr>
          <w:t xml:space="preserve">Figure 9</w:t>
        </w:r>
      </w:hyperlink>
      <w:r>
        <w:t xml:space="preserve">.</w:t>
      </w:r>
      <w:r>
        <w:t xml:space="preserve"> </w:t>
      </w:r>
      <w:r>
        <w:t xml:space="preserve">The IRT approach to developmental scaling identifies scaling parameters that minimize the differences in the probability of a person endorsing the age-common items across two measures, at a given construct level.</w:t>
      </w:r>
      <w:r>
        <w:t xml:space="preserve"> </w:t>
      </w:r>
      <w:r>
        <w:t xml:space="preserve">That is, IRT links measures’ scales based on the difficulty and discrimination of the age-common items.</w:t>
      </w:r>
      <w:r>
        <w:t xml:space="preserve"> </w:t>
      </w:r>
      <w:r>
        <w:t xml:space="preserve">In developmental scaling, scores on the construct-valid items at the reference age set the scale; the age-common items adjusts subsequent scores to that scale, and all construct-valid items (i.e., both age-common and age-unique items) at a given timepoint are used to estimate each person’s score on that scale.</w:t>
      </w:r>
      <w:r>
        <w:t xml:space="preserve"> </w:t>
      </w:r>
      <w:r>
        <w:t xml:space="preserve">Thus, the age-common items are used to determine the general form of change on an identical scale, but all developmentally relevant, construct-valid items are used to estimate each person’s construct level on this scale.</w:t>
      </w:r>
      <w:r>
        <w:t xml:space="preserve"> </w:t>
      </w:r>
      <w:r>
        <w:t xml:space="preserve">Traditionally IRT represents the measurement model in discrete time.</w:t>
      </w:r>
      <w:r>
        <w:t xml:space="preserve"> </w:t>
      </w:r>
      <w:r>
        <w:t xml:space="preserve">Like MNFLA, however, IRT (particularly in the mixed model formulation) can represent the measurement model in continuous time and allows testing DIF over time and as a function of multiple variables and continuous variables.</w:t>
      </w:r>
      <w:r>
        <w:t xml:space="preserve"> </w:t>
      </w:r>
      <w:r>
        <w:t xml:space="preserve">Moreover, like MNLFA, it allows simultaneous estimation of growth functions while estimating and accounting for DIF effects.</w:t>
      </w:r>
      <w:r>
        <w:t xml:space="preserve"> </w:t>
      </w:r>
      <w:r>
        <w:t xml:space="preserve">In addition, like MNFLA, IRT allows Bayesian estimation and regularizing priors to identify anchor items without having to specify them in advance.</w:t>
      </w:r>
    </w:p>
    <w:bookmarkStart w:id="117" w:name="fig-linking"/>
    <w:p>
      <w:pPr>
        <w:pStyle w:val="FigureTitle"/>
      </w:pPr>
      <w:r>
        <w:t xml:space="preserve">Figure 9</w:t>
      </w:r>
    </w:p>
    <w:p>
      <w:pPr>
        <w:pStyle w:val="Caption"/>
      </w:pPr>
      <w:r>
        <w:t xml:space="preserve">Example of Linking Scores From Measures Across Ages Using the Item Response Theory Approach to Developmental Scaling</w:t>
      </w:r>
    </w:p>
    <w:p>
      <w:pPr>
        <w:pStyle w:val="FigureWithNote"/>
      </w:pPr>
      <w:r>
        <w:drawing>
          <wp:inline>
            <wp:extent cx="5503598" cy="3669065"/>
            <wp:effectExtent b="0" l="0" r="0" t="0"/>
            <wp:docPr descr="" title="" id="115" name="Picture"/>
            <a:graphic>
              <a:graphicData uri="http://schemas.openxmlformats.org/drawingml/2006/picture">
                <pic:pic>
                  <pic:nvPicPr>
                    <pic:cNvPr descr="Figures/Petersen2021_figure1.png" id="116" name="Picture"/>
                    <pic:cNvPicPr>
                      <a:picLocks noChangeArrowheads="1" noChangeAspect="1"/>
                    </pic:cNvPicPr>
                  </pic:nvPicPr>
                  <pic:blipFill>
                    <a:blip r:embed="rId114"/>
                    <a:stretch>
                      <a:fillRect/>
                    </a:stretch>
                  </pic:blipFill>
                  <pic:spPr bwMode="auto">
                    <a:xfrm>
                      <a:off x="0" y="0"/>
                      <a:ext cx="5503598" cy="3669065"/>
                    </a:xfrm>
                    <a:prstGeom prst="rect">
                      <a:avLst/>
                    </a:prstGeom>
                    <a:noFill/>
                    <a:ln w="9525">
                      <a:noFill/>
                      <a:headEnd/>
                      <a:tailEnd/>
                    </a:ln>
                  </pic:spPr>
                </pic:pic>
              </a:graphicData>
            </a:graphic>
          </wp:inline>
        </w:drawing>
      </w:r>
    </w:p>
    <w:bookmarkEnd w:id="117"/>
    <w:p>
      <w:pPr>
        <w:pStyle w:val="FigureNote"/>
      </w:pPr>
      <w:r>
        <w:rPr>
          <w:i/>
          <w:iCs/>
        </w:rPr>
        <w:t xml:space="preserve">Note</w:t>
      </w:r>
      <w:r>
        <w:t xml:space="preserve">. The figure illustrates the effect of linking the latent externalizing problems scores, θ, across ages, using developmental scaling. The left panel illustrates the test characteristic curves representing the model-implied proportion out of total possible scores across the latent externalizing problems score at age 4 and 5, before the linking process. The right panel illustrates the test characteristic curves after the linking process. The shading between the age 4 and age 5 test characteristic curves represents differences between the two test characteristic curves in terms of discrimination and/or severity, where larger differences reflect scores that are less comparable. Linking minimizes differences between the discrimination and severity of the age-common items. Discrimination is depicted by the steepness of the slope at the inflection point of the test characteristic curve. Severity is represented by the value on the x-axis at the inflection point of the test characteristic curve. The left panel indicates that the externalizing problem items showed higher severity (i.e., its inflection point is further right) and somewhat stronger discrimination (i.e., its slope is steeper) at age 5 than at age 4. The right panel shows considerably smaller differences between the two test characteristic curves, which provides empirical evidence that the linking successfully placed the latent externalizing problem scores across age on a more comparable scale (i.e., more similar discrimination and severity of the age-common items). (Figure reprinted from</w:t>
      </w:r>
      <w:r>
        <w:t xml:space="preserve"> </w:t>
      </w:r>
      <w:r>
        <w:t xml:space="preserve">Petersen and LeBeau (</w:t>
      </w:r>
      <w:hyperlink w:anchor="ref-Petersen2021b">
        <w:r>
          <w:rPr>
            <w:rStyle w:val="Hyperlink"/>
          </w:rPr>
          <w:t xml:space="preserve">2021</w:t>
        </w:r>
      </w:hyperlink>
      <w:r>
        <w:t xml:space="preserve">)</w:t>
      </w:r>
      <w:r>
        <w:t xml:space="preserve">, Figure 1, p. 74. 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8">
        <w:r>
          <w:rPr>
            <w:rStyle w:val="Hyperlink"/>
          </w:rPr>
          <w:t xml:space="preserve">https://doi.org/10.1037/edu0000461</w:t>
        </w:r>
      </w:hyperlink>
      <w:r>
        <w:t xml:space="preserve">).</w:t>
      </w:r>
    </w:p>
    <w:p>
      <w:pPr>
        <w:pStyle w:val="BodyText"/>
      </w:pPr>
      <w:r>
        <w:br/>
      </w:r>
      <w:r>
        <w:t xml:space="preserve">::: {.figure-caption .content-visible when-format=</w:t>
      </w:r>
      <w:r>
        <w:t xml:space="preserve">“html”</w:t>
      </w:r>
      <w:r>
        <w:t xml:space="preserve">}</w:t>
      </w:r>
    </w:p>
    <w:p>
      <w:pPr>
        <w:pStyle w:val="BodyText"/>
      </w:pPr>
      <w:r>
        <w:rPr>
          <w:i/>
          <w:iCs/>
        </w:rPr>
        <w:t xml:space="preserve">Note</w:t>
      </w:r>
      <w:r>
        <w:t xml:space="preserve">.</w:t>
      </w:r>
      <w:r>
        <w:t xml:space="preserve"> </w:t>
      </w:r>
      <w:r>
        <w:t xml:space="preserve">The figure illustrates the effect of linking the latent externalizing problems scores, θ, across ages, using developmental scaling.</w:t>
      </w:r>
      <w:r>
        <w:t xml:space="preserve"> </w:t>
      </w:r>
      <w:r>
        <w:t xml:space="preserve">The left panel illustrates the test characteristic curves representing the model-implied proportion out of total possible scores across the latent externalizing problems score at age 4 and 5, before the linking process.</w:t>
      </w:r>
      <w:r>
        <w:t xml:space="preserve"> </w:t>
      </w:r>
      <w:r>
        <w:t xml:space="preserve">The right panel illustrates the test characteristic curves after the linking process.</w:t>
      </w:r>
      <w:r>
        <w:t xml:space="preserve"> </w:t>
      </w:r>
      <w:r>
        <w:t xml:space="preserve">The shading between the age 4 and age 5 test characteristic curves represents differences between the two test characteristic curves in terms of discrimination and/or severity, where larger differences reflect scores that are less comparable.</w:t>
      </w:r>
      <w:r>
        <w:t xml:space="preserve"> </w:t>
      </w:r>
      <w:r>
        <w:t xml:space="preserve">Linking minimizes differences between the discrimination and severity of the age-common items.</w:t>
      </w:r>
      <w:r>
        <w:t xml:space="preserve"> </w:t>
      </w:r>
      <w:r>
        <w:t xml:space="preserve">Discrimination is depicted by the steepness of the slope at the inflection point of the test characteristic curve.</w:t>
      </w:r>
      <w:r>
        <w:t xml:space="preserve"> </w:t>
      </w:r>
      <w:r>
        <w:t xml:space="preserve">Severity is represented by the value on the x-axis at the inflection point of the test characteristic curve.</w:t>
      </w:r>
      <w:r>
        <w:t xml:space="preserve"> </w:t>
      </w:r>
      <w:r>
        <w:t xml:space="preserve">The left panel indicates that the externalizing problem items showed higher severity (i.e., its inflection point is further right) and somewhat stronger discrimination (i.e., its slope is steeper) at age 5 than at age 4.</w:t>
      </w:r>
      <w:r>
        <w:t xml:space="preserve"> </w:t>
      </w:r>
      <w:r>
        <w:t xml:space="preserve">The right panel shows considerably smaller differences between the two test characteristic curves, which provides empirical evidence that the linking successfully placed the latent externalizing problem scores across age on a more comparable scale (i.e., more similar discrimination and severity of the age-common items).</w:t>
      </w:r>
      <w:r>
        <w:t xml:space="preserve"> </w:t>
      </w:r>
      <w:r>
        <w:t xml:space="preserve">(Figure reprinted from</w:t>
      </w:r>
      <w:r>
        <w:t xml:space="preserve"> </w:t>
      </w:r>
      <w:r>
        <w:t xml:space="preserve">Petersen and LeBeau (</w:t>
      </w:r>
      <w:hyperlink w:anchor="ref-Petersen2021b">
        <w:r>
          <w:rPr>
            <w:rStyle w:val="Hyperlink"/>
          </w:rPr>
          <w:t xml:space="preserve">2021</w:t>
        </w:r>
      </w:hyperlink>
      <w:r>
        <w:t xml:space="preserve">)</w:t>
      </w:r>
      <w:r>
        <w:t xml:space="preserve">, Figure 1, p. 74. 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8">
        <w:r>
          <w:rPr>
            <w:rStyle w:val="Hyperlink"/>
          </w:rPr>
          <w:t xml:space="preserve">https://doi.org/10.1037/edu0000461</w:t>
        </w:r>
      </w:hyperlink>
      <w:r>
        <w:t xml:space="preserve">)</w:t>
      </w:r>
    </w:p>
    <w:p>
      <w:pPr>
        <w:pStyle w:val="BodyText"/>
      </w:pPr>
      <w:r>
        <w:t xml:space="preserve">:::</w:t>
      </w:r>
    </w:p>
    <w:p>
      <w:pPr>
        <w:pStyle w:val="BodyText"/>
      </w:pPr>
      <w:r>
        <w:t xml:space="preserve">Nevertheless, for many of these approaches, at least one anchor item is necessary to link the scale of the latent factor across timepoints</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Moreover, when treating time continuously, the functional form of any DIF as a function of time must be correctly specified</w:t>
      </w:r>
      <w:r>
        <w:t xml:space="preserve"> </w:t>
      </w:r>
      <w:r>
        <w:t xml:space="preserve">(</w:t>
      </w:r>
      <w:hyperlink w:anchor="ref-ChenPM">
        <w:r>
          <w:rPr>
            <w:rStyle w:val="Hyperlink"/>
          </w:rPr>
          <w:t xml:space="preserve">S. M. Chen &amp; Bauer, in press b</w:t>
        </w:r>
      </w:hyperlink>
      <w:r>
        <w:t xml:space="preserve">)</w:t>
      </w:r>
      <w:r>
        <w:t xml:space="preserve">.</w:t>
      </w:r>
    </w:p>
    <w:bookmarkEnd w:id="119"/>
    <w:bookmarkEnd w:id="120"/>
    <w:bookmarkEnd w:id="121"/>
    <w:bookmarkStart w:id="137" w:name="other-key-challenges-to-address"/>
    <w:p>
      <w:pPr>
        <w:pStyle w:val="Heading1"/>
      </w:pPr>
      <w:r>
        <w:t xml:space="preserve">Other Key Challenges to Address</w:t>
      </w:r>
    </w:p>
    <w:p>
      <w:pPr>
        <w:pStyle w:val="FirstParagraph"/>
      </w:pPr>
      <w:r>
        <w:t xml:space="preserve">In addition to linking scores across time to be on the same scale, to study the development of psychopathology across the lifespan, there are additional key challenges to address, including considering and/or addressing potential confounds of change, factorial invariance, integration across multiple sources, and obsolescence of items.</w:t>
      </w:r>
    </w:p>
    <w:bookmarkStart w:id="132" w:name="sec-potential-confounds-of-change"/>
    <w:p>
      <w:pPr>
        <w:pStyle w:val="Heading2"/>
      </w:pPr>
      <w:r>
        <w:t xml:space="preserve">Potential Confounds of Change</w:t>
      </w:r>
    </w:p>
    <w:p>
      <w:pPr>
        <w:pStyle w:val="FirstParagraph"/>
      </w:pPr>
      <w:r>
        <w:t xml:space="preserve">It is important for longitudinal research to consider and, to the extent possible, account for potential confounds of change, such as practice effects, period and cohort effects, measurement error, selective attrition, and changes in the meaning of the scores</w:t>
      </w:r>
      <w:r>
        <w:t xml:space="preserve"> </w:t>
      </w:r>
      <w:r>
        <w:t xml:space="preserve">(</w:t>
      </w:r>
      <w:hyperlink w:anchor="ref-Hertzog2003">
        <w:r>
          <w:rPr>
            <w:rStyle w:val="Hyperlink"/>
          </w:rPr>
          <w:t xml:space="preserve">Hertzog &amp; Nesselroade, 2003</w:t>
        </w:r>
      </w:hyperlink>
      <w:r>
        <w:t xml:space="preserve">)</w:t>
      </w:r>
      <w:r>
        <w:t xml:space="preserve">.</w:t>
      </w:r>
      <w:r>
        <w:t xml:space="preserve"> </w:t>
      </w:r>
      <w:r>
        <w:t xml:space="preserve">By confound of change, we mean that such effects can make it appear that people have changed in their level on the construct when, in reality, they have not changed (or vice versa).</w:t>
      </w:r>
    </w:p>
    <w:bookmarkStart w:id="122" w:name="practiceretest-effects"/>
    <w:p>
      <w:pPr>
        <w:pStyle w:val="Heading3"/>
      </w:pPr>
      <w:r>
        <w:t xml:space="preserve">Practice/Retest Effects</w:t>
      </w:r>
    </w:p>
    <w:p>
      <w:pPr>
        <w:pStyle w:val="FirstParagraph"/>
      </w:pPr>
      <w:r>
        <w:t xml:space="preserve">Practice effects (also called retest effects) occur to the extent that a person’s score changes due to repeated assessment rather than due to changes in their construct level.</w:t>
      </w:r>
      <w:r>
        <w:t xml:space="preserve"> </w:t>
      </w:r>
      <w:r>
        <w:t xml:space="preserve">For instance, if researchers intend to study people’s intelligence across development and they use the same measure and stimuli at each measurement occasion, it is possible that people may perform better over time because they are learning the task and thus improving their score—even if their intelligence has not changed.</w:t>
      </w:r>
      <w:r>
        <w:t xml:space="preserve"> </w:t>
      </w:r>
      <w:r>
        <w:t xml:space="preserve">In a longitudinal study of externalizing problems using repeated surveys, retest effects might be most likely to be detected in the form of decreases for a person across ages, which may reflect fatigue in reporting</w:t>
      </w:r>
      <w:r>
        <w:t xml:space="preserve"> </w:t>
      </w:r>
      <w:r>
        <w:t xml:space="preserve">(</w:t>
      </w:r>
      <w:hyperlink w:anchor="ref-Averdijk2014">
        <w:r>
          <w:rPr>
            <w:rStyle w:val="Hyperlink"/>
          </w:rPr>
          <w:t xml:space="preserve">Averdijk, 2014</w:t>
        </w:r>
      </w:hyperlink>
      <w:r>
        <w:t xml:space="preserve">)</w:t>
      </w:r>
      <w:r>
        <w:t xml:space="preserve">.</w:t>
      </w:r>
      <w:r>
        <w:t xml:space="preserve"> </w:t>
      </w:r>
      <w:r>
        <w:t xml:space="preserve">Lower ratings for an individual across time may be especially likely if the surveys include branching logic such that the respondent learns that additional items appear whenever they endorse an item (and that those additional items would not have appeared had they not endorsed the item).</w:t>
      </w:r>
      <w:r>
        <w:t xml:space="preserve"> </w:t>
      </w:r>
      <w:r>
        <w:t xml:space="preserve">Ways to reduce retest effects include changing the measure and/or stimuli</w:t>
      </w:r>
      <w:r>
        <w:t xml:space="preserve"> </w:t>
      </w:r>
      <w:r>
        <w:t xml:space="preserve">(</w:t>
      </w:r>
      <w:hyperlink w:anchor="ref-Tyrell2019">
        <w:r>
          <w:rPr>
            <w:rStyle w:val="Hyperlink"/>
          </w:rPr>
          <w:t xml:space="preserve">Tyrell et al., 2019</w:t>
        </w:r>
      </w:hyperlink>
      <w:r>
        <w:t xml:space="preserve">)</w:t>
      </w:r>
      <w:r>
        <w:t xml:space="preserve"> </w:t>
      </w:r>
      <w:r>
        <w:t xml:space="preserve">and increasing the retest interval.</w:t>
      </w:r>
      <w:r>
        <w:t xml:space="preserve"> </w:t>
      </w:r>
      <w:r>
        <w:t xml:space="preserve">Thus, an added benefit of accounting for heterotypic continuity (by changing the measure across development to align with changes in the construct manifestation) is the reduction of retest effects.</w:t>
      </w:r>
      <w:r>
        <w:t xml:space="preserve"> </w:t>
      </w:r>
      <w:r>
        <w:t xml:space="preserve">A way to account for retest effects is through the use of accelerated longitudinal (i.e., cross-sequential) designs that can separately estimate the effects of age versus timepoint because, unlike in a single-cohort longitudinal design, age and timepoint are decoupled</w:t>
      </w:r>
      <w:r>
        <w:t xml:space="preserve"> </w:t>
      </w:r>
      <w:r>
        <w:t xml:space="preserve">(</w:t>
      </w:r>
      <w:hyperlink w:anchor="ref-Ferrer2004">
        <w:r>
          <w:rPr>
            <w:rStyle w:val="Hyperlink"/>
          </w:rPr>
          <w:t xml:space="preserve">Ferrer et al., 2004</w:t>
        </w:r>
      </w:hyperlink>
      <w:r>
        <w:t xml:space="preserve">)</w:t>
      </w:r>
      <w:r>
        <w:t xml:space="preserve">.</w:t>
      </w:r>
    </w:p>
    <w:bookmarkEnd w:id="122"/>
    <w:bookmarkStart w:id="128" w:name="period-and-cohort-effects"/>
    <w:p>
      <w:pPr>
        <w:pStyle w:val="Heading3"/>
      </w:pPr>
      <w:r>
        <w:t xml:space="preserve">Period and Cohort Effects</w:t>
      </w:r>
    </w:p>
    <w:p>
      <w:pPr>
        <w:pStyle w:val="FirstParagraph"/>
      </w:pPr>
      <w:r>
        <w:t xml:space="preserve">Researchers are commonly interested in how people develop as a function of age.</w:t>
      </w:r>
      <w:r>
        <w:t xml:space="preserve"> </w:t>
      </w:r>
      <w:r>
        <w:t xml:space="preserve">Age refers to a person’s chronological age at the time of measurement.</w:t>
      </w:r>
      <w:r>
        <w:t xml:space="preserve"> </w:t>
      </w:r>
      <w:r>
        <w:t xml:space="preserve">Age is a proxy for development—a stand-in for the myriad ways in which one’s biology and social roles—and one’s corresponding employment, income, and family structure—change as people age</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However, apparent age-related differences in a cross-sectional or longitudinal study could reflect period or cohort effects instead of development.</w:t>
      </w:r>
      <w:r>
        <w:t xml:space="preserve"> </w:t>
      </w:r>
      <w:r>
        <w:t xml:space="preserve">Thus, it is important to consider and, to the extent possible, account for period and cohort effects.</w:t>
      </w:r>
    </w:p>
    <w:p>
      <w:pPr>
        <w:pStyle w:val="BodyText"/>
      </w:pPr>
      <w:r>
        <w:t xml:space="preserve">Period refers to the historical time at which measurement occurs.</w:t>
      </w:r>
      <w:r>
        <w:t xml:space="preserve"> </w:t>
      </w:r>
      <w:r>
        <w:t xml:space="preserve">If people are assessed during a given time period (e.g., during a war, recession, pandemic, or stressor), their scores could be influenced by the historical time period.</w:t>
      </w:r>
      <w:r>
        <w:t xml:space="preserve"> </w:t>
      </w:r>
      <w:r>
        <w:t xml:space="preserve">The extent to which scores are attributable to the time period (e.g., the economic situation or prevailing standard of living) in which they are assessed is called a period effect.</w:t>
      </w:r>
    </w:p>
    <w:p>
      <w:pPr>
        <w:pStyle w:val="BodyText"/>
      </w:pPr>
      <w:r>
        <w:t xml:space="preserve">Cohort refers to a group of people who experience similar events or historical contexts at similar ages.</w:t>
      </w:r>
      <w:r>
        <w:t xml:space="preserve"> </w:t>
      </w:r>
      <w:r>
        <w:t xml:space="preserve">Cohort commonly refers to birth cohort, which represents the group of people who were born around the same time.</w:t>
      </w:r>
      <w:r>
        <w:t xml:space="preserve"> </w:t>
      </w:r>
      <w:r>
        <w:t xml:space="preserve">If a group of people were born around the same time (e.g., in 1940), their scores may differ from those of people born in other eras because they experienced different historical, social, educational, economic, or technological contexts during development.</w:t>
      </w:r>
      <w:r>
        <w:t xml:space="preserve"> </w:t>
      </w:r>
      <w:r>
        <w:t xml:space="preserve">The extent to which scores are attributable to an individual’s birth cohort is called a cohort effect—that is,</w:t>
      </w:r>
      <w:r>
        <w:t xml:space="preserve"> </w:t>
      </w:r>
      <w:r>
        <w:t xml:space="preserve">“the (enduring, constant) effects of having been a certain age at a certain point in historic time.”</w:t>
      </w:r>
      <w:r>
        <w:t xml:space="preserve"> </w:t>
      </w:r>
      <w:r>
        <w:t xml:space="preserve">(</w:t>
      </w:r>
      <w:hyperlink w:anchor="ref-Rohrer2025">
        <w:r>
          <w:rPr>
            <w:rStyle w:val="Hyperlink"/>
          </w:rPr>
          <w:t xml:space="preserve">Rohrer, 2025, p. 2</w:t>
        </w:r>
      </w:hyperlink>
      <w:r>
        <w:t xml:space="preserve">)</w:t>
      </w:r>
      <w:r>
        <w:t xml:space="preserve">.</w:t>
      </w:r>
      <w:r>
        <w:t xml:space="preserve"> </w:t>
      </w:r>
      <w:r>
        <w:t xml:space="preserve">Period and cohort—like age—are proxy variables for other, causal processes.</w:t>
      </w:r>
    </w:p>
    <w:p>
      <w:pPr>
        <w:pStyle w:val="BodyText"/>
      </w:pPr>
      <w:r>
        <w:t xml:space="preserve">Part of the challenge of estimating the unique contributions of age, period, and cohort is that they are deterministically related.</w:t>
      </w:r>
      <w:r>
        <w:t xml:space="preserve"> </w:t>
      </w:r>
      <w:r>
        <w:t xml:space="preserve">If you know two of these (e.g., age and period), you can determine the third (e.g., cohort).</w:t>
      </w:r>
      <w:r>
        <w:t xml:space="preserve"> </w:t>
      </w:r>
      <w:r>
        <w:t xml:space="preserve">That is,</w:t>
      </w:r>
      <w:r>
        <w:t xml:space="preserve"> </w:t>
      </w:r>
      <m:oMath>
        <m:r>
          <m:rPr>
            <m:nor/>
            <m:sty m:val="p"/>
          </m:rPr>
          <m:t>age</m:t>
        </m:r>
        <m:r>
          <m:rPr>
            <m:sty m:val="p"/>
          </m:rPr>
          <m:t>=</m:t>
        </m:r>
        <m:r>
          <m:rPr>
            <m:nor/>
            <m:sty m:val="p"/>
          </m:rPr>
          <m:t>period</m:t>
        </m:r>
        <m:r>
          <m:rPr>
            <m:sty m:val="p"/>
          </m:rPr>
          <m:t>−</m:t>
        </m:r>
        <m:r>
          <m:rPr>
            <m:nor/>
            <m:sty m:val="p"/>
          </m:rPr>
          <m:t>cohort</m:t>
        </m:r>
      </m:oMath>
      <w:r>
        <w:t xml:space="preserve">.</w:t>
      </w:r>
    </w:p>
    <w:p>
      <w:pPr>
        <w:pStyle w:val="BodyText"/>
      </w:pPr>
      <w:r>
        <w:t xml:space="preserve">Various types of cross-sectional and longitudinal designs are depicted in</w:t>
      </w:r>
      <w:r>
        <w:t xml:space="preserve"> </w:t>
      </w:r>
      <w:hyperlink w:anchor="fig-longitudinalDesigns">
        <w:r>
          <w:rPr>
            <w:rStyle w:val="Hyperlink"/>
          </w:rPr>
          <w:t xml:space="preserve">Figure 10</w:t>
        </w:r>
      </w:hyperlink>
      <w:r>
        <w:t xml:space="preserve">.</w:t>
      </w:r>
      <w:r>
        <w:t xml:space="preserve"> </w:t>
      </w:r>
      <w:r>
        <w:t xml:space="preserve">In a cross-sectional study, any age-related differences are confounded with cohort differences.</w:t>
      </w:r>
      <w:r>
        <w:t xml:space="preserve"> </w:t>
      </w:r>
      <w:r>
        <w:t xml:space="preserve">Thus, age-related differences in a cross-sectional study may not reflect development.</w:t>
      </w:r>
      <w:r>
        <w:t xml:space="preserve"> </w:t>
      </w:r>
      <w:r>
        <w:t xml:space="preserve">In a single-cohort longitudinal design, any observed changes with age could be due to period effects (rather than developmental change associated with aging) or could be specific to that cohort.</w:t>
      </w:r>
      <w:r>
        <w:t xml:space="preserve"> </w:t>
      </w:r>
      <w:r>
        <w:t xml:space="preserve">To combat these limitations, studies may employ longitudinal sequential designs that incorporate multiple cohorts, such as time-sequential, cross-sequential, or cohort-sequential designs.</w:t>
      </w:r>
      <w:r>
        <w:t xml:space="preserve"> </w:t>
      </w:r>
      <w:r>
        <w:t xml:space="preserve">For instance, a cross-sequential study (also called accelerated longitudinal study) starts as a cross-sectional study with participants from multiple cohorts, and then follows the participants longitudinally.</w:t>
      </w:r>
      <w:r>
        <w:t xml:space="preserve"> </w:t>
      </w:r>
      <w:r>
        <w:t xml:space="preserve">In a cohort-sequential design, multiple cohorts enter the study at the same age (e.g., age 22) and are then followed longitudinally (typically across the same duration and ages), like starting a longitudinal study at the same age over and over again.</w:t>
      </w:r>
      <w:r>
        <w:t xml:space="preserve"> </w:t>
      </w:r>
      <w:r>
        <w:t xml:space="preserve">A time-sequential design is an extension of a time-lag design.</w:t>
      </w:r>
      <w:r>
        <w:t xml:space="preserve"> </w:t>
      </w:r>
      <w:r>
        <w:t xml:space="preserve">A time-lag design assesses multiple cohorts at the same age (e.g., age 12).</w:t>
      </w:r>
      <w:r>
        <w:t xml:space="preserve"> </w:t>
      </w:r>
      <w:r>
        <w:t xml:space="preserve">A time-sequential design adds age groups to a time-lag design, repeatedly assessing the same age range (e.g., ages 12–18), with some participants followed longitudinally.</w:t>
      </w:r>
    </w:p>
    <w:bookmarkStart w:id="126" w:name="fig-longitudinalDesigns"/>
    <w:p>
      <w:pPr>
        <w:pStyle w:val="FigureTitle"/>
      </w:pPr>
      <w:r>
        <w:t xml:space="preserve">Figure 10</w:t>
      </w:r>
    </w:p>
    <w:p>
      <w:pPr>
        <w:pStyle w:val="Caption"/>
      </w:pPr>
      <w:r>
        <w:t xml:space="preserve">Research Designs by Time of Measurement and Cohort</w:t>
      </w:r>
    </w:p>
    <w:p>
      <w:pPr>
        <w:pStyle w:val="FigureWithNote"/>
      </w:pPr>
      <w:r>
        <w:drawing>
          <wp:inline>
            <wp:extent cx="5943600" cy="6619717"/>
            <wp:effectExtent b="0" l="0" r="0" t="0"/>
            <wp:docPr descr="" title="" id="124" name="Picture"/>
            <a:graphic>
              <a:graphicData uri="http://schemas.openxmlformats.org/drawingml/2006/picture">
                <pic:pic>
                  <pic:nvPicPr>
                    <pic:cNvPr descr="Figures/longitudinalDesigns.png" id="125" name="Picture"/>
                    <pic:cNvPicPr>
                      <a:picLocks noChangeArrowheads="1" noChangeAspect="1"/>
                    </pic:cNvPicPr>
                  </pic:nvPicPr>
                  <pic:blipFill>
                    <a:blip r:embed="rId123"/>
                    <a:stretch>
                      <a:fillRect/>
                    </a:stretch>
                  </pic:blipFill>
                  <pic:spPr bwMode="auto">
                    <a:xfrm>
                      <a:off x="0" y="0"/>
                      <a:ext cx="5943600" cy="6619717"/>
                    </a:xfrm>
                    <a:prstGeom prst="rect">
                      <a:avLst/>
                    </a:prstGeom>
                    <a:noFill/>
                    <a:ln w="9525">
                      <a:noFill/>
                      <a:headEnd/>
                      <a:tailEnd/>
                    </a:ln>
                  </pic:spPr>
                </pic:pic>
              </a:graphicData>
            </a:graphic>
          </wp:inline>
        </w:drawing>
      </w:r>
    </w:p>
    <w:bookmarkEnd w:id="126"/>
    <w:p>
      <w:pPr>
        <w:pStyle w:val="FigureNote"/>
      </w:pPr>
      <w:r>
        <w:rPr>
          <w:i/>
          <w:iCs/>
        </w:rPr>
        <w:t xml:space="preserve">Note</w:t>
      </w:r>
      <w:r>
        <w:t xml:space="preserve">. Values in the cells are ages of the participants. Dashed line indicates different participants were assessed at each time of measurement. (Figure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27">
        <w:r>
          <w:rPr>
            <w:rStyle w:val="Hyperlink"/>
          </w:rPr>
          <w:t xml:space="preserve">https://doi.org/10.25820/work.007199</w:t>
        </w:r>
      </w:hyperlink>
      <w:r>
        <w:t xml:space="preserve">). Although the depictions of cohort-sequential and cross-sequential designs differ from the depictions by</w:t>
      </w:r>
      <w:r>
        <w:t xml:space="preserve"> </w:t>
      </w:r>
      <w:r>
        <w:t xml:space="preserve">Schaie (</w:t>
      </w:r>
      <w:hyperlink w:anchor="ref-Schaie2005">
        <w:r>
          <w:rPr>
            <w:rStyle w:val="Hyperlink"/>
          </w:rPr>
          <w:t xml:space="preserve">2005</w:t>
        </w:r>
      </w:hyperlink>
      <w:r>
        <w:t xml:space="preserve">)</w:t>
      </w:r>
      <w:r>
        <w:t xml:space="preserve"> </w:t>
      </w:r>
      <w:r>
        <w:t xml:space="preserve">(i.e., they are reversed), they are consistent with contemporary definitions of these designs</w:t>
      </w:r>
      <w:r>
        <w:t xml:space="preserve"> </w:t>
      </w:r>
      <w:r>
        <w:t xml:space="preserve">(</w:t>
      </w:r>
      <w:hyperlink w:anchor="ref-Little2024">
        <w:r>
          <w:rPr>
            <w:rStyle w:val="Hyperlink"/>
          </w:rPr>
          <w:t xml:space="preserve">Little, 2024</w:t>
        </w:r>
      </w:hyperlink>
      <w:r>
        <w:t xml:space="preserve">;</w:t>
      </w:r>
      <w:r>
        <w:t xml:space="preserve"> </w:t>
      </w:r>
      <w:hyperlink w:anchor="ref-Masche2004">
        <w:r>
          <w:rPr>
            <w:rStyle w:val="Hyperlink"/>
          </w:rPr>
          <w:t xml:space="preserve">Masche &amp; Dulmen, 2004</w:t>
        </w:r>
      </w:hyperlink>
      <w:r>
        <w:t xml:space="preserve">;</w:t>
      </w:r>
      <w:r>
        <w:t xml:space="preserve"> </w:t>
      </w:r>
      <w:hyperlink w:anchor="ref-Whitbourne2019">
        <w:r>
          <w:rPr>
            <w:rStyle w:val="Hyperlink"/>
          </w:rPr>
          <w:t xml:space="preserve">Whitbourne, 2019</w:t>
        </w:r>
      </w:hyperlink>
      <w:r>
        <w:t xml:space="preserve">)</w:t>
      </w:r>
      <w:r>
        <w:t xml:space="preserve">.</w:t>
      </w:r>
    </w:p>
    <w:p>
      <w:pPr>
        <w:pStyle w:val="BodyText"/>
      </w:pPr>
      <w:r>
        <w:br/>
      </w:r>
      <w:r>
        <w:t xml:space="preserve">::: {.figure-caption .content-visible when-format=</w:t>
      </w:r>
      <w:r>
        <w:t xml:space="preserve">“html”</w:t>
      </w:r>
      <w:r>
        <w:t xml:space="preserve">}</w:t>
      </w:r>
    </w:p>
    <w:p>
      <w:pPr>
        <w:pStyle w:val="BodyText"/>
      </w:pPr>
      <w:r>
        <w:rPr>
          <w:i/>
          <w:iCs/>
        </w:rPr>
        <w:t xml:space="preserve">Note</w:t>
      </w:r>
      <w:r>
        <w:t xml:space="preserve">.</w:t>
      </w:r>
      <w:r>
        <w:t xml:space="preserve"> </w:t>
      </w:r>
      <w:r>
        <w:t xml:space="preserve">Values in the cells are ages of the participants.</w:t>
      </w:r>
      <w:r>
        <w:t xml:space="preserve"> </w:t>
      </w:r>
      <w:r>
        <w:t xml:space="preserve">Dashed line indicates different participants were assessed at each time of measurement.</w:t>
      </w:r>
      <w:r>
        <w:t xml:space="preserve"> </w:t>
      </w:r>
      <w:r>
        <w:t xml:space="preserve">(Figure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27">
        <w:r>
          <w:rPr>
            <w:rStyle w:val="Hyperlink"/>
          </w:rPr>
          <w:t xml:space="preserve">https://doi.org/10.25820/work.007199</w:t>
        </w:r>
      </w:hyperlink>
      <w:r>
        <w:t xml:space="preserve">).</w:t>
      </w:r>
      <w:r>
        <w:t xml:space="preserve"> </w:t>
      </w:r>
      <w:r>
        <w:t xml:space="preserve">Although the depictions of cohort-sequential and cross-sequential designs differ from the depictions by</w:t>
      </w:r>
      <w:r>
        <w:t xml:space="preserve"> </w:t>
      </w:r>
      <w:r>
        <w:t xml:space="preserve">Schaie (</w:t>
      </w:r>
      <w:hyperlink w:anchor="ref-Schaie2005">
        <w:r>
          <w:rPr>
            <w:rStyle w:val="Hyperlink"/>
          </w:rPr>
          <w:t xml:space="preserve">2005</w:t>
        </w:r>
      </w:hyperlink>
      <w:r>
        <w:t xml:space="preserve">)</w:t>
      </w:r>
      <w:r>
        <w:t xml:space="preserve"> </w:t>
      </w:r>
      <w:r>
        <w:t xml:space="preserve">(i.e., they are reversed), they are consistent with contemporary definitions of these designs</w:t>
      </w:r>
      <w:r>
        <w:t xml:space="preserve"> </w:t>
      </w:r>
      <w:r>
        <w:t xml:space="preserve">(</w:t>
      </w:r>
      <w:hyperlink w:anchor="ref-Little2024">
        <w:r>
          <w:rPr>
            <w:rStyle w:val="Hyperlink"/>
          </w:rPr>
          <w:t xml:space="preserve">Little, 2024</w:t>
        </w:r>
      </w:hyperlink>
      <w:r>
        <w:t xml:space="preserve">;</w:t>
      </w:r>
      <w:r>
        <w:t xml:space="preserve"> </w:t>
      </w:r>
      <w:hyperlink w:anchor="ref-Masche2004">
        <w:r>
          <w:rPr>
            <w:rStyle w:val="Hyperlink"/>
          </w:rPr>
          <w:t xml:space="preserve">Masche &amp; Dulmen, 2004</w:t>
        </w:r>
      </w:hyperlink>
      <w:r>
        <w:t xml:space="preserve">;</w:t>
      </w:r>
      <w:r>
        <w:t xml:space="preserve"> </w:t>
      </w:r>
      <w:hyperlink w:anchor="ref-Whitbourne2019">
        <w:r>
          <w:rPr>
            <w:rStyle w:val="Hyperlink"/>
          </w:rPr>
          <w:t xml:space="preserve">Whitbourne, 2019</w:t>
        </w:r>
      </w:hyperlink>
      <w:r>
        <w:t xml:space="preserve">)</w:t>
      </w:r>
      <w:r>
        <w:t xml:space="preserve">.</w:t>
      </w:r>
    </w:p>
    <w:p>
      <w:pPr>
        <w:pStyle w:val="BodyText"/>
      </w:pPr>
      <w:r>
        <w:t xml:space="preserve">:::</w:t>
      </w:r>
    </w:p>
    <w:p>
      <w:pPr>
        <w:pStyle w:val="BodyText"/>
      </w:pPr>
      <w:r>
        <w:t xml:space="preserve">Longitudinal sequential designs provide greater leverage for distinguishing age, period, and cohort influences by collecting information from multiple cohorts at multiple periods and ages.</w:t>
      </w:r>
      <w:r>
        <w:t xml:space="preserve"> </w:t>
      </w:r>
      <w:r>
        <w:t xml:space="preserve">Nevertheless, they do not eliminate the confounding between age, period, and cohort</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No research design can fully disentangle age, period, and cohort effects.</w:t>
      </w:r>
      <w:r>
        <w:t xml:space="preserve"> </w:t>
      </w:r>
      <w:r>
        <w:t xml:space="preserve">Confidence that observed age-related differences reflect developmental change increases when there is converging evidence across multiple research designs.</w:t>
      </w:r>
      <w:r>
        <w:t xml:space="preserve"> </w:t>
      </w:r>
      <w:r>
        <w:t xml:space="preserve">However, in a given study, there may be ways to account for period or cohort effects.</w:t>
      </w:r>
      <w:r>
        <w:t xml:space="preserve"> </w:t>
      </w:r>
      <w:r>
        <w:t xml:space="preserve">For instance, in an accelerated longitudinal study, it would be valuable to evaluate the extent to which the differing cohorts are comparable—i.e., that they show similar scores at the same ages.</w:t>
      </w:r>
      <w:r>
        <w:t xml:space="preserve"> </w:t>
      </w:r>
      <w:r>
        <w:t xml:space="preserve">Moreover, there is an entire set of analytic approaches, known as age-period-cohort analysis</w:t>
      </w:r>
      <w:r>
        <w:t xml:space="preserve"> </w:t>
      </w:r>
      <w:r>
        <w:t xml:space="preserve">(</w:t>
      </w:r>
      <w:hyperlink w:anchor="ref-Yang2013">
        <w:r>
          <w:rPr>
            <w:rStyle w:val="Hyperlink"/>
          </w:rPr>
          <w:t xml:space="preserve">Yang &amp; Land, 2013</w:t>
        </w:r>
      </w:hyperlink>
      <w:r>
        <w:t xml:space="preserve">)</w:t>
      </w:r>
      <w:r>
        <w:t xml:space="preserve">, whose goal is to disentangle the effects of age, period, and cohort.</w:t>
      </w:r>
      <w:r>
        <w:t xml:space="preserve"> </w:t>
      </w:r>
      <w:r>
        <w:t xml:space="preserve">Rohrer (</w:t>
      </w:r>
      <w:hyperlink w:anchor="ref-Rohrer2025">
        <w:r>
          <w:rPr>
            <w:rStyle w:val="Hyperlink"/>
          </w:rPr>
          <w:t xml:space="preserve">2025</w:t>
        </w:r>
      </w:hyperlink>
      <w:r>
        <w:t xml:space="preserve">)</w:t>
      </w:r>
      <w:r>
        <w:t xml:space="preserve"> </w:t>
      </w:r>
      <w:r>
        <w:t xml:space="preserve">provides additional suggestions for considering age, period, and cohort effects.</w:t>
      </w:r>
    </w:p>
    <w:bookmarkEnd w:id="128"/>
    <w:bookmarkStart w:id="129" w:name="measurement-error"/>
    <w:p>
      <w:pPr>
        <w:pStyle w:val="Heading3"/>
      </w:pPr>
      <w:r>
        <w:t xml:space="preserve">Measurement Error</w:t>
      </w:r>
    </w:p>
    <w:p>
      <w:pPr>
        <w:pStyle w:val="FirstParagraph"/>
      </w:pPr>
      <w:r>
        <w:t xml:space="preserve">Measurement error is another potential confound of change that can make it look like change has occurred when, in reality, change has not occurred.</w:t>
      </w:r>
      <w:r>
        <w:t xml:space="preserve"> </w:t>
      </w:r>
      <w:r>
        <w:t xml:space="preserve">Consider the difference between scores at two measurement occasions, a so called</w:t>
      </w:r>
      <w:r>
        <w:t xml:space="preserve"> </w:t>
      </w:r>
      <w:r>
        <w:t xml:space="preserve">“difference score,”</w:t>
      </w:r>
      <w:r>
        <w:t xml:space="preserve"> </w:t>
      </w:r>
      <w:r>
        <w:t xml:space="preserve">which is a common way of examining change.</w:t>
      </w:r>
      <w:r>
        <w:t xml:space="preserve"> </w:t>
      </w:r>
      <w:r>
        <w:t xml:space="preserve">Difference scores are notoriously unreliable.</w:t>
      </w:r>
      <w:r>
        <w:t xml:space="preserve"> </w:t>
      </w:r>
      <w:r>
        <w:t xml:space="preserve">Difference scores tend to be lower in reliability than each of the indices that comprise it, especially when the two indexes are correlated because differences depend on the reliability of both indices in the subtraction</w:t>
      </w:r>
      <w:r>
        <w:t xml:space="preserve"> </w:t>
      </w:r>
      <w:r>
        <w:t xml:space="preserve">(</w:t>
      </w:r>
      <w:hyperlink w:anchor="ref-Revelle2019">
        <w:r>
          <w:rPr>
            <w:rStyle w:val="Hyperlink"/>
          </w:rPr>
          <w:t xml:space="preserve">Revelle &amp; Condon, 2019</w:t>
        </w:r>
      </w:hyperlink>
      <w:r>
        <w:t xml:space="preserve">)</w:t>
      </w:r>
      <w:r>
        <w:t xml:space="preserve">.</w:t>
      </w:r>
      <w:r>
        <w:t xml:space="preserve"> </w:t>
      </w:r>
      <w:r>
        <w:t xml:space="preserve">To be reliable, difference scores require high reliability of the individual indices compared to the correlation between them.</w:t>
      </w:r>
      <w:r>
        <w:t xml:space="preserve"> </w:t>
      </w:r>
      <w:r>
        <w:t xml:space="preserve">That is, the more two things are the same thing, the more likely that subtracting one from the other leaves measurement error rather than construct variance.</w:t>
      </w:r>
      <w:r>
        <w:t xml:space="preserve"> </w:t>
      </w:r>
      <w:r>
        <w:t xml:space="preserve">Ways of accounting for (random) measurement error include (a) combining multiple measures in estimation of a latent variable and (b) using growth curve models with at least three timepoints to estimate model-implied trajectories and reduce the influence of occasion-specific random error.</w:t>
      </w:r>
    </w:p>
    <w:p>
      <w:pPr>
        <w:pStyle w:val="BodyText"/>
      </w:pPr>
      <w:r>
        <w:t xml:space="preserve">In general, the inference of change is strengthened to the extent that: (a) the magnitude of the difference between the scores at the timepoints is large (i.e., a large effect size), (b) the measurement error (unreliability) at each timepoint is small, (c) the measure has the same meaning and is on a comparable scale at each timepoint, and (d) evidence suggests that the differences across time are not likely to be due to potential confounds of change such as practice effects, cohort effects, period effects, or selective attrition.</w:t>
      </w:r>
    </w:p>
    <w:bookmarkEnd w:id="129"/>
    <w:bookmarkStart w:id="130" w:name="selective-missingness-and-attrition"/>
    <w:p>
      <w:pPr>
        <w:pStyle w:val="Heading3"/>
      </w:pPr>
      <w:r>
        <w:t xml:space="preserve">Selective Missingness and Attrition</w:t>
      </w:r>
    </w:p>
    <w:p>
      <w:pPr>
        <w:pStyle w:val="FirstParagraph"/>
      </w:pPr>
      <w:r>
        <w:t xml:space="preserve">Another potential confound of change is selective (or systematic) missingness or attrition.</w:t>
      </w:r>
      <w:r>
        <w:t xml:space="preserve"> </w:t>
      </w:r>
      <w:r>
        <w:t xml:space="preserve">If people who drop out of a longitudinal study differ in systematic ways from those who are retained, inferences about growth patterns and about associations with growth parameters can be biased.</w:t>
      </w:r>
      <w:r>
        <w:t xml:space="preserve"> </w:t>
      </w:r>
      <w:r>
        <w:t xml:space="preserve">Consider an intervention study with two groups: a treatment group that received medication and a control group that received a placebo.</w:t>
      </w:r>
      <w:r>
        <w:t xml:space="preserve"> </w:t>
      </w:r>
      <w:r>
        <w:t xml:space="preserve">The control group showed a 30% reduction in externalizing problems, on average.</w:t>
      </w:r>
      <w:r>
        <w:t xml:space="preserve"> </w:t>
      </w:r>
      <w:r>
        <w:t xml:space="preserve">In the treatment group, some individuals showed a reduction in externalizing problems whereas others dropped out of the study due to side effects or worsening behavior.</w:t>
      </w:r>
      <w:r>
        <w:t xml:space="preserve"> </w:t>
      </w:r>
      <w:r>
        <w:t xml:space="preserve">If we analyzed only those who were followed until the end of the study, it might appear that the treatment was effective merely because we were excluding individuals for whom the treatment was harmful.</w:t>
      </w:r>
      <w:r>
        <w:t xml:space="preserve"> </w:t>
      </w:r>
      <w:r>
        <w:t xml:space="preserve">Thus, it is important to report the extent of missingness, whether missingness is systematically related to demographic and study variables, and to leverage modern approaches for handling missing data so that one does not exclude participants in the analysis merely because they have missing data</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Multiple imputation and full information maximum likelihood are useful if data are missing at random or completely at random</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Enders</w:t>
      </w:r>
      <w:r>
        <w:t xml:space="preserve"> </w:t>
      </w:r>
      <w:r>
        <w:t xml:space="preserve">(</w:t>
      </w:r>
      <w:hyperlink w:anchor="ref-Enders2022">
        <w:r>
          <w:rPr>
            <w:rStyle w:val="Hyperlink"/>
          </w:rPr>
          <w:t xml:space="preserve">2022</w:t>
        </w:r>
      </w:hyperlink>
      <w:r>
        <w:t xml:space="preserve">,</w:t>
      </w:r>
      <w:r>
        <w:t xml:space="preserve"> </w:t>
      </w:r>
      <w:hyperlink w:anchor="ref-Enders2025">
        <w:r>
          <w:rPr>
            <w:rStyle w:val="Hyperlink"/>
          </w:rPr>
          <w:t xml:space="preserve">2025</w:t>
        </w:r>
      </w:hyperlink>
      <w:r>
        <w:t xml:space="preserve">)</w:t>
      </w:r>
      <w:r>
        <w:t xml:space="preserve"> </w:t>
      </w:r>
      <w:r>
        <w:t xml:space="preserve">provides contemporary guidelines for handling missing data, including when data are missing not at random using selection models and pattern mixture models—including in longitudinal studies</w:t>
      </w:r>
      <w:r>
        <w:t xml:space="preserve"> </w:t>
      </w:r>
      <w:r>
        <w:t xml:space="preserve">(</w:t>
      </w:r>
      <w:hyperlink w:anchor="ref-Enders2022">
        <w:r>
          <w:rPr>
            <w:rStyle w:val="Hyperlink"/>
          </w:rPr>
          <w:t xml:space="preserve">Enders, 2022</w:t>
        </w:r>
      </w:hyperlink>
      <w:r>
        <w:t xml:space="preserve">)</w:t>
      </w:r>
      <w:r>
        <w:t xml:space="preserve">.</w:t>
      </w:r>
      <w:r>
        <w:t xml:space="preserve"> </w:t>
      </w:r>
      <w:r>
        <w:t xml:space="preserve">Nicholson et al. (</w:t>
      </w:r>
      <w:hyperlink w:anchor="ref-Nicholson2017">
        <w:r>
          <w:rPr>
            <w:rStyle w:val="Hyperlink"/>
          </w:rPr>
          <w:t xml:space="preserve">2017</w:t>
        </w:r>
      </w:hyperlink>
      <w:r>
        <w:t xml:space="preserve">)</w:t>
      </w:r>
      <w:r>
        <w:t xml:space="preserve"> </w:t>
      </w:r>
      <w:r>
        <w:t xml:space="preserve">provides recommendations for reporting about attrition and missingness in longitudinal studies.</w:t>
      </w:r>
    </w:p>
    <w:bookmarkEnd w:id="130"/>
    <w:bookmarkStart w:id="131" w:name="change-in-meaning-of-the-scores"/>
    <w:p>
      <w:pPr>
        <w:pStyle w:val="Heading3"/>
      </w:pPr>
      <w:r>
        <w:t xml:space="preserve">Change in Meaning of the Scores</w:t>
      </w:r>
    </w:p>
    <w:p>
      <w:pPr>
        <w:pStyle w:val="FirstParagraph"/>
      </w:pPr>
      <w:r>
        <w:t xml:space="preserve">Another potential confound of change is if the same score has different meaning (with respect to the construct) at different points in development.</w:t>
      </w:r>
      <w:r>
        <w:t xml:space="preserve"> </w:t>
      </w:r>
      <w:r>
        <w:t xml:space="preserve">That is, the scores are not on the same number line across time—they do not have the same scale or location across ages.</w:t>
      </w:r>
      <w:r>
        <w:t xml:space="preserve"> </w:t>
      </w:r>
      <w:r>
        <w:t xml:space="preserve">If scores do not have the same scale or location across ages, any inferences about change (or lack thereof) could be incorrect.</w:t>
      </w:r>
      <w:r>
        <w:t xml:space="preserve"> </w:t>
      </w:r>
      <w:r>
        <w:t xml:space="preserve">Consider, for example, if a behavior such as physical aggression becomes more severe (i.e., higher difficulty) with age.</w:t>
      </w:r>
      <w:r>
        <w:t xml:space="preserve"> </w:t>
      </w:r>
      <w:r>
        <w:t xml:space="preserve">In this example, the same score—i.e., endorsement of physical aggression—would reflect a higher level of externalizing behavior in adulthood compared to early childhood.</w:t>
      </w:r>
      <w:r>
        <w:t xml:space="preserve"> </w:t>
      </w:r>
      <w:r>
        <w:t xml:space="preserve">Or, consider if a behavior such as disobedience becomes less construct-valid (i.e., lower discrimination) with age.</w:t>
      </w:r>
      <w:r>
        <w:t xml:space="preserve"> </w:t>
      </w:r>
      <w:r>
        <w:t xml:space="preserve">In this example, the same score difference—i.e., between endorsement (1) versus non-endorsement (0) of disobedience to authority—would reflect a greater difference in the level of externalizing behavior in early childhood compared to adulthood.</w:t>
      </w:r>
      <w:r>
        <w:t xml:space="preserve"> </w:t>
      </w:r>
      <w:r>
        <w:t xml:space="preserve">Thus, it is important to consider and account for changes in the meaning of scores across development.</w:t>
      </w:r>
      <w:r>
        <w:t xml:space="preserve"> </w:t>
      </w:r>
      <w:r>
        <w:t xml:space="preserve">If a measure changes in the construct it assesses, this is called construct shift.</w:t>
      </w:r>
      <w:r>
        <w:t xml:space="preserve"> </w:t>
      </w:r>
      <w:r>
        <w:t xml:space="preserve">Next, we describe longitudinal factorial invariance as a way to evaluate—and account for—the possibility that scores have changed in meaning across ages.</w:t>
      </w:r>
    </w:p>
    <w:bookmarkEnd w:id="131"/>
    <w:bookmarkEnd w:id="132"/>
    <w:bookmarkStart w:id="134" w:name="factorial-invariance-across-time"/>
    <w:p>
      <w:pPr>
        <w:pStyle w:val="Heading2"/>
      </w:pPr>
      <w:r>
        <w:t xml:space="preserve">Factorial Invariance Across Time</w:t>
      </w:r>
    </w:p>
    <w:p>
      <w:pPr>
        <w:pStyle w:val="FirstParagraph"/>
      </w:pPr>
      <w:r>
        <w:t xml:space="preserve">Traditionally, it had been considered necessary to establish factorial invariance</w:t>
      </w:r>
      <w:r>
        <w:rPr>
          <w:rStyle w:val="FootnoteReference"/>
        </w:rPr>
        <w:footnoteReference w:id="133"/>
      </w:r>
      <w:r>
        <w:t xml:space="preserve"> </w:t>
      </w:r>
      <w:r>
        <w:t xml:space="preserve">of the measure(s) across time—that is, the measure(s) assess the construct in the same way across time—to study individuals’ change in those constructs</w:t>
      </w:r>
      <w:r>
        <w:t xml:space="preserve"> </w:t>
      </w:r>
      <w:r>
        <w:t xml:space="preserve">(</w:t>
      </w:r>
      <w:hyperlink w:anchor="ref-Widaman2010">
        <w:r>
          <w:rPr>
            <w:rStyle w:val="Hyperlink"/>
          </w:rPr>
          <w:t xml:space="preserve">Widaman et al., 2010</w:t>
        </w:r>
      </w:hyperlink>
      <w:r>
        <w:t xml:space="preserve">)</w:t>
      </w:r>
      <w:r>
        <w:t xml:space="preserve">.</w:t>
      </w:r>
      <w:r>
        <w:t xml:space="preserve"> </w:t>
      </w:r>
      <w:r>
        <w:t xml:space="preserve">As described earlier, a goal of longitudinal factorial invariance is to increase confidence that the latent factor at multiple timepoints is on the same scale so that meaningful changes in people’s level can be observed.</w:t>
      </w:r>
      <w:r>
        <w:t xml:space="preserve"> </w:t>
      </w:r>
      <w:r>
        <w:t xml:space="preserve">It had been considered necessary to establish at least strong factorial invariance—i.e., invariance of intercepts and factor loadings in factor analysis, or invariance of difficulty and discrimination in item response theory.</w:t>
      </w:r>
      <w:r>
        <w:t xml:space="preserve"> </w:t>
      </w:r>
      <w:r>
        <w:t xml:space="preserve">Otherwise, a researcher may wrongly conclude that levels in the construct change over time when the apparent changes in the observed scores (and the latent variables) are driven by noninvariant loadings and/or intercepts for one or more items</w:t>
      </w:r>
      <w:r>
        <w:t xml:space="preserve"> </w:t>
      </w:r>
      <w:r>
        <w:t xml:space="preserve">(</w:t>
      </w:r>
      <w:hyperlink w:anchor="ref-Lai2023">
        <w:r>
          <w:rPr>
            <w:rStyle w:val="Hyperlink"/>
          </w:rPr>
          <w:t xml:space="preserve">Lai, 2023</w:t>
        </w:r>
      </w:hyperlink>
      <w:r>
        <w:t xml:space="preserve">)</w:t>
      </w:r>
      <w:r>
        <w:t xml:space="preserve">.</w:t>
      </w:r>
      <w:r>
        <w:t xml:space="preserve"> </w:t>
      </w:r>
      <w:r>
        <w:t xml:space="preserve">However, it is now understood that violations of longitudinal factorial invariance do not mean that questions of change cannot be answered</w:t>
      </w:r>
      <w:r>
        <w:t xml:space="preserve"> </w:t>
      </w:r>
      <w:r>
        <w:t xml:space="preserve">(</w:t>
      </w:r>
      <w:hyperlink w:anchor="ref-Lai2023">
        <w:r>
          <w:rPr>
            <w:rStyle w:val="Hyperlink"/>
          </w:rPr>
          <w:t xml:space="preserve">Lai, 2023</w:t>
        </w:r>
      </w:hyperlink>
      <w:r>
        <w:t xml:space="preserve">)</w:t>
      </w:r>
      <w:r>
        <w:t xml:space="preserve">.</w:t>
      </w:r>
      <w:r>
        <w:t xml:space="preserve"> </w:t>
      </w:r>
      <w:r>
        <w:t xml:space="preserve">Strong factorial invariance frequently does not hold, so in such situations, it may be necessary to find ways to accommodate or adjust for noninvariance</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At least partial strong factorial invariance (i.e., invariance of intercepts and factor loadings for a subset of items—the anchor items) is often considered a requirement for modeling individuals’ change, such that the more items that show invariance, the greater the confidence that the latent factor is on a comparable scale at each age for examining individuals’ change.</w:t>
      </w:r>
      <w:r>
        <w:t xml:space="preserve"> </w:t>
      </w:r>
      <w:r>
        <w:t xml:space="preserve">However, even that requirement may be too strong.</w:t>
      </w:r>
      <w:r>
        <w:t xml:space="preserve"> </w:t>
      </w:r>
      <w:r>
        <w:t xml:space="preserve">Researchers have argued that, in many cases, establishing factorial invariance may be unnecessary to compare latent means</w:t>
      </w:r>
      <w:r>
        <w:t xml:space="preserve"> </w:t>
      </w:r>
      <w:r>
        <w:t xml:space="preserve">(</w:t>
      </w:r>
      <w:hyperlink w:anchor="ref-DeLosReyes2025">
        <w:r>
          <w:rPr>
            <w:rStyle w:val="Hyperlink"/>
          </w:rPr>
          <w:t xml:space="preserve">De Los Reyes et al., 2025</w:t>
        </w:r>
      </w:hyperlink>
      <w:r>
        <w:t xml:space="preserve">;</w:t>
      </w:r>
      <w:r>
        <w:t xml:space="preserve"> </w:t>
      </w:r>
      <w:hyperlink w:anchor="ref-Funder2024">
        <w:r>
          <w:rPr>
            <w:rStyle w:val="Hyperlink"/>
          </w:rPr>
          <w:t xml:space="preserve">Funder &amp; Gardiner, 2024</w:t>
        </w:r>
      </w:hyperlink>
      <w:r>
        <w:t xml:space="preserve">;</w:t>
      </w:r>
      <w:r>
        <w:t xml:space="preserve"> </w:t>
      </w:r>
      <w:hyperlink w:anchor="ref-QuantitudeS3E18">
        <w:r>
          <w:rPr>
            <w:rStyle w:val="Hyperlink"/>
          </w:rPr>
          <w:t xml:space="preserve">Hancock &amp; Curran, 2022</w:t>
        </w:r>
      </w:hyperlink>
      <w:r>
        <w:t xml:space="preserve">;</w:t>
      </w:r>
      <w:r>
        <w:t xml:space="preserve"> </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 </w:t>
      </w:r>
      <w:hyperlink w:anchor="ref-Robitzsch2023">
        <w:r>
          <w:rPr>
            <w:rStyle w:val="Hyperlink"/>
          </w:rPr>
          <w:t xml:space="preserve">Robitzsch &amp; Lüdtke, 2023</w:t>
        </w:r>
      </w:hyperlink>
      <w:r>
        <w:t xml:space="preserve">;</w:t>
      </w:r>
      <w:r>
        <w:t xml:space="preserve"> </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Indeed, failed longitudinal invariance can be an artifact of differing means across groups/time rather than bias or differences in the functioning of the measure</w:t>
      </w:r>
      <w:r>
        <w:t xml:space="preserve"> </w:t>
      </w:r>
      <w:r>
        <w:t xml:space="preserve">(</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As noted by Hancock</w:t>
      </w:r>
      <w:r>
        <w:t xml:space="preserve"> </w:t>
      </w:r>
      <w:r>
        <w:t xml:space="preserve">(</w:t>
      </w:r>
      <w:hyperlink w:anchor="ref-QuantitudeS3E18">
        <w:r>
          <w:rPr>
            <w:rStyle w:val="Hyperlink"/>
          </w:rPr>
          <w:t xml:space="preserve">2022</w:t>
        </w:r>
      </w:hyperlink>
      <w:r>
        <w:t xml:space="preserve">)</w:t>
      </w:r>
      <w:r>
        <w:t xml:space="preserve">, to model differences in latent means (e.g., change over time), you do not need invariance;</w:t>
      </w:r>
      <w:r>
        <w:t xml:space="preserve"> </w:t>
      </w:r>
      <w:r>
        <w:t xml:space="preserve">“you need to have a model that is correct…That means that…you are modeling [items’] invariance properly.”</w:t>
      </w:r>
    </w:p>
    <w:p>
      <w:pPr>
        <w:pStyle w:val="BodyText"/>
      </w:pPr>
      <w:r>
        <w:t xml:space="preserve">When a construct demonstrates heterotypic continuity, longitudinal factorial invariance would not necessarily be expected because the construct’s factor structure, by definition, changes with development</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That is, noninvariances across development can be expected by theory</w:t>
      </w:r>
      <w:r>
        <w:t xml:space="preserve"> </w:t>
      </w:r>
      <w:r>
        <w:t xml:space="preserve">(</w:t>
      </w:r>
      <w:hyperlink w:anchor="ref-Sterner2026">
        <w:r>
          <w:rPr>
            <w:rStyle w:val="Hyperlink"/>
          </w:rPr>
          <w:t xml:space="preserve">Sterner et al., 2026</w:t>
        </w:r>
      </w:hyperlink>
      <w:r>
        <w:t xml:space="preserve">)</w:t>
      </w:r>
      <w:r>
        <w:t xml:space="preserve">.</w:t>
      </w:r>
      <w:r>
        <w:t xml:space="preserve"> </w:t>
      </w:r>
      <w:r>
        <w:t xml:space="preserve">As a result, theoretical considerations are crucial and establishing even partial longitudinal factorial invariance may not be required when the construct shows heterotypic continuity</w:t>
      </w:r>
      <w:r>
        <w:t xml:space="preserve"> </w:t>
      </w:r>
      <w:r>
        <w:t xml:space="preserve">(</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w:t>
      </w:r>
      <w:r>
        <w:t xml:space="preserve"> </w:t>
      </w:r>
      <w:r>
        <w:t xml:space="preserve">As noted by Millsap</w:t>
      </w:r>
      <w:r>
        <w:t xml:space="preserve"> </w:t>
      </w:r>
      <w:r>
        <w:t xml:space="preserve">(</w:t>
      </w:r>
      <w:hyperlink w:anchor="ref-Millsap2011">
        <w:r>
          <w:rPr>
            <w:rStyle w:val="Hyperlink"/>
          </w:rPr>
          <w:t xml:space="preserve">2011, p. 1</w:t>
        </w:r>
      </w:hyperlink>
      <w:r>
        <w:t xml:space="preserve">)</w:t>
      </w:r>
      <w:r>
        <w:t xml:space="preserve">,</w:t>
      </w:r>
      <w:r>
        <w:t xml:space="preserve"> </w:t>
      </w:r>
      <w:r>
        <w:t xml:space="preserve">“Measurement invariance is built on the notion that a measuring device should function in the same way across varied conditions,</w:t>
      </w:r>
      <w:r>
        <w:t xml:space="preserve"> </w:t>
      </w:r>
      <w:r>
        <w:rPr>
          <w:i/>
          <w:iCs/>
        </w:rPr>
        <w:t xml:space="preserve">so long as those varied conditions are irrelevant to the attribute being measured</w:t>
      </w:r>
      <w:r>
        <w:t xml:space="preserve">”</w:t>
      </w:r>
      <w:r>
        <w:t xml:space="preserve"> </w:t>
      </w:r>
      <w:r>
        <w:t xml:space="preserve">(emphasis added).</w:t>
      </w:r>
      <w:r>
        <w:t xml:space="preserve"> </w:t>
      </w:r>
      <w:r>
        <w:t xml:space="preserve">However, age/development would not be considered irrelevant to psychopathology.</w:t>
      </w:r>
      <w:r>
        <w:t xml:space="preserve"> </w:t>
      </w:r>
      <w:r>
        <w:t xml:space="preserve">As described earlier, externalizing (antisocial) behavior is considered to demonstrate heterotypic continuity; therefore, longitudinal factorial</w:t>
      </w:r>
      <w:r>
        <w:t xml:space="preserve"> </w:t>
      </w:r>
      <w:r>
        <w:rPr>
          <w:i/>
          <w:iCs/>
        </w:rPr>
        <w:t xml:space="preserve">noninvariance</w:t>
      </w:r>
      <w:r>
        <w:t xml:space="preserve"> </w:t>
      </w:r>
      <w:r>
        <w:t xml:space="preserve">for measures assessing the development of externalizing behavior may be expected.</w:t>
      </w:r>
    </w:p>
    <w:p>
      <w:pPr>
        <w:pStyle w:val="BodyText"/>
      </w:pPr>
      <w:r>
        <w:t xml:space="preserve">As noted by De Los Reyes et al.</w:t>
      </w:r>
      <w:r>
        <w:t xml:space="preserve"> </w:t>
      </w:r>
      <w:r>
        <w:t xml:space="preserve">(</w:t>
      </w:r>
      <w:hyperlink w:anchor="ref-DeLosReyes2025">
        <w:r>
          <w:rPr>
            <w:rStyle w:val="Hyperlink"/>
          </w:rPr>
          <w:t xml:space="preserve">2025, p. 301</w:t>
        </w:r>
      </w:hyperlink>
      <w:r>
        <w:t xml:space="preserve">)</w:t>
      </w:r>
      <w:r>
        <w:t xml:space="preserve">,</w:t>
      </w:r>
      <w:r>
        <w:t xml:space="preserve"> </w:t>
      </w:r>
      <w:r>
        <w:t xml:space="preserve">“developmental variations in antisocial behavior are unlikely to reflect confounds or biases in measurement.”</w:t>
      </w:r>
      <w:r>
        <w:t xml:space="preserve"> </w:t>
      </w:r>
      <w:r>
        <w:t xml:space="preserve">De Los Reyes and colleagues characterize such tests of invariance across development—in which the conditions (age) are relevant to the construct of interest—as a questionable research practice, noting,</w:t>
      </w:r>
      <w:r>
        <w:t xml:space="preserve"> </w:t>
      </w:r>
      <w:r>
        <w:t xml:space="preserve">“To be justified in testing measurement invariance [across ages], one would have to assume that when systematic differences manifest between ratings…for younger versus older youth, they cannot possibly reflect anything valid.</w:t>
      </w:r>
      <w:r>
        <w:t xml:space="preserve"> </w:t>
      </w:r>
      <w:r>
        <w:t xml:space="preserve">For a scholar to make such an assumption, they must again ignore decades of theory and research in developmental psychopathology.”</w:t>
      </w:r>
      <w:r>
        <w:t xml:space="preserve"> </w:t>
      </w:r>
      <w:r>
        <w:t xml:space="preserve">(p. 308).</w:t>
      </w:r>
      <w:r>
        <w:t xml:space="preserve"> </w:t>
      </w:r>
      <w:r>
        <w:t xml:space="preserve">Moreover, removing noninvariant items is not recommended if the item retains construct validity</w:t>
      </w:r>
      <w:r>
        <w:t xml:space="preserve"> </w:t>
      </w:r>
      <w:r>
        <w:t xml:space="preserve">(</w:t>
      </w:r>
      <w:hyperlink w:anchor="ref-DeLosReyes2025">
        <w:r>
          <w:rPr>
            <w:rStyle w:val="Hyperlink"/>
          </w:rPr>
          <w:t xml:space="preserve">De Los Reyes et al., 2025</w:t>
        </w:r>
      </w:hyperlink>
      <w:r>
        <w:t xml:space="preserve">;</w:t>
      </w:r>
      <w:r>
        <w:t xml:space="preserve"> </w:t>
      </w:r>
      <w:hyperlink w:anchor="ref-Knight2010">
        <w:r>
          <w:rPr>
            <w:rStyle w:val="Hyperlink"/>
          </w:rPr>
          <w:t xml:space="preserve">Knight &amp; Zerr, 2010</w:t>
        </w:r>
      </w:hyperlink>
      <w:r>
        <w:t xml:space="preserve">)</w:t>
      </w:r>
      <w:r>
        <w:t xml:space="preserve">.</w:t>
      </w:r>
      <w:r>
        <w:t xml:space="preserve"> </w:t>
      </w:r>
      <w:r>
        <w:t xml:space="preserve">When the construct changes in manifestation, models with failed longitudinal factorial invariance can yield valid inferences.</w:t>
      </w:r>
      <w:r>
        <w:t xml:space="preserve"> </w:t>
      </w:r>
      <w:r>
        <w:t xml:space="preserve">For instance, simulation work demonstrated that IRT linking approaches accurately captured changes in level on the latent factor even in the present of DIF and changing dimensionality</w:t>
      </w:r>
      <w:r>
        <w:t xml:space="preserve"> </w:t>
      </w:r>
      <w:r>
        <w:t xml:space="preserve">(</w:t>
      </w:r>
      <w:hyperlink w:anchor="ref-Edwards2012">
        <w:r>
          <w:rPr>
            <w:rStyle w:val="Hyperlink"/>
          </w:rPr>
          <w:t xml:space="preserve">Edwards &amp; Wirth, 2012</w:t>
        </w:r>
      </w:hyperlink>
      <w:r>
        <w:t xml:space="preserve">)</w:t>
      </w:r>
      <w:r>
        <w:t xml:space="preserve">.</w:t>
      </w:r>
    </w:p>
    <w:p>
      <w:pPr>
        <w:pStyle w:val="BodyText"/>
      </w:pPr>
      <w:r>
        <w:t xml:space="preserve">There are multiple ways of handling noninvariance as described above, including alignment optimization, MNLFA, and IRT-based linking.</w:t>
      </w:r>
      <w:r>
        <w:t xml:space="preserve"> </w:t>
      </w:r>
      <w:r>
        <w:t xml:space="preserve">In addition, another approach is to allow approximate factorial invariance.</w:t>
      </w:r>
      <w:r>
        <w:t xml:space="preserve"> </w:t>
      </w:r>
      <w:r>
        <w:t xml:space="preserve">Approximate measurement invariance allows invariance parameters to have a small amount of noninvariance rather than fixing invariance parameters to zero</w:t>
      </w:r>
      <w:r>
        <w:t xml:space="preserve"> </w:t>
      </w:r>
      <w:r>
        <w:t xml:space="preserve">(</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is more accurate than full or partial measurement invariance for estimating true latent mean differences when there are many small differences in the intercepts and factor loadings</w:t>
      </w:r>
      <w:r>
        <w:t xml:space="preserve"> </w:t>
      </w:r>
      <w:r>
        <w:t xml:space="preserve">(</w:t>
      </w:r>
      <w:hyperlink w:anchor="ref-Cieciuch2014">
        <w:r>
          <w:rPr>
            <w:rStyle w:val="Hyperlink"/>
          </w:rPr>
          <w:t xml:space="preserve">Cieciuch et al., 2014</w:t>
        </w:r>
      </w:hyperlink>
      <w:r>
        <w:t xml:space="preserve">;</w:t>
      </w:r>
      <w:r>
        <w:t xml:space="preserve"> </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has also been applied in the longitudinal context</w:t>
      </w:r>
      <w:r>
        <w:t xml:space="preserve"> </w:t>
      </w:r>
      <w:r>
        <w:t xml:space="preserve">(e.g.,</w:t>
      </w:r>
      <w:r>
        <w:t xml:space="preserve"> </w:t>
      </w:r>
      <w:hyperlink w:anchor="ref-Seddig2018">
        <w:r>
          <w:rPr>
            <w:rStyle w:val="Hyperlink"/>
          </w:rPr>
          <w:t xml:space="preserve">Seddig &amp; Leitgöb, 2018</w:t>
        </w:r>
      </w:hyperlink>
      <w:r>
        <w:t xml:space="preserve">;</w:t>
      </w:r>
      <w:r>
        <w:t xml:space="preserve"> </w:t>
      </w:r>
      <w:hyperlink w:anchor="ref-Winter2020">
        <w:r>
          <w:rPr>
            <w:rStyle w:val="Hyperlink"/>
          </w:rPr>
          <w:t xml:space="preserve">Winter &amp; Depaoli, 2020</w:t>
        </w:r>
      </w:hyperlink>
      <w:r>
        <w:t xml:space="preserve">)</w:t>
      </w:r>
      <w:r>
        <w:t xml:space="preserve">.</w:t>
      </w:r>
      <w:r>
        <w:t xml:space="preserve"> </w:t>
      </w:r>
      <w:r>
        <w:t xml:space="preserve">Robitzsch and Lüdtke</w:t>
      </w:r>
      <w:r>
        <w:t xml:space="preserve"> </w:t>
      </w:r>
      <w:r>
        <w:t xml:space="preserve">(</w:t>
      </w:r>
      <w:hyperlink w:anchor="ref-Robitzsch2023">
        <w:r>
          <w:rPr>
            <w:rStyle w:val="Hyperlink"/>
          </w:rPr>
          <w:t xml:space="preserve">2023, p. 859</w:t>
        </w:r>
      </w:hyperlink>
      <w:r>
        <w:t xml:space="preserve">)</w:t>
      </w:r>
      <w:r>
        <w:t xml:space="preserve"> </w:t>
      </w:r>
      <w:r>
        <w:t xml:space="preserve">argue that establishing factorial invariance is neither necessary nor sufficient for comparing latent means, and they note that</w:t>
      </w:r>
      <w:r>
        <w:t xml:space="preserve"> </w:t>
      </w:r>
      <w:r>
        <w:t xml:space="preserve">“there is no support for preferring the partial invariance approach over competing approaches, such as invariance alignment, robust linking, or Bayesian approximate invariance.”</w:t>
      </w:r>
    </w:p>
    <w:bookmarkEnd w:id="134"/>
    <w:bookmarkStart w:id="135" w:name="integration-across-multiple-sources"/>
    <w:p>
      <w:pPr>
        <w:pStyle w:val="Heading2"/>
      </w:pPr>
      <w:r>
        <w:t xml:space="preserve">Integration Across Multiple Sources</w:t>
      </w:r>
    </w:p>
    <w:p>
      <w:pPr>
        <w:pStyle w:val="FirstParagraph"/>
      </w:pPr>
      <w:r>
        <w:t xml:space="preserve">The most accurate informant(s) for a person can change with development, so it may be necessary to include different informants across time.</w:t>
      </w:r>
      <w:r>
        <w:t xml:space="preserve"> </w:t>
      </w:r>
      <w:r>
        <w:t xml:space="preserve">There is widespread agreement that including multiple sources of data—e.g.. multiple informants or multiple measurement methods—is preferable.</w:t>
      </w:r>
      <w:r>
        <w:t xml:space="preserve"> </w:t>
      </w:r>
      <w:r>
        <w:t xml:space="preserve">However, there is less agreement about how to use multiple sources of data</w:t>
      </w:r>
      <w:r>
        <w:t xml:space="preserve"> </w:t>
      </w:r>
      <w:r>
        <w:t xml:space="preserve">(</w:t>
      </w:r>
      <w:hyperlink w:anchor="ref-Bauer2013">
        <w:r>
          <w:rPr>
            <w:rStyle w:val="Hyperlink"/>
          </w:rPr>
          <w:t xml:space="preserve">Bauer et al., 2013</w:t>
        </w:r>
      </w:hyperlink>
      <w:r>
        <w:t xml:space="preserve">)</w:t>
      </w:r>
      <w:r>
        <w:t xml:space="preserve">, particularly because informants often show low correspondence with one another when rating the same person.</w:t>
      </w:r>
      <w:r>
        <w:t xml:space="preserve"> </w:t>
      </w:r>
      <w:r>
        <w:t xml:space="preserve">Some of these discrepancies may be confounded by the person behaving differently in different contexts or with different people.</w:t>
      </w:r>
      <w:r>
        <w:t xml:space="preserve"> </w:t>
      </w:r>
      <w:r>
        <w:t xml:space="preserve">The inclusion of multiple measurement methods can help account for measurement error given the considerable variance that is attributable to method bias</w:t>
      </w:r>
      <w:r>
        <w:t xml:space="preserve"> </w:t>
      </w:r>
      <w:r>
        <w:t xml:space="preserve">(</w:t>
      </w:r>
      <w:hyperlink w:anchor="ref-Podsakoff2012">
        <w:r>
          <w:rPr>
            <w:rStyle w:val="Hyperlink"/>
          </w:rPr>
          <w:t xml:space="preserve">Podsakoff et al., 2012</w:t>
        </w:r>
      </w:hyperlink>
      <w:r>
        <w:t xml:space="preserve">)</w:t>
      </w:r>
      <w:r>
        <w:t xml:space="preserve">.</w:t>
      </w:r>
      <w:r>
        <w:t xml:space="preserve"> </w:t>
      </w:r>
      <w:r>
        <w:t xml:space="preserve">The inclusion of multiple informants can be relevant for informing about the pervasiveness of a person’s behavior across contexts (e.g., home, school).</w:t>
      </w:r>
    </w:p>
    <w:p>
      <w:pPr>
        <w:pStyle w:val="BodyText"/>
      </w:pPr>
      <w:r>
        <w:t xml:space="preserve">When including multiple or different informants across development, it is important to consider how to leverage the multi-informant ratings.</w:t>
      </w:r>
      <w:r>
        <w:t xml:space="preserve"> </w:t>
      </w:r>
      <w:r>
        <w:t xml:space="preserve">Some researchers advocate for integrating scores using principal component approaches</w:t>
      </w:r>
      <w:r>
        <w:t xml:space="preserve"> </w:t>
      </w:r>
      <w:r>
        <w:t xml:space="preserve">(while disentangling variance attributable to trait, perspective, and context;</w:t>
      </w:r>
      <w:r>
        <w:t xml:space="preserve"> </w:t>
      </w:r>
      <w:hyperlink w:anchor="ref-Kraemer2003">
        <w:r>
          <w:rPr>
            <w:rStyle w:val="Hyperlink"/>
          </w:rPr>
          <w:t xml:space="preserve">Kraemer et al., 2003</w:t>
        </w:r>
      </w:hyperlink>
      <w:r>
        <w:t xml:space="preserve">)</w:t>
      </w:r>
      <w:r>
        <w:t xml:space="preserve"> </w:t>
      </w:r>
      <w:r>
        <w:t xml:space="preserve">or latent variable approaches</w:t>
      </w:r>
      <w:r>
        <w:t xml:space="preserve"> </w:t>
      </w:r>
      <w:r>
        <w:t xml:space="preserve">(e.g.,</w:t>
      </w:r>
      <w:r>
        <w:t xml:space="preserve"> </w:t>
      </w:r>
      <w:hyperlink w:anchor="ref-Bauer2013">
        <w:r>
          <w:rPr>
            <w:rStyle w:val="Hyperlink"/>
          </w:rPr>
          <w:t xml:space="preserve">Bauer et al., 2013</w:t>
        </w:r>
      </w:hyperlink>
      <w:r>
        <w:t xml:space="preserve">)</w:t>
      </w:r>
      <w:r>
        <w:t xml:space="preserve">, and others advocate for keeping different informants’ ratings separate without integrating them</w:t>
      </w:r>
      <w:r>
        <w:t xml:space="preserve"> </w:t>
      </w:r>
      <w:r>
        <w:t xml:space="preserve">(but including them in the same model;</w:t>
      </w:r>
      <w:r>
        <w:t xml:space="preserve"> </w:t>
      </w:r>
      <w:hyperlink w:anchor="ref-Aitken2023">
        <w:r>
          <w:rPr>
            <w:rStyle w:val="Hyperlink"/>
          </w:rPr>
          <w:t xml:space="preserve">Aitken et al., 2023</w:t>
        </w:r>
      </w:hyperlink>
      <w:r>
        <w:t xml:space="preserve">)</w:t>
      </w:r>
      <w:r>
        <w:t xml:space="preserve">.</w:t>
      </w:r>
      <w:r>
        <w:t xml:space="preserve"> </w:t>
      </w:r>
      <w:r>
        <w:t xml:space="preserve">As an example of a latent variable modeling approach,</w:t>
      </w:r>
      <w:r>
        <w:t xml:space="preserve"> </w:t>
      </w:r>
      <w:r>
        <w:t xml:space="preserve">Bauer et al. (</w:t>
      </w:r>
      <w:hyperlink w:anchor="ref-Bauer2013">
        <w:r>
          <w:rPr>
            <w:rStyle w:val="Hyperlink"/>
          </w:rPr>
          <w:t xml:space="preserve">2013</w:t>
        </w:r>
      </w:hyperlink>
      <w:r>
        <w:t xml:space="preserve">)</w:t>
      </w:r>
      <w:r>
        <w:t xml:space="preserve"> </w:t>
      </w:r>
      <w:r>
        <w:t xml:space="preserve">demonstrate a trifactor model that attempts to disentangle construct variance from the method effects tied to the specific item and the informant.</w:t>
      </w:r>
      <w:r>
        <w:t xml:space="preserve"> </w:t>
      </w:r>
      <w:r>
        <w:t xml:space="preserve">De Los Reyes et al. (</w:t>
      </w:r>
      <w:hyperlink w:anchor="ref-DeLosReyes2013">
        <w:r>
          <w:rPr>
            <w:rStyle w:val="Hyperlink"/>
          </w:rPr>
          <w:t xml:space="preserve">2013</w:t>
        </w:r>
      </w:hyperlink>
      <w:r>
        <w:t xml:space="preserve">)</w:t>
      </w:r>
      <w:r>
        <w:t xml:space="preserve"> </w:t>
      </w:r>
      <w:r>
        <w:t xml:space="preserve">provide the Operations Triad Model as a framework for using and interpreting reports from multiple informants</w:t>
      </w:r>
      <w:r>
        <w:t xml:space="preserve"> </w:t>
      </w:r>
      <w:r>
        <w:t xml:space="preserve">(for more information, see</w:t>
      </w:r>
      <w:r>
        <w:t xml:space="preserve"> </w:t>
      </w:r>
      <w:hyperlink w:anchor="ref-Makol2025">
        <w:r>
          <w:rPr>
            <w:rStyle w:val="Hyperlink"/>
          </w:rPr>
          <w:t xml:space="preserve">Makol et al., 2025</w:t>
        </w:r>
      </w:hyperlink>
      <w:r>
        <w:t xml:space="preserve">)</w:t>
      </w:r>
      <w:r>
        <w:t xml:space="preserve">.</w:t>
      </w:r>
      <w:r>
        <w:t xml:space="preserve"> </w:t>
      </w:r>
      <w:r>
        <w:t xml:space="preserve">In sum, finding ways to leverage the information from multiple informants will be crucial for studying the development of psychopathology across the lifespan</w:t>
      </w:r>
      <w:r>
        <w:t xml:space="preserve"> </w:t>
      </w:r>
      <w:r>
        <w:t xml:space="preserve">(</w:t>
      </w:r>
      <w:hyperlink w:anchor="ref-DeLosReyes2026">
        <w:r>
          <w:rPr>
            <w:rStyle w:val="Hyperlink"/>
          </w:rPr>
          <w:t xml:space="preserve">De Los Reyes, 2026</w:t>
        </w:r>
      </w:hyperlink>
      <w:r>
        <w:t xml:space="preserve">)</w:t>
      </w:r>
      <w:r>
        <w:t xml:space="preserve">.</w:t>
      </w:r>
    </w:p>
    <w:bookmarkEnd w:id="135"/>
    <w:bookmarkStart w:id="136" w:name="obsolescence-of-items-and-measures"/>
    <w:p>
      <w:pPr>
        <w:pStyle w:val="Heading2"/>
      </w:pPr>
      <w:r>
        <w:t xml:space="preserve">Obsolescence of Items and Measures</w:t>
      </w:r>
    </w:p>
    <w:p>
      <w:pPr>
        <w:pStyle w:val="FirstParagraph"/>
      </w:pPr>
      <w:r>
        <w:t xml:space="preserve">Another challenge is that questionnaire items—whether the particular wording or the behavior itself—can become obsolete and irrelevant with secular changes.</w:t>
      </w:r>
      <w:r>
        <w:t xml:space="preserve"> </w:t>
      </w:r>
      <w:r>
        <w:t xml:space="preserve">For instance, due to technological changes, items focused on television use—without considering other forms of screen use—may miss important contemporary screen-related use.</w:t>
      </w:r>
      <w:r>
        <w:t xml:space="preserve"> </w:t>
      </w:r>
      <w:r>
        <w:t xml:space="preserve">Additionally, ways people use substances change over historical time.</w:t>
      </w:r>
      <w:r>
        <w:t xml:space="preserve"> </w:t>
      </w:r>
      <w:r>
        <w:t xml:space="preserve">For instance, vaping is a more contemporary way that many adolescents use nicotine.</w:t>
      </w:r>
      <w:r>
        <w:t xml:space="preserve"> </w:t>
      </w:r>
      <w:r>
        <w:t xml:space="preserve">The ways in which aggressive behavior manifests also change across historical time.</w:t>
      </w:r>
      <w:r>
        <w:t xml:space="preserve"> </w:t>
      </w:r>
      <w:r>
        <w:t xml:space="preserve">Items focused on physical aggression would miss important contemporary manifestations of aggression, including cyberaggression, cyberbullying, online harassment, and aggression on social media (e.g., exclusion).</w:t>
      </w:r>
      <w:r>
        <w:t xml:space="preserve"> </w:t>
      </w:r>
      <w:r>
        <w:t xml:space="preserve">In sum, it is important to keep items relevant for current use, and that naturally means changing item content and/or wording across historical time, a further reason linking of scores (given differing item content) is crucial.</w:t>
      </w:r>
    </w:p>
    <w:bookmarkEnd w:id="136"/>
    <w:bookmarkEnd w:id="137"/>
    <w:bookmarkStart w:id="138" w:name="conclusion"/>
    <w:p>
      <w:pPr>
        <w:pStyle w:val="Heading1"/>
      </w:pPr>
      <w:r>
        <w:t xml:space="preserve">Conclusion</w:t>
      </w:r>
    </w:p>
    <w:p>
      <w:pPr>
        <w:pStyle w:val="FirstParagraph"/>
      </w:pPr>
      <w:r>
        <w:t xml:space="preserve">Due to a variety of challenges—both conceptual and methodological—that we discuss, the field has not adequately studied individuals’ development of psychopathology across the lifespan, instead taking a piecewise approach to development that limits our understanding of lifespan development and the origins of psychopathology.</w:t>
      </w:r>
      <w:r>
        <w:t xml:space="preserve"> </w:t>
      </w:r>
      <w:r>
        <w:t xml:space="preserve">To address these challenges, we discuss the importance of defining psychopathology constructs from a developmental perspective, developing new assessments that (a) capture changes in behavioral manifestation of psychopathology, (b) apply scoring systems that allow charting individuals’ change over time in the face of changing behavioral manifestation, and (c) capture the full range of individual differences.</w:t>
      </w:r>
      <w:r>
        <w:t xml:space="preserve"> </w:t>
      </w:r>
      <w:r>
        <w:t xml:space="preserve">We introduce a developmental scaling framework to help address these challenges.</w:t>
      </w:r>
      <w:r>
        <w:t xml:space="preserve"> </w:t>
      </w: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paper focuses on development of psychopathology, the principles discussed likely apply to many other developmental domains.</w:t>
      </w:r>
    </w:p>
    <w:bookmarkEnd w:id="138"/>
    <w:bookmarkStart w:id="461" w:name="references"/>
    <w:p>
      <w:pPr>
        <w:pStyle w:val="Heading1"/>
      </w:pPr>
      <w:r>
        <w:t xml:space="preserve">References</w:t>
      </w:r>
    </w:p>
    <w:bookmarkStart w:id="460" w:name="refs"/>
    <w:bookmarkStart w:id="139"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w:t>
      </w:r>
      <w:r>
        <w:t xml:space="preserve"> </w:t>
      </w:r>
      <w:r>
        <w:t xml:space="preserve">Inter-individual</w:t>
      </w:r>
      <w:r>
        <w:t xml:space="preserve"> </w:t>
      </w:r>
      <w:r>
        <w:t xml:space="preserve">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0">
        <w:r>
          <w:rPr>
            <w:rStyle w:val="Hyperlink"/>
          </w:rPr>
          <w:t xml:space="preserve">https://doi.org/10.1016/j.arr.2026.103102</w:t>
        </w:r>
      </w:hyperlink>
    </w:p>
    <w:bookmarkEnd w:id="139"/>
    <w:bookmarkStart w:id="141"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2: Testing and assessment in clinical and counseling psychology</w:t>
      </w:r>
      <w:r>
        <w:t xml:space="preserve"> </w:t>
      </w:r>
      <w:r>
        <w:t xml:space="preserve">(pp. 119–132). American Psychological Association.</w:t>
      </w:r>
      <w:r>
        <w:t xml:space="preserve"> </w:t>
      </w:r>
      <w:hyperlink r:id="rId140">
        <w:r>
          <w:rPr>
            <w:rStyle w:val="Hyperlink"/>
          </w:rPr>
          <w:t xml:space="preserve">https://doi.org/10.1037/14048-008</w:t>
        </w:r>
      </w:hyperlink>
    </w:p>
    <w:bookmarkEnd w:id="141"/>
    <w:bookmarkStart w:id="143" w:name="ref-Aiken2018"/>
    <w:p>
      <w:pPr>
        <w:pStyle w:val="Bibliography"/>
      </w:pPr>
      <w:r>
        <w:t xml:space="preserve">Aiken, A., Clare, P. J., Wadolowski, M., Hutchinson, D., Najman, J. M., Slade, T., Bruno, R., McBride, N., Kypri, K., &amp; Mattick, R. P. (2018). Age of alcohol initiation and progression to binge drinking in adolescence:</w:t>
      </w:r>
      <w:r>
        <w:t xml:space="preserve"> </w:t>
      </w:r>
      <w:r>
        <w:t xml:space="preserve">A</w:t>
      </w:r>
      <w:r>
        <w:t xml:space="preserve"> </w:t>
      </w:r>
      <w:r>
        <w:t xml:space="preserve">prospective cohort study.</w:t>
      </w:r>
      <w:r>
        <w:t xml:space="preserve"> </w:t>
      </w:r>
      <w:r>
        <w:rPr>
          <w:i/>
          <w:iCs/>
        </w:rPr>
        <w:t xml:space="preserve">Alcoholism: Clinical and Experimental Research</w:t>
      </w:r>
      <w:r>
        <w:t xml:space="preserve">,</w:t>
      </w:r>
      <w:r>
        <w:t xml:space="preserve"> </w:t>
      </w:r>
      <w:r>
        <w:rPr>
          <w:i/>
          <w:iCs/>
        </w:rPr>
        <w:t xml:space="preserve">42</w:t>
      </w:r>
      <w:r>
        <w:t xml:space="preserve">(1), 100–110.</w:t>
      </w:r>
      <w:r>
        <w:t xml:space="preserve"> </w:t>
      </w:r>
      <w:hyperlink r:id="rId142">
        <w:r>
          <w:rPr>
            <w:rStyle w:val="Hyperlink"/>
          </w:rPr>
          <w:t xml:space="preserve">https://doi.org/10.1111/acer.13525</w:t>
        </w:r>
      </w:hyperlink>
    </w:p>
    <w:bookmarkEnd w:id="143"/>
    <w:bookmarkStart w:id="145" w:name="ref-Aitken2023"/>
    <w:p>
      <w:pPr>
        <w:pStyle w:val="Bibliography"/>
      </w:pPr>
      <w:r>
        <w:t xml:space="preserve">Aitken, M., Plamondon, A., Krzeczkowski, J., Kil, H., &amp; Andrade, B. F. (2023). Systematic integration of multi-informant externalizing ratings in clinical settings.</w:t>
      </w:r>
      <w:r>
        <w:t xml:space="preserve"> </w:t>
      </w:r>
      <w:r>
        <w:rPr>
          <w:i/>
          <w:iCs/>
        </w:rPr>
        <w:t xml:space="preserve">Research on Child and Adolescent Psychopathology</w:t>
      </w:r>
      <w:r>
        <w:t xml:space="preserve">.</w:t>
      </w:r>
      <w:r>
        <w:t xml:space="preserve"> </w:t>
      </w:r>
      <w:hyperlink r:id="rId144">
        <w:r>
          <w:rPr>
            <w:rStyle w:val="Hyperlink"/>
          </w:rPr>
          <w:t xml:space="preserve">https://doi.org/10.1007/s10802-023-01119-z</w:t>
        </w:r>
      </w:hyperlink>
    </w:p>
    <w:bookmarkEnd w:id="145"/>
    <w:bookmarkStart w:id="146"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46"/>
    <w:bookmarkStart w:id="148" w:name="ref-Applegate2026"/>
    <w:p>
      <w:pPr>
        <w:pStyle w:val="Bibliography"/>
      </w:pPr>
      <w:r>
        <w:t xml:space="preserve">Applegate, B., &amp; Lahey, B. B. (2026). Mapping persistence and change in psychological problems during the transition to adolescence:</w:t>
      </w:r>
      <w:r>
        <w:t xml:space="preserve"> </w:t>
      </w:r>
      <w:r>
        <w:t xml:space="preserve">Adding</w:t>
      </w:r>
      <w:r>
        <w:t xml:space="preserve">, subtracting, shifting, and persisting.</w:t>
      </w:r>
      <w:r>
        <w:t xml:space="preserve"> </w:t>
      </w:r>
      <w:r>
        <w:rPr>
          <w:i/>
          <w:iCs/>
        </w:rPr>
        <w:t xml:space="preserve">JCPP Advances</w:t>
      </w:r>
      <w:r>
        <w:t xml:space="preserve">,</w:t>
      </w:r>
      <w:r>
        <w:t xml:space="preserve"> </w:t>
      </w:r>
      <w:r>
        <w:rPr>
          <w:i/>
          <w:iCs/>
        </w:rPr>
        <w:t xml:space="preserve">6</w:t>
      </w:r>
      <w:r>
        <w:t xml:space="preserve">(2), e70043.</w:t>
      </w:r>
      <w:r>
        <w:t xml:space="preserve"> </w:t>
      </w:r>
      <w:hyperlink r:id="rId147">
        <w:r>
          <w:rPr>
            <w:rStyle w:val="Hyperlink"/>
          </w:rPr>
          <w:t xml:space="preserve">https://doi.org/10.1002/jcv2.70043</w:t>
        </w:r>
      </w:hyperlink>
    </w:p>
    <w:bookmarkEnd w:id="148"/>
    <w:bookmarkStart w:id="150" w:name="ref-Averdijk2014"/>
    <w:p>
      <w:pPr>
        <w:pStyle w:val="Bibliography"/>
      </w:pPr>
      <w:r>
        <w:t xml:space="preserve">Averdijk, M. (2014). Methodological challenges in the study of age−victimization patterns.</w:t>
      </w:r>
      <w:r>
        <w:t xml:space="preserve"> </w:t>
      </w:r>
      <w:r>
        <w:t xml:space="preserve">Can</w:t>
      </w:r>
      <w:r>
        <w:t xml:space="preserve"> </w:t>
      </w:r>
      <w:r>
        <w:t xml:space="preserve">we use the accelerated design of the</w:t>
      </w:r>
      <w:r>
        <w:t xml:space="preserve"> </w:t>
      </w:r>
      <w:r>
        <w:t xml:space="preserve">NCVS</w:t>
      </w:r>
      <w:r>
        <w:t xml:space="preserve"> </w:t>
      </w:r>
      <w:r>
        <w:t xml:space="preserve">to reconstruct victim careers?</w:t>
      </w:r>
      <w:r>
        <w:t xml:space="preserve"> </w:t>
      </w:r>
      <w:r>
        <w:rPr>
          <w:i/>
          <w:iCs/>
        </w:rPr>
        <w:t xml:space="preserve">International Review of Victimology</w:t>
      </w:r>
      <w:r>
        <w:t xml:space="preserve">,</w:t>
      </w:r>
      <w:r>
        <w:t xml:space="preserve"> </w:t>
      </w:r>
      <w:r>
        <w:rPr>
          <w:i/>
          <w:iCs/>
        </w:rPr>
        <w:t xml:space="preserve">20</w:t>
      </w:r>
      <w:r>
        <w:t xml:space="preserve">(3), 265–288.</w:t>
      </w:r>
      <w:r>
        <w:t xml:space="preserve"> </w:t>
      </w:r>
      <w:hyperlink r:id="rId149">
        <w:r>
          <w:rPr>
            <w:rStyle w:val="Hyperlink"/>
          </w:rPr>
          <w:t xml:space="preserve">https://doi.org/10.1177/0269758014537147</w:t>
        </w:r>
      </w:hyperlink>
    </w:p>
    <w:bookmarkEnd w:id="150"/>
    <w:bookmarkStart w:id="152"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51">
        <w:r>
          <w:rPr>
            <w:rStyle w:val="Hyperlink"/>
          </w:rPr>
          <w:t xml:space="preserve">https://doi.org/10.1016/j.jpsychires.2013.08.016</w:t>
        </w:r>
      </w:hyperlink>
    </w:p>
    <w:bookmarkEnd w:id="152"/>
    <w:bookmarkStart w:id="154" w:name="ref-Bates2014"/>
    <w:p>
      <w:pPr>
        <w:pStyle w:val="Bibliography"/>
      </w:pPr>
      <w:r>
        <w:t xml:space="preserve">Bates, J. E., Schermerhorn, A. C., &amp; Petersen, I. T. (2014). Temperament concepts in developmental psychopathology. In K. Rudolph &amp; M. Lewis (Eds.),</w:t>
      </w:r>
      <w:r>
        <w:t xml:space="preserve"> </w:t>
      </w:r>
      <w:r>
        <w:rPr>
          <w:i/>
          <w:iCs/>
        </w:rPr>
        <w:t xml:space="preserve">Handbook of developmental psychopathology</w:t>
      </w:r>
      <w:r>
        <w:t xml:space="preserve"> </w:t>
      </w:r>
      <w:r>
        <w:t xml:space="preserve">(3rd ed., pp. 311–329). Springer.</w:t>
      </w:r>
      <w:r>
        <w:t xml:space="preserve"> </w:t>
      </w:r>
      <w:hyperlink r:id="rId153">
        <w:r>
          <w:rPr>
            <w:rStyle w:val="Hyperlink"/>
          </w:rPr>
          <w:t xml:space="preserve">https://doi.org/10.1007/978-1-4614-9608-3_16</w:t>
        </w:r>
      </w:hyperlink>
    </w:p>
    <w:bookmarkEnd w:id="154"/>
    <w:bookmarkStart w:id="156" w:name="ref-Bauer2017"/>
    <w:p>
      <w:pPr>
        <w:pStyle w:val="Bibliography"/>
      </w:pPr>
      <w:r>
        <w:t xml:space="preserve">Bauer, D. J. (2017). A more general model for testing measurement invariance and differential item functioning.</w:t>
      </w:r>
      <w:r>
        <w:t xml:space="preserve"> </w:t>
      </w:r>
      <w:r>
        <w:rPr>
          <w:i/>
          <w:iCs/>
        </w:rPr>
        <w:t xml:space="preserve">Psychological Methods</w:t>
      </w:r>
      <w:r>
        <w:t xml:space="preserve">,</w:t>
      </w:r>
      <w:r>
        <w:t xml:space="preserve"> </w:t>
      </w:r>
      <w:r>
        <w:rPr>
          <w:i/>
          <w:iCs/>
        </w:rPr>
        <w:t xml:space="preserve">22</w:t>
      </w:r>
      <w:r>
        <w:t xml:space="preserve">(3), 507–526.</w:t>
      </w:r>
      <w:r>
        <w:t xml:space="preserve"> </w:t>
      </w:r>
      <w:hyperlink r:id="rId155">
        <w:r>
          <w:rPr>
            <w:rStyle w:val="Hyperlink"/>
          </w:rPr>
          <w:t xml:space="preserve">https://doi.org/10.1037/met0000077</w:t>
        </w:r>
      </w:hyperlink>
    </w:p>
    <w:bookmarkEnd w:id="156"/>
    <w:bookmarkStart w:id="158" w:name="ref-Bauer2013"/>
    <w:p>
      <w:pPr>
        <w:pStyle w:val="Bibliography"/>
      </w:pPr>
      <w:r>
        <w:t xml:space="preserve">Bauer, D. J., Howard, A. L., Baldasaro, R. E., Curran, P. J., Hussong, A. M., Chassin, L., &amp; Zucker, R. A. (2013). A trifactor model for integrating ratings across multiple informants.</w:t>
      </w:r>
      <w:r>
        <w:t xml:space="preserve"> </w:t>
      </w:r>
      <w:r>
        <w:rPr>
          <w:i/>
          <w:iCs/>
        </w:rPr>
        <w:t xml:space="preserve">Psychological Methods</w:t>
      </w:r>
      <w:r>
        <w:t xml:space="preserve">,</w:t>
      </w:r>
      <w:r>
        <w:t xml:space="preserve"> </w:t>
      </w:r>
      <w:r>
        <w:rPr>
          <w:i/>
          <w:iCs/>
        </w:rPr>
        <w:t xml:space="preserve">18</w:t>
      </w:r>
      <w:r>
        <w:t xml:space="preserve">(4), 475–493.</w:t>
      </w:r>
      <w:r>
        <w:t xml:space="preserve"> </w:t>
      </w:r>
      <w:hyperlink r:id="rId157">
        <w:r>
          <w:rPr>
            <w:rStyle w:val="Hyperlink"/>
          </w:rPr>
          <w:t xml:space="preserve">https://doi.org/10.1037/a0032475</w:t>
        </w:r>
      </w:hyperlink>
    </w:p>
    <w:bookmarkEnd w:id="158"/>
    <w:bookmarkStart w:id="160" w:name="ref-Berluti2026"/>
    <w:p>
      <w:pPr>
        <w:pStyle w:val="Bibliography"/>
      </w:pPr>
      <w:r>
        <w:t xml:space="preserve">Berluti, K., Amormino, P., Potter, A., Wshah, S., &amp; Marsh, A. (2026). Machine learning prediction of conduct problems in children using the longitudinal</w:t>
      </w:r>
      <w:r>
        <w:t xml:space="preserve"> </w:t>
      </w:r>
      <w:r>
        <w:t xml:space="preserve">ABCD Study</w:t>
      </w:r>
      <w:r>
        <w:t xml:space="preserve">.</w:t>
      </w:r>
      <w:r>
        <w:t xml:space="preserve"> </w:t>
      </w:r>
      <w:r>
        <w:rPr>
          <w:i/>
          <w:iCs/>
        </w:rPr>
        <w:t xml:space="preserve">Journal of Child Psychology and Psychiatry</w:t>
      </w:r>
      <w:r>
        <w:t xml:space="preserve">,</w:t>
      </w:r>
      <w:r>
        <w:t xml:space="preserve"> </w:t>
      </w:r>
      <w:r>
        <w:rPr>
          <w:i/>
          <w:iCs/>
        </w:rPr>
        <w:t xml:space="preserve">67</w:t>
      </w:r>
      <w:r>
        <w:t xml:space="preserve">(3), 390–399.</w:t>
      </w:r>
      <w:r>
        <w:t xml:space="preserve"> </w:t>
      </w:r>
      <w:hyperlink r:id="rId159">
        <w:r>
          <w:rPr>
            <w:rStyle w:val="Hyperlink"/>
          </w:rPr>
          <w:t xml:space="preserve">https://doi.org/10.1111/jcpp.70057</w:t>
        </w:r>
      </w:hyperlink>
    </w:p>
    <w:bookmarkEnd w:id="160"/>
    <w:bookmarkStart w:id="162"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w:t>
      </w:r>
      <w:r>
        <w:t xml:space="preserve"> </w:t>
      </w:r>
      <w:r>
        <w:t xml:space="preserve">Findings</w:t>
      </w:r>
      <w:r>
        <w:t xml:space="preserve"> </w:t>
      </w:r>
      <w:r>
        <w:t xml:space="preserve">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61">
        <w:r>
          <w:rPr>
            <w:rStyle w:val="Hyperlink"/>
          </w:rPr>
          <w:t xml:space="preserve">https://doi.org/10.1017/S0954579423001505</w:t>
        </w:r>
      </w:hyperlink>
    </w:p>
    <w:bookmarkEnd w:id="162"/>
    <w:bookmarkStart w:id="164"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63">
        <w:r>
          <w:rPr>
            <w:rStyle w:val="Hyperlink"/>
          </w:rPr>
          <w:t xml:space="preserve">https://doi.org/10.1016/j.jaac.2017.05.019</w:t>
        </w:r>
      </w:hyperlink>
    </w:p>
    <w:bookmarkEnd w:id="164"/>
    <w:bookmarkStart w:id="166"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65">
        <w:r>
          <w:rPr>
            <w:rStyle w:val="Hyperlink"/>
          </w:rPr>
          <w:t xml:space="preserve">https://doi.org/10.1111/j.1467-8624.2004.00755.x</w:t>
        </w:r>
      </w:hyperlink>
    </w:p>
    <w:bookmarkEnd w:id="166"/>
    <w:bookmarkStart w:id="167"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49">
        <w:r>
          <w:rPr>
            <w:rStyle w:val="Hyperlink"/>
          </w:rPr>
          <w:t xml:space="preserve">https://doi.org/10.1590/1980-57642018dn12-030001</w:t>
        </w:r>
      </w:hyperlink>
    </w:p>
    <w:bookmarkEnd w:id="167"/>
    <w:bookmarkStart w:id="169"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1: Theory and method</w:t>
      </w:r>
      <w:r>
        <w:t xml:space="preserve"> </w:t>
      </w:r>
      <w:r>
        <w:t xml:space="preserve">(pp. 1–45).</w:t>
      </w:r>
      <w:r>
        <w:t xml:space="preserve"> </w:t>
      </w:r>
      <w:hyperlink r:id="rId168">
        <w:r>
          <w:rPr>
            <w:rStyle w:val="Hyperlink"/>
          </w:rPr>
          <w:t xml:space="preserve">https://doi.org/10.1002/9781119125556.devpsy101</w:t>
        </w:r>
      </w:hyperlink>
    </w:p>
    <w:bookmarkEnd w:id="169"/>
    <w:bookmarkStart w:id="171" w:name="ref-Broeren2013"/>
    <w:p>
      <w:pPr>
        <w:pStyle w:val="Bibliography"/>
      </w:pPr>
      <w:r>
        <w:t xml:space="preserve">Broeren, S., Muris, P., Diamantopoulou, S., &amp; Baker, J. R. (2013). The course of childhood anxiety symptoms:</w:t>
      </w:r>
      <w:r>
        <w:t xml:space="preserve"> </w:t>
      </w:r>
      <w:r>
        <w:t xml:space="preserve">Developmental</w:t>
      </w:r>
      <w:r>
        <w:t xml:space="preserve"> </w:t>
      </w:r>
      <w:r>
        <w:t xml:space="preserve">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70">
        <w:r>
          <w:rPr>
            <w:rStyle w:val="Hyperlink"/>
          </w:rPr>
          <w:t xml:space="preserve">https://doi.org/10.1007/s10802-012-9669-9</w:t>
        </w:r>
      </w:hyperlink>
    </w:p>
    <w:bookmarkEnd w:id="171"/>
    <w:bookmarkStart w:id="173"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w:t>
      </w:r>
      <w:r>
        <w:t xml:space="preserve"> </w:t>
      </w:r>
      <w:r>
        <w:t xml:space="preserve">A</w:t>
      </w:r>
      <w:r>
        <w:t xml:space="preserve"> </w:t>
      </w:r>
      <w:r>
        <w:t xml:space="preserve">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72">
        <w:r>
          <w:rPr>
            <w:rStyle w:val="Hyperlink"/>
          </w:rPr>
          <w:t xml:space="preserve">https://doi.org/10.1037/0012-1649.39.2.222</w:t>
        </w:r>
      </w:hyperlink>
    </w:p>
    <w:bookmarkEnd w:id="173"/>
    <w:bookmarkStart w:id="175" w:name="ref-Burns2001"/>
    <w:p>
      <w:pPr>
        <w:pStyle w:val="Bibliography"/>
      </w:pPr>
      <w:r>
        <w:t xml:space="preserve">Burns, G. L., Walsh, J. A., Patterson, D. R., Holte, C. S., Sommers-Flanagan, R., &amp; Parker, C. M. (2001). Attention deficit and disruptive behavior disorder symptoms:</w:t>
      </w:r>
      <w:r>
        <w:t xml:space="preserve"> </w:t>
      </w:r>
      <w:r>
        <w:t xml:space="preserve">Usefulness</w:t>
      </w:r>
      <w:r>
        <w:t xml:space="preserve"> </w:t>
      </w:r>
      <w:r>
        <w:t xml:space="preserve">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74">
        <w:r>
          <w:rPr>
            <w:rStyle w:val="Hyperlink"/>
          </w:rPr>
          <w:t xml:space="preserve">https://doi.org/10.1027/1015-5759.17.1.25</w:t>
        </w:r>
      </w:hyperlink>
    </w:p>
    <w:bookmarkEnd w:id="175"/>
    <w:bookmarkStart w:id="177" w:name="ref-Burt2012"/>
    <w:p>
      <w:pPr>
        <w:pStyle w:val="Bibliography"/>
      </w:pPr>
      <w:r>
        <w:t xml:space="preserve">Burt, S. A. (2012). How do we optimally conceptualize the heterogeneity within antisocial behavior?</w:t>
      </w:r>
      <w:r>
        <w:t xml:space="preserve"> </w:t>
      </w:r>
      <w:r>
        <w:t xml:space="preserve">An</w:t>
      </w:r>
      <w:r>
        <w:t xml:space="preserve"> </w:t>
      </w:r>
      <w:r>
        <w:t xml:space="preserve">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76">
        <w:r>
          <w:rPr>
            <w:rStyle w:val="Hyperlink"/>
          </w:rPr>
          <w:t xml:space="preserve">https://doi.org/10.1016/j.cpr.2012.02.006</w:t>
        </w:r>
      </w:hyperlink>
    </w:p>
    <w:bookmarkEnd w:id="177"/>
    <w:bookmarkStart w:id="179"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78">
        <w:r>
          <w:rPr>
            <w:rStyle w:val="Hyperlink"/>
          </w:rPr>
          <w:t xml:space="preserve">https://doi.org/10.1001/jamanetworkopen.2020.3221</w:t>
        </w:r>
      </w:hyperlink>
    </w:p>
    <w:bookmarkEnd w:id="179"/>
    <w:bookmarkStart w:id="181"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w:t>
      </w:r>
      <w:r>
        <w:t xml:space="preserve"> </w:t>
      </w:r>
      <w:r>
        <w:t xml:space="preserve">One</w:t>
      </w:r>
      <w:r>
        <w:t xml:space="preserve"> </w:t>
      </w:r>
      <w:r>
        <w:t xml:space="preserve">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80">
        <w:r>
          <w:rPr>
            <w:rStyle w:val="Hyperlink"/>
          </w:rPr>
          <w:t xml:space="preserve">https://doi.org/10.1177/2167702613497473</w:t>
        </w:r>
      </w:hyperlink>
    </w:p>
    <w:bookmarkEnd w:id="181"/>
    <w:bookmarkStart w:id="183"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r>
        <w:t xml:space="preserve"> </w:t>
      </w:r>
      <w:hyperlink r:id="rId182">
        <w:r>
          <w:rPr>
            <w:rStyle w:val="Hyperlink"/>
          </w:rPr>
          <w:t xml:space="preserve">https://doi.org/10.1002/9780470147658.chpsy0306</w:t>
        </w:r>
      </w:hyperlink>
    </w:p>
    <w:bookmarkEnd w:id="183"/>
    <w:bookmarkStart w:id="185"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84">
        <w:r>
          <w:rPr>
            <w:rStyle w:val="Hyperlink"/>
          </w:rPr>
          <w:t xml:space="preserve">https://doi.org/10.1007/s40865-015-0012-3</w:t>
        </w:r>
      </w:hyperlink>
    </w:p>
    <w:bookmarkEnd w:id="185"/>
    <w:bookmarkStart w:id="187" w:name="ref-ChenMBR"/>
    <w:p>
      <w:pPr>
        <w:pStyle w:val="Bibliography"/>
      </w:pPr>
      <w:r>
        <w:t xml:space="preserve">Chen, S. M., &amp; Bauer, D. J. (in press a). Improving the evaluation of construct change over time:</w:t>
      </w:r>
      <w:r>
        <w:t xml:space="preserve"> </w:t>
      </w:r>
      <w:r>
        <w:t xml:space="preserve">Advantages</w:t>
      </w:r>
      <w:r>
        <w:t xml:space="preserve"> </w:t>
      </w:r>
      <w:r>
        <w:t xml:space="preserve">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86">
        <w:r>
          <w:rPr>
            <w:rStyle w:val="Hyperlink"/>
          </w:rPr>
          <w:t xml:space="preserve">https://doi.org/10.1080/00273171.2026.2640576</w:t>
        </w:r>
      </w:hyperlink>
    </w:p>
    <w:bookmarkEnd w:id="187"/>
    <w:bookmarkStart w:id="189" w:name="ref-ChenPM"/>
    <w:p>
      <w:pPr>
        <w:pStyle w:val="Bibliography"/>
      </w:pPr>
      <w:r>
        <w:t xml:space="preserve">Chen, S. M., &amp; Bauer, D. J. (in press b). Modeling construct change over time amidst potential changes in construct measurement:</w:t>
      </w:r>
      <w:r>
        <w:t xml:space="preserve"> </w:t>
      </w:r>
      <w:r>
        <w:t xml:space="preserve">A</w:t>
      </w:r>
      <w:r>
        <w:t xml:space="preserve"> </w:t>
      </w:r>
      <w:r>
        <w:t xml:space="preserve">longitudinal moderated factor analysis approach.</w:t>
      </w:r>
      <w:r>
        <w:t xml:space="preserve"> </w:t>
      </w:r>
      <w:r>
        <w:rPr>
          <w:i/>
          <w:iCs/>
        </w:rPr>
        <w:t xml:space="preserve">Psychological Methods</w:t>
      </w:r>
      <w:r>
        <w:t xml:space="preserve">.</w:t>
      </w:r>
      <w:r>
        <w:t xml:space="preserve"> </w:t>
      </w:r>
      <w:hyperlink r:id="rId188">
        <w:r>
          <w:rPr>
            <w:rStyle w:val="Hyperlink"/>
          </w:rPr>
          <w:t xml:space="preserve">https://doi.org/10.1037/met0000685</w:t>
        </w:r>
      </w:hyperlink>
    </w:p>
    <w:bookmarkEnd w:id="189"/>
    <w:bookmarkStart w:id="191"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r>
        <w:t xml:space="preserve"> </w:t>
      </w:r>
      <w:hyperlink r:id="rId190">
        <w:r>
          <w:rPr>
            <w:rStyle w:val="Hyperlink"/>
          </w:rPr>
          <w:t xml:space="preserve">https://doi.org/10.14283/jfa.2012.9</w:t>
        </w:r>
      </w:hyperlink>
    </w:p>
    <w:bookmarkEnd w:id="191"/>
    <w:bookmarkStart w:id="193"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92">
        <w:r>
          <w:rPr>
            <w:rStyle w:val="Hyperlink"/>
          </w:rPr>
          <w:t xml:space="preserve">https://doi.org/10.1037/0022-006X.70.1.6</w:t>
        </w:r>
      </w:hyperlink>
    </w:p>
    <w:bookmarkEnd w:id="193"/>
    <w:bookmarkStart w:id="195" w:name="ref-Cieciuch2014"/>
    <w:p>
      <w:pPr>
        <w:pStyle w:val="Bibliography"/>
      </w:pPr>
      <w:r>
        <w:t xml:space="preserve">Cieciuch, J., Davidov, E., Schmidt, P., Algesheimer, R., &amp; Schwartz, S. H. (2014). Comparing results of an exact vs.</w:t>
      </w:r>
      <w:r>
        <w:t xml:space="preserve"> </w:t>
      </w:r>
      <w:r>
        <w:t xml:space="preserve">an</w:t>
      </w:r>
      <w:r>
        <w:t xml:space="preserve"> </w:t>
      </w:r>
      <w:r>
        <w:t xml:space="preserve">approximate (</w:t>
      </w:r>
      <w:r>
        <w:t xml:space="preserve">Bayesian</w:t>
      </w:r>
      <w:r>
        <w:t xml:space="preserve">) measurement invariance test:</w:t>
      </w:r>
      <w:r>
        <w:t xml:space="preserve"> </w:t>
      </w:r>
      <w:r>
        <w:t xml:space="preserve">A</w:t>
      </w:r>
      <w:r>
        <w:t xml:space="preserve"> </w:t>
      </w:r>
      <w:r>
        <w:t xml:space="preserve">cross-country illustration with a scale to measure 19 human values.</w:t>
      </w:r>
      <w:r>
        <w:t xml:space="preserve"> </w:t>
      </w:r>
      <w:r>
        <w:rPr>
          <w:i/>
          <w:iCs/>
        </w:rPr>
        <w:t xml:space="preserve">Frontiers in Psychology</w:t>
      </w:r>
      <w:r>
        <w:t xml:space="preserve">,</w:t>
      </w:r>
      <w:r>
        <w:t xml:space="preserve"> </w:t>
      </w:r>
      <w:r>
        <w:rPr>
          <w:i/>
          <w:iCs/>
        </w:rPr>
        <w:t xml:space="preserve">5</w:t>
      </w:r>
      <w:r>
        <w:t xml:space="preserve">(982).</w:t>
      </w:r>
      <w:r>
        <w:t xml:space="preserve"> </w:t>
      </w:r>
      <w:hyperlink r:id="rId194">
        <w:r>
          <w:rPr>
            <w:rStyle w:val="Hyperlink"/>
          </w:rPr>
          <w:t xml:space="preserve">https://doi.org/10.3389/fpsyg.2014.00982</w:t>
        </w:r>
      </w:hyperlink>
    </w:p>
    <w:bookmarkEnd w:id="195"/>
    <w:bookmarkStart w:id="197" w:name="ref-Coghill2012"/>
    <w:p>
      <w:pPr>
        <w:pStyle w:val="Bibliography"/>
      </w:pPr>
      <w:r>
        <w:t xml:space="preserve">Coghill, D., &amp; Sonuga-Barke, E. J. S. (2012).</w:t>
      </w:r>
      <w:r>
        <w:t xml:space="preserve"> </w:t>
      </w:r>
      <w:r>
        <w:t xml:space="preserve">Annual Research Review</w:t>
      </w:r>
      <w:r>
        <w:t xml:space="preserve">:</w:t>
      </w:r>
      <w:r>
        <w:t xml:space="preserve"> </w:t>
      </w:r>
      <w:r>
        <w:t xml:space="preserve">Categories</w:t>
      </w:r>
      <w:r>
        <w:t xml:space="preserve"> </w:t>
      </w:r>
      <w:r>
        <w:t xml:space="preserve">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96">
        <w:r>
          <w:rPr>
            <w:rStyle w:val="Hyperlink"/>
          </w:rPr>
          <w:t xml:space="preserve">https://doi.org/10.1111/j.1469-7610.2011.02511.x</w:t>
        </w:r>
      </w:hyperlink>
    </w:p>
    <w:bookmarkEnd w:id="197"/>
    <w:bookmarkStart w:id="199"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98">
        <w:r>
          <w:rPr>
            <w:rStyle w:val="Hyperlink"/>
          </w:rPr>
          <w:t xml:space="preserve">https://doi.org/10.1177/0146621612470210</w:t>
        </w:r>
      </w:hyperlink>
    </w:p>
    <w:bookmarkEnd w:id="199"/>
    <w:bookmarkStart w:id="201" w:name="ref-Curran2008"/>
    <w:p>
      <w:pPr>
        <w:pStyle w:val="Bibliography"/>
      </w:pPr>
      <w:r>
        <w:t xml:space="preserve">Curran, P. J., Hussong, A. M., Cai, L., Huang, W., Chassin, L., Sher, K. J., &amp; Zucker, R. A. (2008). Pooling data from multiple longitudinal studies:</w:t>
      </w:r>
      <w:r>
        <w:t xml:space="preserve"> </w:t>
      </w:r>
      <w:r>
        <w:t xml:space="preserve">The</w:t>
      </w:r>
      <w:r>
        <w:t xml:space="preserve"> </w:t>
      </w:r>
      <w:r>
        <w:t xml:space="preserve">role of item response theory in integrative data analysis.</w:t>
      </w:r>
      <w:r>
        <w:t xml:space="preserve"> </w:t>
      </w:r>
      <w:r>
        <w:rPr>
          <w:i/>
          <w:iCs/>
        </w:rPr>
        <w:t xml:space="preserve">Developmental Psychology</w:t>
      </w:r>
      <w:r>
        <w:t xml:space="preserve">,</w:t>
      </w:r>
      <w:r>
        <w:t xml:space="preserve"> </w:t>
      </w:r>
      <w:r>
        <w:rPr>
          <w:i/>
          <w:iCs/>
        </w:rPr>
        <w:t xml:space="preserve">44</w:t>
      </w:r>
      <w:r>
        <w:t xml:space="preserve">(2), 365.</w:t>
      </w:r>
      <w:r>
        <w:t xml:space="preserve"> </w:t>
      </w:r>
      <w:hyperlink r:id="rId200">
        <w:r>
          <w:rPr>
            <w:rStyle w:val="Hyperlink"/>
          </w:rPr>
          <w:t xml:space="preserve">https://doi.org/10.1037/0012-1649.44.2.365</w:t>
        </w:r>
      </w:hyperlink>
    </w:p>
    <w:bookmarkEnd w:id="201"/>
    <w:bookmarkStart w:id="203" w:name="ref-Curran2014"/>
    <w:p>
      <w:pPr>
        <w:pStyle w:val="Bibliography"/>
      </w:pPr>
      <w:r>
        <w:t xml:space="preserve">Curran, P. J., McGinley, J. S., Bauer, D. J., Hussong, A. M., Burns, A., Chassin, L., Sher, K., &amp; Zucker, R. (2014). A moderated nonlinear factor model for the development of commensurate measures in integrative data analysis.</w:t>
      </w:r>
      <w:r>
        <w:t xml:space="preserve"> </w:t>
      </w:r>
      <w:r>
        <w:rPr>
          <w:i/>
          <w:iCs/>
        </w:rPr>
        <w:t xml:space="preserve">Multivariate Behavioral Research</w:t>
      </w:r>
      <w:r>
        <w:t xml:space="preserve">,</w:t>
      </w:r>
      <w:r>
        <w:t xml:space="preserve"> </w:t>
      </w:r>
      <w:r>
        <w:rPr>
          <w:i/>
          <w:iCs/>
        </w:rPr>
        <w:t xml:space="preserve">49</w:t>
      </w:r>
      <w:r>
        <w:t xml:space="preserve">(3), 214–231.</w:t>
      </w:r>
      <w:r>
        <w:t xml:space="preserve"> </w:t>
      </w:r>
      <w:hyperlink r:id="rId202">
        <w:r>
          <w:rPr>
            <w:rStyle w:val="Hyperlink"/>
          </w:rPr>
          <w:t xml:space="preserve">https://doi.org/10.1080/00273171.2014.889594</w:t>
        </w:r>
      </w:hyperlink>
    </w:p>
    <w:bookmarkEnd w:id="203"/>
    <w:bookmarkStart w:id="205" w:name="ref-DeLosReyes2026"/>
    <w:p>
      <w:pPr>
        <w:pStyle w:val="Bibliography"/>
      </w:pPr>
      <w:r>
        <w:t xml:space="preserve">De Los Reyes, A. (2026). Toward integrative, multisource, and multimodal approaches to assessing psychopathology intergenerationally and across the lifespan:</w:t>
      </w:r>
      <w:r>
        <w:t xml:space="preserve"> </w:t>
      </w:r>
      <w:r>
        <w:t xml:space="preserve">Commentary</w:t>
      </w:r>
      <w:r>
        <w:t xml:space="preserve"> </w:t>
      </w:r>
      <w:r>
        <w:t xml:space="preserve">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204">
        <w:r>
          <w:rPr>
            <w:rStyle w:val="Hyperlink"/>
          </w:rPr>
          <w:t xml:space="preserve">https://doi.org/10.1037/abn0001084</w:t>
        </w:r>
      </w:hyperlink>
    </w:p>
    <w:bookmarkEnd w:id="205"/>
    <w:bookmarkStart w:id="207" w:name="ref-DeLosReyes2025"/>
    <w:p>
      <w:pPr>
        <w:pStyle w:val="Bibliography"/>
      </w:pPr>
      <w:r>
        <w:t xml:space="preserve">De Los Reyes, A., L., O. F., J., R. S., Armando, P., D., M. B., Mo, W., &amp; Charamut, N. R. and. (2025). Editorial:</w:t>
      </w:r>
      <w:r>
        <w:t xml:space="preserve"> </w:t>
      </w:r>
      <w:r>
        <w:t xml:space="preserve">Fairness</w:t>
      </w:r>
      <w:r>
        <w:t xml:space="preserve">, validity, and transparency in what researchers assume when testing for measurement invariance.</w:t>
      </w:r>
      <w:r>
        <w:t xml:space="preserve"> </w:t>
      </w:r>
      <w:r>
        <w:rPr>
          <w:i/>
          <w:iCs/>
        </w:rPr>
        <w:t xml:space="preserve">Journal of Clinical Child &amp; Adolescent Psychology</w:t>
      </w:r>
      <w:r>
        <w:t xml:space="preserve">,</w:t>
      </w:r>
      <w:r>
        <w:t xml:space="preserve"> </w:t>
      </w:r>
      <w:r>
        <w:rPr>
          <w:i/>
          <w:iCs/>
        </w:rPr>
        <w:t xml:space="preserve">54</w:t>
      </w:r>
      <w:r>
        <w:t xml:space="preserve">(3), 299–317.</w:t>
      </w:r>
      <w:r>
        <w:t xml:space="preserve"> </w:t>
      </w:r>
      <w:hyperlink r:id="rId206">
        <w:r>
          <w:rPr>
            <w:rStyle w:val="Hyperlink"/>
          </w:rPr>
          <w:t xml:space="preserve">https://doi.org/10.1080/15374416.2025.2484813</w:t>
        </w:r>
      </w:hyperlink>
    </w:p>
    <w:bookmarkEnd w:id="207"/>
    <w:bookmarkStart w:id="209" w:name="ref-DeLosReyes2013"/>
    <w:p>
      <w:pPr>
        <w:pStyle w:val="Bibliography"/>
      </w:pPr>
      <w:r>
        <w:t xml:space="preserve">De Los Reyes, A., Thomas, S. A., Goodman, K. L., &amp; Kundey, S. M. A. (2013). Principles underlying the use of multiple informants’ reports.</w:t>
      </w:r>
      <w:r>
        <w:t xml:space="preserve"> </w:t>
      </w:r>
      <w:r>
        <w:rPr>
          <w:i/>
          <w:iCs/>
        </w:rPr>
        <w:t xml:space="preserve">Annual Review of Clinical Psychology</w:t>
      </w:r>
      <w:r>
        <w:t xml:space="preserve">,</w:t>
      </w:r>
      <w:r>
        <w:t xml:space="preserve"> </w:t>
      </w:r>
      <w:r>
        <w:rPr>
          <w:i/>
          <w:iCs/>
        </w:rPr>
        <w:t xml:space="preserve">9</w:t>
      </w:r>
      <w:r>
        <w:t xml:space="preserve">(1), 123–149.</w:t>
      </w:r>
      <w:r>
        <w:t xml:space="preserve"> </w:t>
      </w:r>
      <w:hyperlink r:id="rId208">
        <w:r>
          <w:rPr>
            <w:rStyle w:val="Hyperlink"/>
          </w:rPr>
          <w:t xml:space="preserve">https://doi.org/10.1146/annurev-clinpsy-050212-185617</w:t>
        </w:r>
      </w:hyperlink>
    </w:p>
    <w:bookmarkEnd w:id="209"/>
    <w:bookmarkStart w:id="211"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210">
        <w:r>
          <w:rPr>
            <w:rStyle w:val="Hyperlink"/>
          </w:rPr>
          <w:t xml:space="preserve">https://doi.org/10.1126/science.2270481</w:t>
        </w:r>
      </w:hyperlink>
    </w:p>
    <w:bookmarkEnd w:id="211"/>
    <w:bookmarkStart w:id="213" w:name="ref-Edwards2012"/>
    <w:p>
      <w:pPr>
        <w:pStyle w:val="Bibliography"/>
      </w:pPr>
      <w:r>
        <w:t xml:space="preserve">Edwards, M. C., &amp; Wirth, R. J. (2012). Valid measurement without factorial invariance:</w:t>
      </w:r>
      <w:r>
        <w:t xml:space="preserve"> </w:t>
      </w:r>
      <w:r>
        <w:t xml:space="preserve">A</w:t>
      </w:r>
      <w:r>
        <w:t xml:space="preserve"> </w:t>
      </w:r>
      <w:r>
        <w:t xml:space="preserve">longitudinal example. In G. R. Hancock &amp; J. R. Harring (Eds.),</w:t>
      </w:r>
      <w:r>
        <w:t xml:space="preserve"> </w:t>
      </w:r>
      <w:r>
        <w:rPr>
          <w:i/>
          <w:iCs/>
        </w:rPr>
        <w:t xml:space="preserve">Advances in longitudinal methods in the social and behavioral sciences</w:t>
      </w:r>
      <w:r>
        <w:t xml:space="preserve"> </w:t>
      </w:r>
      <w:r>
        <w:t xml:space="preserve">(pp. 289–311). Information Age Publishing.</w:t>
      </w:r>
      <w:r>
        <w:t xml:space="preserve"> </w:t>
      </w:r>
      <w:hyperlink r:id="rId212">
        <w:r>
          <w:rPr>
            <w:rStyle w:val="Hyperlink"/>
          </w:rPr>
          <w:t xml:space="preserve">https://doi.org/10.1108/978-1-61735-891-320251015</w:t>
        </w:r>
      </w:hyperlink>
    </w:p>
    <w:bookmarkEnd w:id="213"/>
    <w:bookmarkStart w:id="215"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214">
        <w:r>
          <w:rPr>
            <w:rStyle w:val="Hyperlink"/>
          </w:rPr>
          <w:t xml:space="preserve">https://doi.org/10.2307/2095245</w:t>
        </w:r>
      </w:hyperlink>
    </w:p>
    <w:bookmarkEnd w:id="215"/>
    <w:bookmarkStart w:id="216" w:name="ref-Enders2022"/>
    <w:p>
      <w:pPr>
        <w:pStyle w:val="Bibliography"/>
      </w:pPr>
      <w:r>
        <w:t xml:space="preserve">Enders, C. K. (2022).</w:t>
      </w:r>
      <w:r>
        <w:t xml:space="preserve"> </w:t>
      </w:r>
      <w:r>
        <w:rPr>
          <w:i/>
          <w:iCs/>
        </w:rPr>
        <w:t xml:space="preserve">Applied missing data analysis</w:t>
      </w:r>
      <w:r>
        <w:t xml:space="preserve">. Guilford Publications.</w:t>
      </w:r>
    </w:p>
    <w:bookmarkEnd w:id="216"/>
    <w:bookmarkStart w:id="218" w:name="ref-Enders2025"/>
    <w:p>
      <w:pPr>
        <w:pStyle w:val="Bibliography"/>
      </w:pPr>
      <w:r>
        <w:t xml:space="preserve">Enders, C. K. (2025). Missing data:</w:t>
      </w:r>
      <w:r>
        <w:t xml:space="preserve"> </w:t>
      </w:r>
      <w:r>
        <w:t xml:space="preserve">An</w:t>
      </w:r>
      <w:r>
        <w:t xml:space="preserve"> </w:t>
      </w:r>
      <w:r>
        <w:t xml:space="preserve">update on the state of the art.</w:t>
      </w:r>
      <w:r>
        <w:t xml:space="preserve"> </w:t>
      </w:r>
      <w:r>
        <w:rPr>
          <w:i/>
          <w:iCs/>
        </w:rPr>
        <w:t xml:space="preserve">Psychological Methods</w:t>
      </w:r>
      <w:r>
        <w:t xml:space="preserve">,</w:t>
      </w:r>
      <w:r>
        <w:t xml:space="preserve"> </w:t>
      </w:r>
      <w:r>
        <w:rPr>
          <w:i/>
          <w:iCs/>
        </w:rPr>
        <w:t xml:space="preserve">30</w:t>
      </w:r>
      <w:r>
        <w:t xml:space="preserve">(2), 322–339.</w:t>
      </w:r>
      <w:r>
        <w:t xml:space="preserve"> </w:t>
      </w:r>
      <w:hyperlink r:id="rId217">
        <w:r>
          <w:rPr>
            <w:rStyle w:val="Hyperlink"/>
          </w:rPr>
          <w:t xml:space="preserve">https://doi.org/10.1037/met0000563</w:t>
        </w:r>
      </w:hyperlink>
    </w:p>
    <w:bookmarkEnd w:id="218"/>
    <w:bookmarkStart w:id="220" w:name="ref-Fairchild2013"/>
    <w:p>
      <w:pPr>
        <w:pStyle w:val="Bibliography"/>
      </w:pPr>
      <w:r>
        <w:t xml:space="preserve">Fairchild, G., Goozen, S. H. M. van, Calder, A. J., &amp; Goodyer, I. M. (2013).</w:t>
      </w:r>
      <w:r>
        <w:t xml:space="preserve"> </w:t>
      </w:r>
      <w:r>
        <w:t xml:space="preserve">Research Review</w:t>
      </w:r>
      <w:r>
        <w:t xml:space="preserve">:</w:t>
      </w:r>
      <w:r>
        <w:t xml:space="preserve"> </w:t>
      </w:r>
      <w:r>
        <w:t xml:space="preserve">Evaluating and reformulating the developmental taxonomic theory of antisocial behaviour</w:t>
      </w:r>
      <w:r>
        <w:t xml:space="preserve">.</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219">
        <w:r>
          <w:rPr>
            <w:rStyle w:val="Hyperlink"/>
          </w:rPr>
          <w:t xml:space="preserve">https://doi.org/10.1111/jcpp.12102</w:t>
        </w:r>
      </w:hyperlink>
    </w:p>
    <w:bookmarkEnd w:id="220"/>
    <w:bookmarkStart w:id="222" w:name="ref-Farrington2023"/>
    <w:p>
      <w:pPr>
        <w:pStyle w:val="Bibliography"/>
      </w:pPr>
      <w:r>
        <w:t xml:space="preserve">Farrington, D. P., Piquero, A. R., Jennings, W. G., &amp; Jolliffe, D. (2023).</w:t>
      </w:r>
      <w:r>
        <w:t xml:space="preserve"> </w:t>
      </w:r>
      <w:r>
        <w:rPr>
          <w:i/>
          <w:iCs/>
        </w:rPr>
        <w:t xml:space="preserve">Offending from childhood to late middle age:</w:t>
      </w:r>
      <w:r>
        <w:rPr>
          <w:i/>
          <w:iCs/>
        </w:rPr>
        <w:t xml:space="preserve"> </w:t>
      </w:r>
      <w:r>
        <w:rPr>
          <w:i/>
          <w:iCs/>
        </w:rPr>
        <w:t xml:space="preserve">Recent</w:t>
      </w:r>
      <w:r>
        <w:rPr>
          <w:i/>
          <w:iCs/>
        </w:rPr>
        <w:t xml:space="preserve"> </w:t>
      </w:r>
      <w:r>
        <w:rPr>
          <w:i/>
          <w:iCs/>
        </w:rPr>
        <w:t xml:space="preserve">results from the</w:t>
      </w:r>
      <w:r>
        <w:rPr>
          <w:i/>
          <w:iCs/>
        </w:rPr>
        <w:t xml:space="preserve"> </w:t>
      </w:r>
      <w:r>
        <w:rPr>
          <w:i/>
          <w:iCs/>
        </w:rPr>
        <w:t xml:space="preserve">Cambridge Study in Delinquent Development</w:t>
      </w:r>
      <w:r>
        <w:t xml:space="preserve"> </w:t>
      </w:r>
      <w:r>
        <w:t xml:space="preserve">(pp. 47–71). Springer New York.</w:t>
      </w:r>
      <w:r>
        <w:t xml:space="preserve"> </w:t>
      </w:r>
      <w:hyperlink r:id="rId221">
        <w:r>
          <w:rPr>
            <w:rStyle w:val="Hyperlink"/>
          </w:rPr>
          <w:t xml:space="preserve">https://doi.org/10.1007/978-1-0716-3335-9_5</w:t>
        </w:r>
      </w:hyperlink>
    </w:p>
    <w:bookmarkEnd w:id="222"/>
    <w:bookmarkStart w:id="224" w:name="ref-Ferrer2004"/>
    <w:p>
      <w:pPr>
        <w:pStyle w:val="Bibliography"/>
      </w:pPr>
      <w:r>
        <w:t xml:space="preserve">Ferrer, E., Salthouse, T. A., Stewart, W. F., &amp; Schwartz, B. S. (2004). Modeling age and retest processes in longitudinal studies of cognitive abilities.</w:t>
      </w:r>
      <w:r>
        <w:t xml:space="preserve"> </w:t>
      </w:r>
      <w:r>
        <w:rPr>
          <w:i/>
          <w:iCs/>
        </w:rPr>
        <w:t xml:space="preserve">Psychology and Aging</w:t>
      </w:r>
      <w:r>
        <w:t xml:space="preserve">,</w:t>
      </w:r>
      <w:r>
        <w:t xml:space="preserve"> </w:t>
      </w:r>
      <w:r>
        <w:rPr>
          <w:i/>
          <w:iCs/>
        </w:rPr>
        <w:t xml:space="preserve">19</w:t>
      </w:r>
      <w:r>
        <w:t xml:space="preserve">(2), 243–259.</w:t>
      </w:r>
      <w:r>
        <w:t xml:space="preserve"> </w:t>
      </w:r>
      <w:hyperlink r:id="rId223">
        <w:r>
          <w:rPr>
            <w:rStyle w:val="Hyperlink"/>
          </w:rPr>
          <w:t xml:space="preserve">https://doi.org/10.1037/0882-7974.19.2.243</w:t>
        </w:r>
      </w:hyperlink>
    </w:p>
    <w:bookmarkEnd w:id="224"/>
    <w:bookmarkStart w:id="226" w:name="ref-Forbes2016"/>
    <w:p>
      <w:pPr>
        <w:pStyle w:val="Bibliography"/>
      </w:pPr>
      <w:r>
        <w:t xml:space="preserve">Forbes, M. K., Tackett, J. L., Markon, K. E., &amp; Krueger, R. F. (2016). Beyond comorbidity:</w:t>
      </w:r>
      <w:r>
        <w:t xml:space="preserve"> </w:t>
      </w:r>
      <w:r>
        <w:t xml:space="preserve">Toward</w:t>
      </w:r>
      <w:r>
        <w:t xml:space="preserve"> </w:t>
      </w:r>
      <w:r>
        <w:t xml:space="preserve">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225">
        <w:r>
          <w:rPr>
            <w:rStyle w:val="Hyperlink"/>
          </w:rPr>
          <w:t xml:space="preserve">https://doi.org/10.1017/S0954579416000651</w:t>
        </w:r>
      </w:hyperlink>
    </w:p>
    <w:bookmarkEnd w:id="226"/>
    <w:bookmarkStart w:id="228" w:name="ref-Frick2004"/>
    <w:p>
      <w:pPr>
        <w:pStyle w:val="Bibliography"/>
      </w:pPr>
      <w:r>
        <w:t xml:space="preserve">Frick, P. J., &amp; Morris, A. S. (2004). Temperament and developmental pathways to conduct problems.</w:t>
      </w:r>
      <w:r>
        <w:t xml:space="preserve"> </w:t>
      </w:r>
      <w:r>
        <w:rPr>
          <w:i/>
          <w:iCs/>
        </w:rPr>
        <w:t xml:space="preserve">Journal of Clinical Child &amp; Adolescent Psychology</w:t>
      </w:r>
      <w:r>
        <w:t xml:space="preserve">,</w:t>
      </w:r>
      <w:r>
        <w:t xml:space="preserve"> </w:t>
      </w:r>
      <w:r>
        <w:rPr>
          <w:i/>
          <w:iCs/>
        </w:rPr>
        <w:t xml:space="preserve">33</w:t>
      </w:r>
      <w:r>
        <w:t xml:space="preserve">(1), 54–68.</w:t>
      </w:r>
      <w:r>
        <w:t xml:space="preserve"> </w:t>
      </w:r>
      <w:hyperlink r:id="rId227">
        <w:r>
          <w:rPr>
            <w:rStyle w:val="Hyperlink"/>
          </w:rPr>
          <w:t xml:space="preserve">https://doi.org/10.1207/S15374424JCCP3301_6</w:t>
        </w:r>
      </w:hyperlink>
    </w:p>
    <w:bookmarkEnd w:id="228"/>
    <w:bookmarkStart w:id="230" w:name="ref-Funder2024"/>
    <w:p>
      <w:pPr>
        <w:pStyle w:val="Bibliography"/>
      </w:pPr>
      <w:r>
        <w:t xml:space="preserve">Funder, D. C., &amp; Gardiner, G. (2024).</w:t>
      </w:r>
      <w:r>
        <w:t xml:space="preserve"> </w:t>
      </w:r>
      <w:r>
        <w:t xml:space="preserve">MIsgivings</w:t>
      </w:r>
      <w:r>
        <w:t xml:space="preserve"> </w:t>
      </w:r>
      <w:r>
        <w:t xml:space="preserve">about measurement invariance.</w:t>
      </w:r>
      <w:r>
        <w:t xml:space="preserve"> </w:t>
      </w:r>
      <w:r>
        <w:rPr>
          <w:i/>
          <w:iCs/>
        </w:rPr>
        <w:t xml:space="preserve">European Journal of Personality</w:t>
      </w:r>
      <w:r>
        <w:t xml:space="preserve">,</w:t>
      </w:r>
      <w:r>
        <w:t xml:space="preserve"> </w:t>
      </w:r>
      <w:r>
        <w:rPr>
          <w:i/>
          <w:iCs/>
        </w:rPr>
        <w:t xml:space="preserve">38</w:t>
      </w:r>
      <w:r>
        <w:t xml:space="preserve">(6), 889–895.</w:t>
      </w:r>
      <w:r>
        <w:t xml:space="preserve"> </w:t>
      </w:r>
      <w:hyperlink r:id="rId229">
        <w:r>
          <w:rPr>
            <w:rStyle w:val="Hyperlink"/>
          </w:rPr>
          <w:t xml:space="preserve">https://doi.org/10.1177/08902070241228338</w:t>
        </w:r>
      </w:hyperlink>
    </w:p>
    <w:bookmarkEnd w:id="230"/>
    <w:bookmarkStart w:id="231"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231"/>
    <w:bookmarkStart w:id="233" w:name="ref-Godoy2021"/>
    <w:p>
      <w:pPr>
        <w:pStyle w:val="Bibliography"/>
      </w:pPr>
      <w:r>
        <w:t xml:space="preserve">Godoy, L. L. de, Alves, C. A. P. F., Saavedra, J. S. M., Studart-Neto, A., Nitrini, R., Costa Leite, C. da, &amp; Bisdas, S. (2021). Understanding brain resilience in superagers:</w:t>
      </w:r>
      <w:r>
        <w:t xml:space="preserve"> </w:t>
      </w:r>
      <w:r>
        <w:t xml:space="preserve">A</w:t>
      </w:r>
      <w:r>
        <w:t xml:space="preserve"> </w:t>
      </w:r>
      <w:r>
        <w:t xml:space="preserve">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232">
        <w:r>
          <w:rPr>
            <w:rStyle w:val="Hyperlink"/>
          </w:rPr>
          <w:t xml:space="preserve">https://doi.org/10.1007/s00234-020-02562-1</w:t>
        </w:r>
      </w:hyperlink>
    </w:p>
    <w:bookmarkEnd w:id="233"/>
    <w:bookmarkStart w:id="235"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234">
        <w:r>
          <w:rPr>
            <w:rStyle w:val="Hyperlink"/>
          </w:rPr>
          <w:t xml:space="preserve">https://doi.org/10.1017/S0954579421001772</w:t>
        </w:r>
      </w:hyperlink>
    </w:p>
    <w:bookmarkEnd w:id="235"/>
    <w:bookmarkStart w:id="237"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236">
        <w:r>
          <w:rPr>
            <w:rStyle w:val="Hyperlink"/>
          </w:rPr>
          <w:t xml:space="preserve">https://doi.org/10.1378/chest.116.5.1208</w:t>
        </w:r>
      </w:hyperlink>
    </w:p>
    <w:bookmarkEnd w:id="237"/>
    <w:bookmarkStart w:id="239" w:name="ref-Hancock2008"/>
    <w:p>
      <w:pPr>
        <w:pStyle w:val="Bibliography"/>
      </w:pPr>
      <w:r>
        <w:t xml:space="preserve">Hancock, G. R., &amp; Buehl, M. M. (2008). Second-order latent growth models with shifting indicators.</w:t>
      </w:r>
      <w:r>
        <w:t xml:space="preserve"> </w:t>
      </w:r>
      <w:r>
        <w:rPr>
          <w:i/>
          <w:iCs/>
        </w:rPr>
        <w:t xml:space="preserve">Journal of Modern Applied Statistical Methods</w:t>
      </w:r>
      <w:r>
        <w:t xml:space="preserve">,</w:t>
      </w:r>
      <w:r>
        <w:t xml:space="preserve"> </w:t>
      </w:r>
      <w:r>
        <w:rPr>
          <w:i/>
          <w:iCs/>
        </w:rPr>
        <w:t xml:space="preserve">7</w:t>
      </w:r>
      <w:r>
        <w:t xml:space="preserve">(1), 39–55.</w:t>
      </w:r>
      <w:r>
        <w:t xml:space="preserve"> </w:t>
      </w:r>
      <w:hyperlink r:id="rId238">
        <w:r>
          <w:rPr>
            <w:rStyle w:val="Hyperlink"/>
          </w:rPr>
          <w:t xml:space="preserve">https://doi.org/10.22237/jmasm/1209614640</w:t>
        </w:r>
      </w:hyperlink>
    </w:p>
    <w:bookmarkEnd w:id="239"/>
    <w:bookmarkStart w:id="241" w:name="ref-QuantitudeS3E18"/>
    <w:p>
      <w:pPr>
        <w:pStyle w:val="Bibliography"/>
      </w:pPr>
      <w:r>
        <w:t xml:space="preserve">Hancock, G. R., &amp; Curran, P. J. (Hosts). (2022, February 1).</w:t>
      </w:r>
      <w:r>
        <w:t xml:space="preserve"> </w:t>
      </w:r>
      <w:r>
        <w:rPr>
          <w:i/>
          <w:iCs/>
        </w:rPr>
        <w:t xml:space="preserve">Quantitude: S3E18:</w:t>
      </w:r>
      <w:r>
        <w:rPr>
          <w:i/>
          <w:iCs/>
        </w:rPr>
        <w:t xml:space="preserve"> </w:t>
      </w:r>
      <w:r>
        <w:rPr>
          <w:i/>
          <w:iCs/>
        </w:rPr>
        <w:t xml:space="preserve">Aunt Roz’s</w:t>
      </w:r>
      <w:r>
        <w:rPr>
          <w:i/>
          <w:iCs/>
        </w:rPr>
        <w:t xml:space="preserve"> </w:t>
      </w:r>
      <w:r>
        <w:rPr>
          <w:i/>
          <w:iCs/>
        </w:rPr>
        <w:t xml:space="preserve">guide to latent means models</w:t>
      </w:r>
      <w:r>
        <w:t xml:space="preserve"> </w:t>
      </w:r>
      <w:r>
        <w:t xml:space="preserve">[Audio recording]. In Quantitude; Quantitude.</w:t>
      </w:r>
      <w:r>
        <w:t xml:space="preserve"> </w:t>
      </w:r>
      <w:hyperlink r:id="rId240">
        <w:r>
          <w:rPr>
            <w:rStyle w:val="Hyperlink"/>
          </w:rPr>
          <w:t xml:space="preserve">https://quantitudepod.org/latent-means/ (archived at: https://perma.cc/5JL3-YUPA)</w:t>
        </w:r>
      </w:hyperlink>
    </w:p>
    <w:bookmarkEnd w:id="241"/>
    <w:bookmarkStart w:id="243"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242">
        <w:r>
          <w:rPr>
            <w:rStyle w:val="Hyperlink"/>
          </w:rPr>
          <w:t xml:space="preserve">https://doi.org/10.1017/S0954579424000713</w:t>
        </w:r>
      </w:hyperlink>
    </w:p>
    <w:bookmarkEnd w:id="243"/>
    <w:bookmarkStart w:id="245" w:name="ref-Haslam2012"/>
    <w:p>
      <w:pPr>
        <w:pStyle w:val="Bibliography"/>
      </w:pPr>
      <w:r>
        <w:t xml:space="preserve">Haslam, N., Holland, E., &amp; Kuppens, P. (2012). Categories versus dimensions in personality and psychopathology:</w:t>
      </w:r>
      <w:r>
        <w:t xml:space="preserve"> </w:t>
      </w:r>
      <w:r>
        <w:t xml:space="preserve">A</w:t>
      </w:r>
      <w:r>
        <w:t xml:space="preserve"> </w:t>
      </w:r>
      <w:r>
        <w:t xml:space="preserve">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244">
        <w:r>
          <w:rPr>
            <w:rStyle w:val="Hyperlink"/>
          </w:rPr>
          <w:t xml:space="preserve">https://doi.org/10.1017/S0033291711001966</w:t>
        </w:r>
      </w:hyperlink>
    </w:p>
    <w:bookmarkEnd w:id="245"/>
    <w:bookmarkStart w:id="247" w:name="ref-Haslam2020"/>
    <w:p>
      <w:pPr>
        <w:pStyle w:val="Bibliography"/>
      </w:pPr>
      <w:r>
        <w:t xml:space="preserve">Haslam, N., McGrath, M. J., Viechtbauer, W., &amp; Kuppens, P. (2020). Dimensions over categories:</w:t>
      </w:r>
      <w:r>
        <w:t xml:space="preserve"> </w:t>
      </w:r>
      <w:r>
        <w:t xml:space="preserve">A</w:t>
      </w:r>
      <w:r>
        <w:t xml:space="preserve"> </w:t>
      </w:r>
      <w:r>
        <w:t xml:space="preserve">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246">
        <w:r>
          <w:rPr>
            <w:rStyle w:val="Hyperlink"/>
          </w:rPr>
          <w:t xml:space="preserve">https://doi.org/10.1017/S003329172000183X</w:t>
        </w:r>
      </w:hyperlink>
    </w:p>
    <w:bookmarkEnd w:id="247"/>
    <w:bookmarkStart w:id="249" w:name="ref-Hertzog2003"/>
    <w:p>
      <w:pPr>
        <w:pStyle w:val="Bibliography"/>
      </w:pPr>
      <w:r>
        <w:t xml:space="preserve">Hertzog, C., &amp; Nesselroade, J. R. (2003). Assessing psychological change in adulthood:</w:t>
      </w:r>
      <w:r>
        <w:t xml:space="preserve"> </w:t>
      </w:r>
      <w:r>
        <w:t xml:space="preserve">An</w:t>
      </w:r>
      <w:r>
        <w:t xml:space="preserve"> </w:t>
      </w:r>
      <w:r>
        <w:t xml:space="preserve">overview of methodological issues.</w:t>
      </w:r>
      <w:r>
        <w:t xml:space="preserve"> </w:t>
      </w:r>
      <w:r>
        <w:rPr>
          <w:i/>
          <w:iCs/>
        </w:rPr>
        <w:t xml:space="preserve">Psychology and Aging</w:t>
      </w:r>
      <w:r>
        <w:t xml:space="preserve">,</w:t>
      </w:r>
      <w:r>
        <w:t xml:space="preserve"> </w:t>
      </w:r>
      <w:r>
        <w:rPr>
          <w:i/>
          <w:iCs/>
        </w:rPr>
        <w:t xml:space="preserve">18</w:t>
      </w:r>
      <w:r>
        <w:t xml:space="preserve">(4), 639–657.</w:t>
      </w:r>
      <w:r>
        <w:t xml:space="preserve"> </w:t>
      </w:r>
      <w:hyperlink r:id="rId248">
        <w:r>
          <w:rPr>
            <w:rStyle w:val="Hyperlink"/>
          </w:rPr>
          <w:t xml:space="preserve">https://doi.org/10.1037/0882-7974.18.4.639</w:t>
        </w:r>
      </w:hyperlink>
    </w:p>
    <w:bookmarkEnd w:id="249"/>
    <w:bookmarkStart w:id="251" w:name="ref-Hosch2022"/>
    <w:p>
      <w:pPr>
        <w:pStyle w:val="Bibliography"/>
      </w:pPr>
      <w:r>
        <w:t xml:space="preserve">Hosch, A., Oleson, J. J., Harris, J. L., Goeltz, M. T., Neumann, T., LeBeau, B., Hazeltine, E., &amp; Petersen, I. T. (2022). Studying children’s growth in self-regulation using changing measures to account for heterotypic continuity:</w:t>
      </w:r>
      <w:r>
        <w:t xml:space="preserve"> </w:t>
      </w:r>
      <w:r>
        <w:t xml:space="preserve">A</w:t>
      </w:r>
      <w:r>
        <w:t xml:space="preserve"> </w:t>
      </w:r>
      <w:r>
        <w:t xml:space="preserve">Bayesian</w:t>
      </w:r>
      <w:r>
        <w:t xml:space="preserve"> </w:t>
      </w:r>
      <w:r>
        <w:t xml:space="preserve">approach to developmental scaling.</w:t>
      </w:r>
      <w:r>
        <w:t xml:space="preserve"> </w:t>
      </w:r>
      <w:r>
        <w:rPr>
          <w:i/>
          <w:iCs/>
        </w:rPr>
        <w:t xml:space="preserve">Developmental Science</w:t>
      </w:r>
      <w:r>
        <w:t xml:space="preserve">,</w:t>
      </w:r>
      <w:r>
        <w:t xml:space="preserve"> </w:t>
      </w:r>
      <w:r>
        <w:rPr>
          <w:i/>
          <w:iCs/>
        </w:rPr>
        <w:t xml:space="preserve">25</w:t>
      </w:r>
      <w:r>
        <w:t xml:space="preserve">(6), e13280.</w:t>
      </w:r>
      <w:r>
        <w:t xml:space="preserve"> </w:t>
      </w:r>
      <w:hyperlink r:id="rId250">
        <w:r>
          <w:rPr>
            <w:rStyle w:val="Hyperlink"/>
          </w:rPr>
          <w:t xml:space="preserve">https://doi.org/10.1111/desc.13280</w:t>
        </w:r>
      </w:hyperlink>
    </w:p>
    <w:bookmarkEnd w:id="251"/>
    <w:bookmarkStart w:id="253"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252">
        <w:r>
          <w:rPr>
            <w:rStyle w:val="Hyperlink"/>
          </w:rPr>
          <w:t xml:space="preserve">https://doi.org/10.1176/appi.ajp.2008.08030366</w:t>
        </w:r>
      </w:hyperlink>
    </w:p>
    <w:bookmarkEnd w:id="253"/>
    <w:bookmarkStart w:id="255" w:name="ref-Kaat2019"/>
    <w:p>
      <w:pPr>
        <w:pStyle w:val="Bibliography"/>
      </w:pPr>
      <w:r>
        <w:t xml:space="preserve">Kaat, A. J., Blackwell, C. K., Estabrook, R., Burns, J. L., Petitclerc, A., Briggs-Gowan, M. J., Gershon, R. C., Cella, D., Perlman, S. B., &amp; Wakschlag, L. S. (2019). Linking the</w:t>
      </w:r>
      <w:r>
        <w:t xml:space="preserve"> </w:t>
      </w:r>
      <w:r>
        <w:t xml:space="preserve">Child Behavior Checklist</w:t>
      </w:r>
      <w:r>
        <w:t xml:space="preserve"> </w:t>
      </w:r>
      <w:r>
        <w:t xml:space="preserve">(</w:t>
      </w:r>
      <w:r>
        <w:t xml:space="preserve">CBCL</w:t>
      </w:r>
      <w:r>
        <w:t xml:space="preserve">) with the</w:t>
      </w:r>
      <w:r>
        <w:t xml:space="preserve"> </w:t>
      </w:r>
      <w:r>
        <w:t xml:space="preserve">Multidimensional Assessment Profile of Disruptive Behavior</w:t>
      </w:r>
      <w:r>
        <w:t xml:space="preserve"> </w:t>
      </w:r>
      <w:r>
        <w:t xml:space="preserve">(</w:t>
      </w:r>
      <w:r>
        <w:t xml:space="preserve">MAP-DB</w:t>
      </w:r>
      <w:r>
        <w:t xml:space="preserve">):</w:t>
      </w:r>
      <w:r>
        <w:t xml:space="preserve"> </w:t>
      </w:r>
      <w:r>
        <w:t xml:space="preserve">Advancing</w:t>
      </w:r>
      <w:r>
        <w:t xml:space="preserve"> </w:t>
      </w:r>
      <w:r>
        <w:t xml:space="preserve">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254">
        <w:r>
          <w:rPr>
            <w:rStyle w:val="Hyperlink"/>
          </w:rPr>
          <w:t xml:space="preserve">https://doi.org/10.1007/s10826-018-1272-4</w:t>
        </w:r>
      </w:hyperlink>
    </w:p>
    <w:bookmarkEnd w:id="255"/>
    <w:bookmarkStart w:id="256"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56"/>
    <w:bookmarkStart w:id="257" w:name="ref-Kagan1971"/>
    <w:p>
      <w:pPr>
        <w:pStyle w:val="Bibliography"/>
      </w:pPr>
      <w:r>
        <w:t xml:space="preserve">Kagan, J. (1971).</w:t>
      </w:r>
      <w:r>
        <w:t xml:space="preserve"> </w:t>
      </w:r>
      <w:r>
        <w:rPr>
          <w:i/>
          <w:iCs/>
        </w:rPr>
        <w:t xml:space="preserve">Change and continuity in infancy</w:t>
      </w:r>
      <w:r>
        <w:t xml:space="preserve">. Wiley.</w:t>
      </w:r>
    </w:p>
    <w:bookmarkEnd w:id="257"/>
    <w:bookmarkStart w:id="258"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58"/>
    <w:bookmarkStart w:id="260" w:name="ref-Kagan1962"/>
    <w:p>
      <w:pPr>
        <w:pStyle w:val="Bibliography"/>
      </w:pPr>
      <w:r>
        <w:t xml:space="preserve">Kagan, J., &amp; Moss, H. A. (1962).</w:t>
      </w:r>
      <w:r>
        <w:t xml:space="preserve"> </w:t>
      </w:r>
      <w:r>
        <w:rPr>
          <w:i/>
          <w:iCs/>
        </w:rPr>
        <w:t xml:space="preserve">Birth to maturity:</w:t>
      </w:r>
      <w:r>
        <w:rPr>
          <w:i/>
          <w:iCs/>
        </w:rPr>
        <w:t xml:space="preserve"> </w:t>
      </w:r>
      <w:r>
        <w:rPr>
          <w:i/>
          <w:iCs/>
        </w:rPr>
        <w:t xml:space="preserve">A</w:t>
      </w:r>
      <w:r>
        <w:rPr>
          <w:i/>
          <w:iCs/>
        </w:rPr>
        <w:t xml:space="preserve"> </w:t>
      </w:r>
      <w:r>
        <w:rPr>
          <w:i/>
          <w:iCs/>
        </w:rPr>
        <w:t xml:space="preserve">study in psychological development</w:t>
      </w:r>
      <w:r>
        <w:t xml:space="preserve">. Wiley.</w:t>
      </w:r>
      <w:r>
        <w:t xml:space="preserve"> </w:t>
      </w:r>
      <w:hyperlink r:id="rId259">
        <w:r>
          <w:rPr>
            <w:rStyle w:val="Hyperlink"/>
          </w:rPr>
          <w:t xml:space="preserve">https://doi.org/10.1037/13129-000</w:t>
        </w:r>
      </w:hyperlink>
    </w:p>
    <w:bookmarkEnd w:id="260"/>
    <w:bookmarkStart w:id="262" w:name="ref-Keijsers2012"/>
    <w:p>
      <w:pPr>
        <w:pStyle w:val="Bibliography"/>
      </w:pPr>
      <w:r>
        <w:t xml:space="preserve">Keijsers, L., Loeber, R., Branje, S., &amp; Meeus, W. (2012). Parent-child relationships of boys in different offending trajectories.</w:t>
      </w:r>
      <w:r>
        <w:t xml:space="preserve"> </w:t>
      </w:r>
      <w:r>
        <w:t xml:space="preserve">A</w:t>
      </w:r>
      <w:r>
        <w:t xml:space="preserve"> </w:t>
      </w:r>
      <w:r>
        <w:t xml:space="preserve">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61">
        <w:r>
          <w:rPr>
            <w:rStyle w:val="Hyperlink"/>
          </w:rPr>
          <w:t xml:space="preserve">https://doi.org/10.1111/j.1469-7610.2012.02585.x</w:t>
        </w:r>
      </w:hyperlink>
    </w:p>
    <w:bookmarkEnd w:id="262"/>
    <w:bookmarkStart w:id="264" w:name="ref-Kim2009"/>
    <w:p>
      <w:pPr>
        <w:pStyle w:val="Bibliography"/>
      </w:pPr>
      <w:r>
        <w:t xml:space="preserve">Kim, H. K., Capaldi, D. M., Pears, K. C., Kerr, D. C. R., &amp; Owen, L. D. (2009). Intergenerational transmission of internalising and externalising behaviours across three generations:</w:t>
      </w:r>
      <w:r>
        <w:t xml:space="preserve"> </w:t>
      </w:r>
      <w:r>
        <w:t xml:space="preserve">Gender</w:t>
      </w:r>
      <w:r>
        <w:t xml:space="preserve">-specific pathways.</w:t>
      </w:r>
      <w:r>
        <w:t xml:space="preserve"> </w:t>
      </w:r>
      <w:r>
        <w:rPr>
          <w:i/>
          <w:iCs/>
        </w:rPr>
        <w:t xml:space="preserve">Criminal Behaviour and Mental Health</w:t>
      </w:r>
      <w:r>
        <w:t xml:space="preserve">,</w:t>
      </w:r>
      <w:r>
        <w:t xml:space="preserve"> </w:t>
      </w:r>
      <w:r>
        <w:rPr>
          <w:i/>
          <w:iCs/>
        </w:rPr>
        <w:t xml:space="preserve">19</w:t>
      </w:r>
      <w:r>
        <w:t xml:space="preserve">(2), 125–141.</w:t>
      </w:r>
      <w:r>
        <w:t xml:space="preserve"> </w:t>
      </w:r>
      <w:hyperlink r:id="rId263">
        <w:r>
          <w:rPr>
            <w:rStyle w:val="Hyperlink"/>
          </w:rPr>
          <w:t xml:space="preserve">https://doi.org/10.1002/cbm.708</w:t>
        </w:r>
      </w:hyperlink>
    </w:p>
    <w:bookmarkEnd w:id="264"/>
    <w:bookmarkStart w:id="266"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65">
        <w:r>
          <w:rPr>
            <w:rStyle w:val="Hyperlink"/>
          </w:rPr>
          <w:t xml:space="preserve">https://doi.org/10.1111/jora.12252</w:t>
        </w:r>
      </w:hyperlink>
    </w:p>
    <w:bookmarkEnd w:id="266"/>
    <w:bookmarkStart w:id="268" w:name="ref-Kliem2018"/>
    <w:p>
      <w:pPr>
        <w:pStyle w:val="Bibliography"/>
      </w:pPr>
      <w:r>
        <w:t xml:space="preserve">Kliem, S., Heinrichs, N., Lohmann, A., Bussing, R., Schwarzer, G., &amp; Briegel, W. (2018). Dimensional latent structure of early disruptive behavior disorders:</w:t>
      </w:r>
      <w:r>
        <w:t xml:space="preserve"> </w:t>
      </w:r>
      <w:r>
        <w:t xml:space="preserve">A</w:t>
      </w:r>
      <w:r>
        <w:t xml:space="preserve"> </w:t>
      </w:r>
      <w:r>
        <w:t xml:space="preserve">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67">
        <w:r>
          <w:rPr>
            <w:rStyle w:val="Hyperlink"/>
          </w:rPr>
          <w:t xml:space="preserve">https://doi.org/10.1007/s10802-017-0383-5</w:t>
        </w:r>
      </w:hyperlink>
    </w:p>
    <w:bookmarkEnd w:id="268"/>
    <w:bookmarkStart w:id="270"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69">
        <w:r>
          <w:rPr>
            <w:rStyle w:val="Hyperlink"/>
          </w:rPr>
          <w:t xml:space="preserve">https://doi.org/10.1007/s10802-021-00885-y</w:t>
        </w:r>
      </w:hyperlink>
    </w:p>
    <w:bookmarkEnd w:id="270"/>
    <w:bookmarkStart w:id="272" w:name="ref-Knight2010"/>
    <w:p>
      <w:pPr>
        <w:pStyle w:val="Bibliography"/>
      </w:pPr>
      <w:r>
        <w:t xml:space="preserve">Knight, G. P., &amp; Zerr, A. A. (2010). Informed theory and measurement equivalence in child development research.</w:t>
      </w:r>
      <w:r>
        <w:t xml:space="preserve"> </w:t>
      </w:r>
      <w:r>
        <w:rPr>
          <w:i/>
          <w:iCs/>
        </w:rPr>
        <w:t xml:space="preserve">Child Development Perspectives</w:t>
      </w:r>
      <w:r>
        <w:t xml:space="preserve">,</w:t>
      </w:r>
      <w:r>
        <w:t xml:space="preserve"> </w:t>
      </w:r>
      <w:r>
        <w:rPr>
          <w:i/>
          <w:iCs/>
        </w:rPr>
        <w:t xml:space="preserve">4</w:t>
      </w:r>
      <w:r>
        <w:t xml:space="preserve">(1), 25–30.</w:t>
      </w:r>
      <w:r>
        <w:t xml:space="preserve"> </w:t>
      </w:r>
      <w:hyperlink r:id="rId271">
        <w:r>
          <w:rPr>
            <w:rStyle w:val="Hyperlink"/>
          </w:rPr>
          <w:t xml:space="preserve">https://doi.org/10.1111/j.1750-8606.2009.00112.x</w:t>
        </w:r>
      </w:hyperlink>
    </w:p>
    <w:bookmarkEnd w:id="272"/>
    <w:bookmarkStart w:id="274" w:name="ref-Kolen2014"/>
    <w:p>
      <w:pPr>
        <w:pStyle w:val="Bibliography"/>
      </w:pPr>
      <w:r>
        <w:t xml:space="preserve">Kolen, M. J., &amp; Brennan, R. L. (2014).</w:t>
      </w:r>
      <w:r>
        <w:t xml:space="preserve"> </w:t>
      </w:r>
      <w:r>
        <w:rPr>
          <w:i/>
          <w:iCs/>
        </w:rPr>
        <w:t xml:space="preserve">Test equating, scaling, and linking:</w:t>
      </w:r>
      <w:r>
        <w:rPr>
          <w:i/>
          <w:iCs/>
        </w:rPr>
        <w:t xml:space="preserve"> </w:t>
      </w:r>
      <w:r>
        <w:rPr>
          <w:i/>
          <w:iCs/>
        </w:rPr>
        <w:t xml:space="preserve">Methods</w:t>
      </w:r>
      <w:r>
        <w:rPr>
          <w:i/>
          <w:iCs/>
        </w:rPr>
        <w:t xml:space="preserve"> </w:t>
      </w:r>
      <w:r>
        <w:rPr>
          <w:i/>
          <w:iCs/>
        </w:rPr>
        <w:t xml:space="preserve">and practices</w:t>
      </w:r>
      <w:r>
        <w:t xml:space="preserve"> </w:t>
      </w:r>
      <w:r>
        <w:t xml:space="preserve">(3rd ed., p. 566). Springer.</w:t>
      </w:r>
      <w:r>
        <w:t xml:space="preserve"> </w:t>
      </w:r>
      <w:hyperlink r:id="rId273">
        <w:r>
          <w:rPr>
            <w:rStyle w:val="Hyperlink"/>
          </w:rPr>
          <w:t xml:space="preserve">https://doi.org/10.1007/978-1-4939-0317-7</w:t>
        </w:r>
      </w:hyperlink>
    </w:p>
    <w:bookmarkEnd w:id="274"/>
    <w:bookmarkStart w:id="275"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75"/>
    <w:bookmarkStart w:id="277"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w:t>
      </w:r>
      <w:r>
        <w:t xml:space="preserve"> </w:t>
      </w:r>
      <w:r>
        <w:t xml:space="preserve">A</w:t>
      </w:r>
      <w:r>
        <w:t xml:space="preserve"> </w:t>
      </w:r>
      <w:r>
        <w:t xml:space="preserve">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76">
        <w:r>
          <w:rPr>
            <w:rStyle w:val="Hyperlink"/>
          </w:rPr>
          <w:t xml:space="preserve">https://doi.org/10.1037/abn0000258</w:t>
        </w:r>
      </w:hyperlink>
    </w:p>
    <w:bookmarkEnd w:id="277"/>
    <w:bookmarkStart w:id="279" w:name="ref-Kraemer2003"/>
    <w:p>
      <w:pPr>
        <w:pStyle w:val="Bibliography"/>
      </w:pPr>
      <w:r>
        <w:t xml:space="preserve">Kraemer, H. C., Measelle, J. R., Ablow, J. C., Essex, M. J., Boyce, W. T., &amp; Kupfer, D. J. (2003). A new approach to integrating data from multiple informants in psychiatric assessment and research:</w:t>
      </w:r>
      <w:r>
        <w:t xml:space="preserve"> </w:t>
      </w:r>
      <w:r>
        <w:t xml:space="preserve">Mixing</w:t>
      </w:r>
      <w:r>
        <w:t xml:space="preserve"> </w:t>
      </w:r>
      <w:r>
        <w:t xml:space="preserve">and matching contexts and perspectives.</w:t>
      </w:r>
      <w:r>
        <w:t xml:space="preserve"> </w:t>
      </w:r>
      <w:r>
        <w:rPr>
          <w:i/>
          <w:iCs/>
        </w:rPr>
        <w:t xml:space="preserve">American Journal of Psychiatry</w:t>
      </w:r>
      <w:r>
        <w:t xml:space="preserve">,</w:t>
      </w:r>
      <w:r>
        <w:t xml:space="preserve"> </w:t>
      </w:r>
      <w:r>
        <w:rPr>
          <w:i/>
          <w:iCs/>
        </w:rPr>
        <w:t xml:space="preserve">160</w:t>
      </w:r>
      <w:r>
        <w:t xml:space="preserve">(9), 1566–1577.</w:t>
      </w:r>
      <w:r>
        <w:t xml:space="preserve"> </w:t>
      </w:r>
      <w:hyperlink r:id="rId278">
        <w:r>
          <w:rPr>
            <w:rStyle w:val="Hyperlink"/>
          </w:rPr>
          <w:t xml:space="preserve">https://doi.org/10.1176/appi.ajp.160.9.1566</w:t>
        </w:r>
      </w:hyperlink>
    </w:p>
    <w:bookmarkEnd w:id="279"/>
    <w:bookmarkStart w:id="281" w:name="ref-Krueger2016"/>
    <w:p>
      <w:pPr>
        <w:pStyle w:val="Bibliography"/>
      </w:pPr>
      <w:r>
        <w:t xml:space="preserve">Krueger, R. F., &amp; DeYoung, C. G. (2016). The</w:t>
      </w:r>
      <w:r>
        <w:t xml:space="preserve"> </w:t>
      </w:r>
      <w:r>
        <w:t xml:space="preserve">RDoC</w:t>
      </w:r>
      <w:r>
        <w:t xml:space="preserve"> </w:t>
      </w:r>
      <w:r>
        <w:t xml:space="preserve">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80">
        <w:r>
          <w:rPr>
            <w:rStyle w:val="Hyperlink"/>
          </w:rPr>
          <w:t xml:space="preserve">https://doi.org/10.1111/psyp.12551</w:t>
        </w:r>
      </w:hyperlink>
    </w:p>
    <w:bookmarkEnd w:id="281"/>
    <w:bookmarkStart w:id="283"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w:t>
      </w:r>
      <w:r>
        <w:t xml:space="preserve"> </w:t>
      </w:r>
      <w:r>
        <w:t xml:space="preserve">Externalizing</w:t>
      </w:r>
      <w:r>
        <w:t xml:space="preserve"> </w:t>
      </w:r>
      <w:r>
        <w:t xml:space="preserve">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82">
        <w:r>
          <w:rPr>
            <w:rStyle w:val="Hyperlink"/>
          </w:rPr>
          <w:t xml:space="preserve">https://doi.org/10.1002/wps.20844</w:t>
        </w:r>
      </w:hyperlink>
    </w:p>
    <w:bookmarkEnd w:id="283"/>
    <w:bookmarkStart w:id="285" w:name="ref-Krueger2011"/>
    <w:p>
      <w:pPr>
        <w:pStyle w:val="Bibliography"/>
      </w:pPr>
      <w:r>
        <w:t xml:space="preserve">Krueger, R. F., &amp; Markon, K. E. (2011). A dimensional-spectrum model of psychopathology:</w:t>
      </w:r>
      <w:r>
        <w:t xml:space="preserve"> </w:t>
      </w:r>
      <w:r>
        <w:t xml:space="preserve">Progress</w:t>
      </w:r>
      <w:r>
        <w:t xml:space="preserve"> </w:t>
      </w:r>
      <w:r>
        <w:t xml:space="preserve">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84">
        <w:r>
          <w:rPr>
            <w:rStyle w:val="Hyperlink"/>
          </w:rPr>
          <w:t xml:space="preserve">https://doi.org/10.1001/archgenpsychiatry.2010.188</w:t>
        </w:r>
      </w:hyperlink>
    </w:p>
    <w:bookmarkEnd w:id="285"/>
    <w:bookmarkStart w:id="287" w:name="ref-Krueger2007"/>
    <w:p>
      <w:pPr>
        <w:pStyle w:val="Bibliography"/>
      </w:pPr>
      <w:r>
        <w:t xml:space="preserve">Krueger, R. F., Markon, K. E., Patrick, C. J., Benning, S. D., &amp; Kramer, M. D. (2007). Linking antisocial behavior, substance use, and personality:</w:t>
      </w:r>
      <w:r>
        <w:t xml:space="preserve"> </w:t>
      </w:r>
      <w:r>
        <w:t xml:space="preserve">An</w:t>
      </w:r>
      <w:r>
        <w:t xml:space="preserve"> </w:t>
      </w:r>
      <w:r>
        <w:t xml:space="preserve">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86">
        <w:r>
          <w:rPr>
            <w:rStyle w:val="Hyperlink"/>
          </w:rPr>
          <w:t xml:space="preserve">https://doi.org/10.1037/0021-843X.116.4.645</w:t>
        </w:r>
      </w:hyperlink>
    </w:p>
    <w:bookmarkEnd w:id="287"/>
    <w:bookmarkStart w:id="289" w:name="ref-Krueger2005"/>
    <w:p>
      <w:pPr>
        <w:pStyle w:val="Bibliography"/>
      </w:pPr>
      <w:r>
        <w:t xml:space="preserve">Krueger, R. F., Markon, K. E., Patrick, C. J., &amp; Iacono, W. G. (2005). Externalizing psychopathology in adulthood:</w:t>
      </w:r>
      <w:r>
        <w:t xml:space="preserve"> </w:t>
      </w:r>
      <w:r>
        <w:t xml:space="preserve">A</w:t>
      </w:r>
      <w:r>
        <w:t xml:space="preserve"> </w:t>
      </w:r>
      <w:r>
        <w:t xml:space="preserve">dimensional-spectrum conceptualization and its implications for</w:t>
      </w:r>
      <w:r>
        <w:t xml:space="preserve"> </w:t>
      </w:r>
      <w:r>
        <w:t xml:space="preserve">DSM-V</w:t>
      </w:r>
      <w:r>
        <w:t xml:space="preserve">.</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88">
        <w:r>
          <w:rPr>
            <w:rStyle w:val="Hyperlink"/>
          </w:rPr>
          <w:t xml:space="preserve">https://doi.org/10.1037/0021-843x.114.4.537</w:t>
        </w:r>
      </w:hyperlink>
    </w:p>
    <w:bookmarkEnd w:id="289"/>
    <w:bookmarkStart w:id="291"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90">
        <w:r>
          <w:rPr>
            <w:rStyle w:val="Hyperlink"/>
          </w:rPr>
          <w:t xml:space="preserve">https://doi.org/10.1037/1040-3590.16.2.107</w:t>
        </w:r>
      </w:hyperlink>
    </w:p>
    <w:bookmarkEnd w:id="291"/>
    <w:bookmarkStart w:id="293"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92">
        <w:r>
          <w:rPr>
            <w:rStyle w:val="Hyperlink"/>
          </w:rPr>
          <w:t xml:space="preserve">https://doi.org/10.1016/S0005-7967(02)00016-5</w:t>
        </w:r>
      </w:hyperlink>
    </w:p>
    <w:bookmarkEnd w:id="293"/>
    <w:bookmarkStart w:id="295" w:name="ref-Lai2023"/>
    <w:p>
      <w:pPr>
        <w:pStyle w:val="Bibliography"/>
      </w:pPr>
      <w:r>
        <w:t xml:space="preserve">Lai, M. H. C. (2023). Adjusting for measurement noninvariance with alignment in growth modeling.</w:t>
      </w:r>
      <w:r>
        <w:t xml:space="preserve"> </w:t>
      </w:r>
      <w:r>
        <w:rPr>
          <w:i/>
          <w:iCs/>
        </w:rPr>
        <w:t xml:space="preserve">Multivariate Behavioral Research</w:t>
      </w:r>
      <w:r>
        <w:t xml:space="preserve">,</w:t>
      </w:r>
      <w:r>
        <w:t xml:space="preserve"> </w:t>
      </w:r>
      <w:r>
        <w:rPr>
          <w:i/>
          <w:iCs/>
        </w:rPr>
        <w:t xml:space="preserve">58</w:t>
      </w:r>
      <w:r>
        <w:t xml:space="preserve">(1), 30–47.</w:t>
      </w:r>
      <w:r>
        <w:t xml:space="preserve"> </w:t>
      </w:r>
      <w:hyperlink r:id="rId294">
        <w:r>
          <w:rPr>
            <w:rStyle w:val="Hyperlink"/>
          </w:rPr>
          <w:t xml:space="preserve">https://doi.org/10.1080/00273171.2021.1941730</w:t>
        </w:r>
      </w:hyperlink>
    </w:p>
    <w:bookmarkEnd w:id="295"/>
    <w:bookmarkStart w:id="297"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96">
        <w:r>
          <w:rPr>
            <w:rStyle w:val="Hyperlink"/>
          </w:rPr>
          <w:t xml:space="preserve">https://doi.org/10.1017/S0954579410000301</w:t>
        </w:r>
      </w:hyperlink>
    </w:p>
    <w:bookmarkEnd w:id="297"/>
    <w:bookmarkStart w:id="299" w:name="ref-LeBlanc2021"/>
    <w:p>
      <w:pPr>
        <w:pStyle w:val="Bibliography"/>
      </w:pPr>
      <w:r>
        <w:t xml:space="preserve">Le Blanc, M. (2021).</w:t>
      </w:r>
      <w:r>
        <w:t xml:space="preserve"> </w:t>
      </w:r>
      <w:r>
        <w:rPr>
          <w:i/>
          <w:iCs/>
        </w:rPr>
        <w:t xml:space="preserve">The development of antisocial behavior and crime</w:t>
      </w:r>
      <w:r>
        <w:t xml:space="preserve">. Springer.</w:t>
      </w:r>
      <w:r>
        <w:t xml:space="preserve"> </w:t>
      </w:r>
      <w:hyperlink r:id="rId298">
        <w:r>
          <w:rPr>
            <w:rStyle w:val="Hyperlink"/>
          </w:rPr>
          <w:t xml:space="preserve">https://doi.org/10.1007/978-3-030-68429-7</w:t>
        </w:r>
      </w:hyperlink>
    </w:p>
    <w:bookmarkEnd w:id="299"/>
    <w:bookmarkStart w:id="300" w:name="ref-Little2024"/>
    <w:p>
      <w:pPr>
        <w:pStyle w:val="Bibliography"/>
      </w:pPr>
      <w:r>
        <w:t xml:space="preserve">Little, T. D. (2024).</w:t>
      </w:r>
      <w:r>
        <w:t xml:space="preserve"> </w:t>
      </w:r>
      <w:r>
        <w:rPr>
          <w:i/>
          <w:iCs/>
        </w:rPr>
        <w:t xml:space="preserve">Longitudinal structural equation modeling</w:t>
      </w:r>
      <w:r>
        <w:t xml:space="preserve"> </w:t>
      </w:r>
      <w:r>
        <w:t xml:space="preserve">(2nd ed.). Guilford Publications.</w:t>
      </w:r>
    </w:p>
    <w:bookmarkEnd w:id="300"/>
    <w:bookmarkStart w:id="302" w:name="ref-Makol2025"/>
    <w:p>
      <w:pPr>
        <w:pStyle w:val="Bibliography"/>
      </w:pPr>
      <w:r>
        <w:t xml:space="preserve">Makol, B. A., Yang, J., Wang, M., &amp; De Los Reyes, A. (2025).</w:t>
      </w:r>
      <w:r>
        <w:t xml:space="preserve"> </w:t>
      </w:r>
      <w:r>
        <w:rPr>
          <w:i/>
          <w:iCs/>
        </w:rPr>
        <w:t xml:space="preserve">Youth development in context:</w:t>
      </w:r>
      <w:r>
        <w:rPr>
          <w:i/>
          <w:iCs/>
        </w:rPr>
        <w:t xml:space="preserve"> </w:t>
      </w:r>
      <w:r>
        <w:rPr>
          <w:i/>
          <w:iCs/>
        </w:rPr>
        <w:t xml:space="preserve">Integrating</w:t>
      </w:r>
      <w:r>
        <w:rPr>
          <w:i/>
          <w:iCs/>
        </w:rPr>
        <w:t xml:space="preserve"> </w:t>
      </w:r>
      <w:r>
        <w:rPr>
          <w:i/>
          <w:iCs/>
        </w:rPr>
        <w:t xml:space="preserve">multiple informants to assess behavior</w:t>
      </w:r>
      <w:r>
        <w:t xml:space="preserve">. Springer Nature Switzerland.</w:t>
      </w:r>
      <w:r>
        <w:t xml:space="preserve"> </w:t>
      </w:r>
      <w:hyperlink r:id="rId301">
        <w:r>
          <w:rPr>
            <w:rStyle w:val="Hyperlink"/>
          </w:rPr>
          <w:t xml:space="preserve">https://doi.org/10.1007/978-3-031-80549-3</w:t>
        </w:r>
      </w:hyperlink>
    </w:p>
    <w:bookmarkEnd w:id="302"/>
    <w:bookmarkStart w:id="304" w:name="ref-Markon2011"/>
    <w:p>
      <w:pPr>
        <w:pStyle w:val="Bibliography"/>
      </w:pPr>
      <w:r>
        <w:t xml:space="preserve">Markon, K. E., Chmielewski, M., &amp; Miller, C. J. (2011). The reliability and validity of discrete and continuous measures of psychopathology:</w:t>
      </w:r>
      <w:r>
        <w:t xml:space="preserve"> </w:t>
      </w:r>
      <w:r>
        <w:t xml:space="preserve">A</w:t>
      </w:r>
      <w:r>
        <w:t xml:space="preserve"> </w:t>
      </w:r>
      <w:r>
        <w:t xml:space="preserve">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303">
        <w:r>
          <w:rPr>
            <w:rStyle w:val="Hyperlink"/>
          </w:rPr>
          <w:t xml:space="preserve">https://doi.org/10.1037/a0023678</w:t>
        </w:r>
      </w:hyperlink>
    </w:p>
    <w:bookmarkEnd w:id="304"/>
    <w:bookmarkStart w:id="306" w:name="ref-Markon2005"/>
    <w:p>
      <w:pPr>
        <w:pStyle w:val="Bibliography"/>
      </w:pPr>
      <w:r>
        <w:t xml:space="preserve">Markon, K. E., &amp; Krueger, R. F. (2005). Categorical and continuous models of liability to externalizing disorders:</w:t>
      </w:r>
      <w:r>
        <w:t xml:space="preserve"> </w:t>
      </w:r>
      <w:r>
        <w:t xml:space="preserve">A</w:t>
      </w:r>
      <w:r>
        <w:t xml:space="preserve"> </w:t>
      </w:r>
      <w:r>
        <w:t xml:space="preserve">direct comparison in</w:t>
      </w:r>
      <w:r>
        <w:t xml:space="preserve"> </w:t>
      </w:r>
      <w:r>
        <w:t xml:space="preserve">NESARC</w:t>
      </w:r>
      <w:r>
        <w:t xml:space="preserve">.</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305">
        <w:r>
          <w:rPr>
            <w:rStyle w:val="Hyperlink"/>
          </w:rPr>
          <w:t xml:space="preserve">https://doi.org/10.1001/archpsyc.62.12.1352</w:t>
        </w:r>
      </w:hyperlink>
    </w:p>
    <w:bookmarkEnd w:id="306"/>
    <w:bookmarkStart w:id="308" w:name="ref-Masche2004"/>
    <w:p>
      <w:pPr>
        <w:pStyle w:val="Bibliography"/>
      </w:pPr>
      <w:r>
        <w:t xml:space="preserve">Masche, J. G., &amp; Dulmen, M. H. M. van. (2004). Advances in disentangling age, cohort, and time effects:</w:t>
      </w:r>
      <w:r>
        <w:t xml:space="preserve"> </w:t>
      </w:r>
      <w:r>
        <w:t xml:space="preserve">No</w:t>
      </w:r>
      <w:r>
        <w:t xml:space="preserve"> </w:t>
      </w:r>
      <w:r>
        <w:t xml:space="preserve">quadrature of the circle, but a help.</w:t>
      </w:r>
      <w:r>
        <w:t xml:space="preserve"> </w:t>
      </w:r>
      <w:r>
        <w:rPr>
          <w:i/>
          <w:iCs/>
        </w:rPr>
        <w:t xml:space="preserve">Developmental Review</w:t>
      </w:r>
      <w:r>
        <w:t xml:space="preserve">,</w:t>
      </w:r>
      <w:r>
        <w:t xml:space="preserve"> </w:t>
      </w:r>
      <w:r>
        <w:rPr>
          <w:i/>
          <w:iCs/>
        </w:rPr>
        <w:t xml:space="preserve">24</w:t>
      </w:r>
      <w:r>
        <w:t xml:space="preserve">(3), 322–342.</w:t>
      </w:r>
      <w:r>
        <w:t xml:space="preserve"> </w:t>
      </w:r>
      <w:hyperlink r:id="rId307">
        <w:r>
          <w:rPr>
            <w:rStyle w:val="Hyperlink"/>
          </w:rPr>
          <w:t xml:space="preserve">https://doi.org/10.1016/j.dr.2004.04.002</w:t>
        </w:r>
      </w:hyperlink>
    </w:p>
    <w:bookmarkEnd w:id="308"/>
    <w:bookmarkStart w:id="309" w:name="ref-McArdle2011"/>
    <w:p>
      <w:pPr>
        <w:pStyle w:val="Bibliography"/>
      </w:pPr>
      <w:r>
        <w:t xml:space="preserve">McArdle, J. J., &amp; Grimm, K. J. (2011). An empirical example of change analysis by linking longitudinal item response data from multiple tests. In A. A. von Davier (Ed.),</w:t>
      </w:r>
      <w:r>
        <w:t xml:space="preserve"> </w:t>
      </w:r>
      <w:r>
        <w:rPr>
          <w:i/>
          <w:iCs/>
        </w:rPr>
        <w:t xml:space="preserve">Statistical models for test equating, scaling, and linking</w:t>
      </w:r>
      <w:r>
        <w:t xml:space="preserve"> </w:t>
      </w:r>
      <w:r>
        <w:t xml:space="preserve">(pp. 71–88). Springer Science &amp; Business Media.</w:t>
      </w:r>
    </w:p>
    <w:bookmarkEnd w:id="309"/>
    <w:bookmarkStart w:id="311" w:name="ref-McArdle2009"/>
    <w:p>
      <w:pPr>
        <w:pStyle w:val="Bibliography"/>
      </w:pPr>
      <w:r>
        <w:t xml:space="preserve">McArdle, J. J., Grimm, K. J., Hamagami, F., Bowles, R. P., &amp; Meredith, W. (2009). Modeling life-span growth curves of cognition using longitudinal data with multiple samples and changing scales of measurement.</w:t>
      </w:r>
      <w:r>
        <w:t xml:space="preserve"> </w:t>
      </w:r>
      <w:r>
        <w:rPr>
          <w:i/>
          <w:iCs/>
        </w:rPr>
        <w:t xml:space="preserve">Psychological Methods</w:t>
      </w:r>
      <w:r>
        <w:t xml:space="preserve">,</w:t>
      </w:r>
      <w:r>
        <w:t xml:space="preserve"> </w:t>
      </w:r>
      <w:r>
        <w:rPr>
          <w:i/>
          <w:iCs/>
        </w:rPr>
        <w:t xml:space="preserve">14</w:t>
      </w:r>
      <w:r>
        <w:t xml:space="preserve">(2), 126–149.</w:t>
      </w:r>
      <w:r>
        <w:t xml:space="preserve"> </w:t>
      </w:r>
      <w:hyperlink r:id="rId310">
        <w:r>
          <w:rPr>
            <w:rStyle w:val="Hyperlink"/>
          </w:rPr>
          <w:t xml:space="preserve">https://doi.org/10.1037/a0015857</w:t>
        </w:r>
      </w:hyperlink>
    </w:p>
    <w:bookmarkEnd w:id="311"/>
    <w:bookmarkStart w:id="313" w:name="ref-McDaniel2023"/>
    <w:p>
      <w:pPr>
        <w:pStyle w:val="Bibliography"/>
      </w:pPr>
      <w:r>
        <w:t xml:space="preserve">McDaniel, H. L., Saavedra, L. M., Morgan-López, A. A., Bradshaw, C. P., Lochman, J. E., Kaihoi, C. A., Powell, N. P., Qu, L., &amp; Yaros, A. C. (2023). Harmonizing social, emotional, and behavioral constructs in prevention science:</w:t>
      </w:r>
      <w:r>
        <w:t xml:space="preserve"> </w:t>
      </w:r>
      <w:r>
        <w:t xml:space="preserve">Digging</w:t>
      </w:r>
      <w:r>
        <w:t xml:space="preserve"> </w:t>
      </w:r>
      <w:r>
        <w:t xml:space="preserve">into the weeds of aligning disparate measures.</w:t>
      </w:r>
      <w:r>
        <w:t xml:space="preserve"> </w:t>
      </w:r>
      <w:r>
        <w:rPr>
          <w:i/>
          <w:iCs/>
        </w:rPr>
        <w:t xml:space="preserve">Prevention Science</w:t>
      </w:r>
      <w:r>
        <w:t xml:space="preserve">.</w:t>
      </w:r>
      <w:r>
        <w:t xml:space="preserve"> </w:t>
      </w:r>
      <w:hyperlink r:id="rId312">
        <w:r>
          <w:rPr>
            <w:rStyle w:val="Hyperlink"/>
          </w:rPr>
          <w:t xml:space="preserve">https://doi.org/10.1007/s11121-022-01467-0</w:t>
        </w:r>
      </w:hyperlink>
    </w:p>
    <w:bookmarkEnd w:id="313"/>
    <w:bookmarkStart w:id="315" w:name="ref-McDermott2013"/>
    <w:p>
      <w:pPr>
        <w:pStyle w:val="Bibliography"/>
      </w:pPr>
      <w:r>
        <w:t xml:space="preserve">McDermott, P. A., Watkins, M. W., Rovine, M. J., &amp; Rikoon, S. H. (2013). Assessing changes in socioemotional adjustment across early school transitions―</w:t>
      </w:r>
      <w:r>
        <w:t xml:space="preserve">New</w:t>
      </w:r>
      <w:r>
        <w:t xml:space="preserve"> </w:t>
      </w:r>
      <w:r>
        <w:t xml:space="preserve">national scales for children at risk.</w:t>
      </w:r>
      <w:r>
        <w:t xml:space="preserve"> </w:t>
      </w:r>
      <w:r>
        <w:rPr>
          <w:i/>
          <w:iCs/>
        </w:rPr>
        <w:t xml:space="preserve">Journal of School Psychology</w:t>
      </w:r>
      <w:r>
        <w:t xml:space="preserve">,</w:t>
      </w:r>
      <w:r>
        <w:t xml:space="preserve"> </w:t>
      </w:r>
      <w:r>
        <w:rPr>
          <w:i/>
          <w:iCs/>
        </w:rPr>
        <w:t xml:space="preserve">51</w:t>
      </w:r>
      <w:r>
        <w:t xml:space="preserve">(1), 97–115.</w:t>
      </w:r>
      <w:r>
        <w:t xml:space="preserve"> </w:t>
      </w:r>
      <w:hyperlink r:id="rId314">
        <w:r>
          <w:rPr>
            <w:rStyle w:val="Hyperlink"/>
          </w:rPr>
          <w:t xml:space="preserve">https://doi.org/10.1016/j.jsp.2012.10.002</w:t>
        </w:r>
      </w:hyperlink>
    </w:p>
    <w:bookmarkEnd w:id="315"/>
    <w:bookmarkStart w:id="317" w:name="ref-Miller2009"/>
    <w:p>
      <w:pPr>
        <w:pStyle w:val="Bibliography"/>
      </w:pPr>
      <w:r>
        <w:t xml:space="preserve">Miller, J. L., Vaillancourt, T., &amp; Boyle, M. H. (2009). Examining the heterotypic continuity of aggression using teacher reports:</w:t>
      </w:r>
      <w:r>
        <w:t xml:space="preserve"> </w:t>
      </w:r>
      <w:r>
        <w:t xml:space="preserve">Results</w:t>
      </w:r>
      <w:r>
        <w:t xml:space="preserve"> </w:t>
      </w:r>
      <w:r>
        <w:t xml:space="preserve">from a national</w:t>
      </w:r>
      <w:r>
        <w:t xml:space="preserve"> </w:t>
      </w:r>
      <w:r>
        <w:t xml:space="preserve">Canadian</w:t>
      </w:r>
      <w:r>
        <w:t xml:space="preserve"> </w:t>
      </w:r>
      <w:r>
        <w:t xml:space="preserve">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316">
        <w:r>
          <w:rPr>
            <w:rStyle w:val="Hyperlink"/>
          </w:rPr>
          <w:t xml:space="preserve">https://doi.org/10.1111/j.1467-9507.2008.00480.x</w:t>
        </w:r>
      </w:hyperlink>
    </w:p>
    <w:bookmarkEnd w:id="317"/>
    <w:bookmarkStart w:id="318" w:name="ref-Millsap2011"/>
    <w:p>
      <w:pPr>
        <w:pStyle w:val="Bibliography"/>
      </w:pPr>
      <w:r>
        <w:t xml:space="preserve">Millsap, R. E. (2011).</w:t>
      </w:r>
      <w:r>
        <w:t xml:space="preserve"> </w:t>
      </w:r>
      <w:r>
        <w:rPr>
          <w:i/>
          <w:iCs/>
        </w:rPr>
        <w:t xml:space="preserve">Statistical approaches to measurement invariance</w:t>
      </w:r>
      <w:r>
        <w:t xml:space="preserve">. Taylor &amp; Francis.</w:t>
      </w:r>
    </w:p>
    <w:bookmarkEnd w:id="318"/>
    <w:bookmarkStart w:id="320"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319">
        <w:r>
          <w:rPr>
            <w:rStyle w:val="Hyperlink"/>
          </w:rPr>
          <w:t xml:space="preserve">https://news.harvard.edu/gazette/story/2017/04/over-nearly-80-years-harvard-study-has-been-showing-how-to-live-a-healthy-and-happy-life/</w:t>
        </w:r>
      </w:hyperlink>
    </w:p>
    <w:bookmarkEnd w:id="320"/>
    <w:bookmarkStart w:id="322" w:name="ref-Moeller2015"/>
    <w:p>
      <w:pPr>
        <w:pStyle w:val="Bibliography"/>
      </w:pPr>
      <w:r>
        <w:t xml:space="preserve">Moeller, J. (2015). A word on standardization in longitudinal studies:</w:t>
      </w:r>
      <w:r>
        <w:t xml:space="preserve"> </w:t>
      </w:r>
      <w:r>
        <w:t xml:space="preserve">Don’t</w:t>
      </w:r>
      <w:r>
        <w:t xml:space="preserve">.</w:t>
      </w:r>
      <w:r>
        <w:t xml:space="preserve"> </w:t>
      </w:r>
      <w:r>
        <w:rPr>
          <w:i/>
          <w:iCs/>
        </w:rPr>
        <w:t xml:space="preserve">Frontiers in Psychology</w:t>
      </w:r>
      <w:r>
        <w:t xml:space="preserve">,</w:t>
      </w:r>
      <w:r>
        <w:t xml:space="preserve"> </w:t>
      </w:r>
      <w:r>
        <w:rPr>
          <w:i/>
          <w:iCs/>
        </w:rPr>
        <w:t xml:space="preserve">6</w:t>
      </w:r>
      <w:r>
        <w:t xml:space="preserve">(1389), 1–4.</w:t>
      </w:r>
      <w:r>
        <w:t xml:space="preserve"> </w:t>
      </w:r>
      <w:hyperlink r:id="rId321">
        <w:r>
          <w:rPr>
            <w:rStyle w:val="Hyperlink"/>
          </w:rPr>
          <w:t xml:space="preserve">https://doi.org/10.3389/fpsyg.2015.01389</w:t>
        </w:r>
      </w:hyperlink>
    </w:p>
    <w:bookmarkEnd w:id="322"/>
    <w:bookmarkStart w:id="324" w:name="ref-Moffitt1993"/>
    <w:p>
      <w:pPr>
        <w:pStyle w:val="Bibliography"/>
      </w:pPr>
      <w:r>
        <w:t xml:space="preserve">Moffitt, T. E. (1993). Adolescence-limited and life-course-persistent antisocial behavior:</w:t>
      </w:r>
      <w:r>
        <w:t xml:space="preserve"> </w:t>
      </w:r>
      <w:r>
        <w:t xml:space="preserve">A</w:t>
      </w:r>
      <w:r>
        <w:t xml:space="preserve"> </w:t>
      </w:r>
      <w:r>
        <w:t xml:space="preserve">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323">
        <w:r>
          <w:rPr>
            <w:rStyle w:val="Hyperlink"/>
          </w:rPr>
          <w:t xml:space="preserve">https://doi.org/10.1037/0033-295X.100.4.674</w:t>
        </w:r>
      </w:hyperlink>
    </w:p>
    <w:bookmarkEnd w:id="324"/>
    <w:bookmarkStart w:id="326"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325">
        <w:r>
          <w:rPr>
            <w:rStyle w:val="Hyperlink"/>
          </w:rPr>
          <w:t xml:space="preserve">https://doi.org/10.1073/pnas.1010076108</w:t>
        </w:r>
      </w:hyperlink>
    </w:p>
    <w:bookmarkEnd w:id="326"/>
    <w:bookmarkStart w:id="328"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327">
        <w:r>
          <w:rPr>
            <w:rStyle w:val="Hyperlink"/>
          </w:rPr>
          <w:t xml:space="preserve">https://doi.org/10.1159/000270073</w:t>
        </w:r>
      </w:hyperlink>
    </w:p>
    <w:bookmarkEnd w:id="328"/>
    <w:bookmarkStart w:id="330" w:name="ref-Murayama2013"/>
    <w:p>
      <w:pPr>
        <w:pStyle w:val="Bibliography"/>
      </w:pPr>
      <w:r>
        <w:t xml:space="preserve">Murayama, K., Pekrun, R., Lichtenfeld, S., &amp; Hofe, R. vom. (2013). Predicting long-term growth in students’ mathematics achievement:</w:t>
      </w:r>
      <w:r>
        <w:t xml:space="preserve"> </w:t>
      </w:r>
      <w:r>
        <w:t xml:space="preserve">The</w:t>
      </w:r>
      <w:r>
        <w:t xml:space="preserve"> </w:t>
      </w:r>
      <w:r>
        <w:t xml:space="preserve">unique contributions of motivation and cognitive strategies.</w:t>
      </w:r>
      <w:r>
        <w:t xml:space="preserve"> </w:t>
      </w:r>
      <w:r>
        <w:rPr>
          <w:i/>
          <w:iCs/>
        </w:rPr>
        <w:t xml:space="preserve">Child Development</w:t>
      </w:r>
      <w:r>
        <w:t xml:space="preserve">,</w:t>
      </w:r>
      <w:r>
        <w:t xml:space="preserve"> </w:t>
      </w:r>
      <w:r>
        <w:rPr>
          <w:i/>
          <w:iCs/>
        </w:rPr>
        <w:t xml:space="preserve">84</w:t>
      </w:r>
      <w:r>
        <w:t xml:space="preserve">(4), 1475–1490.</w:t>
      </w:r>
      <w:r>
        <w:t xml:space="preserve"> </w:t>
      </w:r>
      <w:hyperlink r:id="rId329">
        <w:r>
          <w:rPr>
            <w:rStyle w:val="Hyperlink"/>
          </w:rPr>
          <w:t xml:space="preserve">https://doi.org/10.1111/cdev.12036</w:t>
        </w:r>
      </w:hyperlink>
    </w:p>
    <w:bookmarkEnd w:id="330"/>
    <w:bookmarkStart w:id="332" w:name="ref-Muthen2014"/>
    <w:p>
      <w:pPr>
        <w:pStyle w:val="Bibliography"/>
      </w:pPr>
      <w:r>
        <w:t xml:space="preserve">Muthén, B. O., &amp; Asparouhov, T. (2014).</w:t>
      </w:r>
      <w:r>
        <w:t xml:space="preserve"> </w:t>
      </w:r>
      <w:r>
        <w:t xml:space="preserve">IRT</w:t>
      </w:r>
      <w:r>
        <w:t xml:space="preserve"> </w:t>
      </w:r>
      <w:r>
        <w:t xml:space="preserve">studies of many groups: The alignment method.</w:t>
      </w:r>
      <w:r>
        <w:t xml:space="preserve"> </w:t>
      </w:r>
      <w:r>
        <w:rPr>
          <w:i/>
          <w:iCs/>
        </w:rPr>
        <w:t xml:space="preserve">Frontiers in Psychology</w:t>
      </w:r>
      <w:r>
        <w:t xml:space="preserve">,</w:t>
      </w:r>
      <w:r>
        <w:t xml:space="preserve"> </w:t>
      </w:r>
      <w:r>
        <w:rPr>
          <w:i/>
          <w:iCs/>
        </w:rPr>
        <w:t xml:space="preserve">5</w:t>
      </w:r>
      <w:r>
        <w:t xml:space="preserve">(978).</w:t>
      </w:r>
      <w:r>
        <w:t xml:space="preserve"> </w:t>
      </w:r>
      <w:hyperlink r:id="rId331">
        <w:r>
          <w:rPr>
            <w:rStyle w:val="Hyperlink"/>
          </w:rPr>
          <w:t xml:space="preserve">https://doi.org/10.3389/fpsyg.2014.00978</w:t>
        </w:r>
      </w:hyperlink>
    </w:p>
    <w:bookmarkEnd w:id="332"/>
    <w:bookmarkStart w:id="334" w:name="ref-Nicholson2017"/>
    <w:p>
      <w:pPr>
        <w:pStyle w:val="Bibliography"/>
      </w:pPr>
      <w:r>
        <w:t xml:space="preserve">Nicholson, J. S., Deboeck, P. R., &amp; Howard, W. (2017). Attrition in developmental psychology:</w:t>
      </w:r>
      <w:r>
        <w:t xml:space="preserve"> </w:t>
      </w:r>
      <w:r>
        <w:t xml:space="preserve">A</w:t>
      </w:r>
      <w:r>
        <w:t xml:space="preserve"> </w:t>
      </w:r>
      <w:r>
        <w:t xml:space="preserve">review of modern missing data reporting and practices.</w:t>
      </w:r>
      <w:r>
        <w:t xml:space="preserve"> </w:t>
      </w:r>
      <w:r>
        <w:rPr>
          <w:i/>
          <w:iCs/>
        </w:rPr>
        <w:t xml:space="preserve">International Journal of Behavioral Development</w:t>
      </w:r>
      <w:r>
        <w:t xml:space="preserve">,</w:t>
      </w:r>
      <w:r>
        <w:t xml:space="preserve"> </w:t>
      </w:r>
      <w:r>
        <w:rPr>
          <w:i/>
          <w:iCs/>
        </w:rPr>
        <w:t xml:space="preserve">41</w:t>
      </w:r>
      <w:r>
        <w:t xml:space="preserve">(1), 143–153.</w:t>
      </w:r>
      <w:r>
        <w:t xml:space="preserve"> </w:t>
      </w:r>
      <w:hyperlink r:id="rId333">
        <w:r>
          <w:rPr>
            <w:rStyle w:val="Hyperlink"/>
          </w:rPr>
          <w:t xml:space="preserve">https://doi.org/10.1177/0165025415618275</w:t>
        </w:r>
      </w:hyperlink>
    </w:p>
    <w:bookmarkEnd w:id="334"/>
    <w:bookmarkStart w:id="336"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 559–586.</w:t>
      </w:r>
      <w:r>
        <w:t xml:space="preserve"> </w:t>
      </w:r>
      <w:hyperlink r:id="rId335">
        <w:r>
          <w:rPr>
            <w:rStyle w:val="Hyperlink"/>
          </w:rPr>
          <w:t xml:space="preserve">https://doi.org/10.1146/annurev-clinpsy-061324-073435</w:t>
        </w:r>
      </w:hyperlink>
    </w:p>
    <w:bookmarkEnd w:id="336"/>
    <w:bookmarkStart w:id="338" w:name="ref-Odgers2008"/>
    <w:p>
      <w:pPr>
        <w:pStyle w:val="Bibliography"/>
      </w:pPr>
      <w:r>
        <w:t xml:space="preserve">Odgers, C. L., Moffitt, T. E., Broadbent, J. M., Dickson, N., Hancox, R. J., Harrington, H., Poulton, R., Sears, M. R., Thomson, W. M., &amp; Caspi, A. (2008). Female and male antisocial trajectories:</w:t>
      </w:r>
      <w:r>
        <w:t xml:space="preserve"> </w:t>
      </w:r>
      <w:r>
        <w:t xml:space="preserve">From</w:t>
      </w:r>
      <w:r>
        <w:t xml:space="preserve"> </w:t>
      </w:r>
      <w:r>
        <w:t xml:space="preserve">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337">
        <w:r>
          <w:rPr>
            <w:rStyle w:val="Hyperlink"/>
          </w:rPr>
          <w:t xml:space="preserve">https://doi.org/10.1017/S0954579408000333</w:t>
        </w:r>
      </w:hyperlink>
    </w:p>
    <w:bookmarkEnd w:id="338"/>
    <w:bookmarkStart w:id="340" w:name="ref-Oleson2016"/>
    <w:p>
      <w:pPr>
        <w:pStyle w:val="Bibliography"/>
      </w:pPr>
      <w:r>
        <w:t xml:space="preserve">Oleson, J. J., Cavanaugh, J. E., Tomblin, J. B., Walker, E., &amp; Dunn, C. (2016). Combining growth curves when a longitudinal study switches measurement tools.</w:t>
      </w:r>
      <w:r>
        <w:t xml:space="preserve"> </w:t>
      </w:r>
      <w:r>
        <w:rPr>
          <w:i/>
          <w:iCs/>
        </w:rPr>
        <w:t xml:space="preserve">Statistical Methods in Medical Research</w:t>
      </w:r>
      <w:r>
        <w:t xml:space="preserve">,</w:t>
      </w:r>
      <w:r>
        <w:t xml:space="preserve"> </w:t>
      </w:r>
      <w:r>
        <w:rPr>
          <w:i/>
          <w:iCs/>
        </w:rPr>
        <w:t xml:space="preserve">25</w:t>
      </w:r>
      <w:r>
        <w:t xml:space="preserve">(6), 2925–2938.</w:t>
      </w:r>
      <w:r>
        <w:t xml:space="preserve"> </w:t>
      </w:r>
      <w:hyperlink r:id="rId339">
        <w:r>
          <w:rPr>
            <w:rStyle w:val="Hyperlink"/>
          </w:rPr>
          <w:t xml:space="preserve">https://doi.org/10.1177/0962280214534588</w:t>
        </w:r>
      </w:hyperlink>
    </w:p>
    <w:bookmarkEnd w:id="340"/>
    <w:bookmarkStart w:id="342" w:name="ref-Owens2003"/>
    <w:p>
      <w:pPr>
        <w:pStyle w:val="Bibliography"/>
      </w:pPr>
      <w:r>
        <w:t xml:space="preserve">Owens, E. B., &amp; Shaw, D. S. (2003). Predicting growth curves of externalizing behavior across the preschool years.</w:t>
      </w:r>
      <w:r>
        <w:t xml:space="preserve"> </w:t>
      </w:r>
      <w:r>
        <w:rPr>
          <w:i/>
          <w:iCs/>
        </w:rPr>
        <w:t xml:space="preserve">Journal of Abnormal Child Psychology</w:t>
      </w:r>
      <w:r>
        <w:t xml:space="preserve">,</w:t>
      </w:r>
      <w:r>
        <w:t xml:space="preserve"> </w:t>
      </w:r>
      <w:r>
        <w:rPr>
          <w:i/>
          <w:iCs/>
        </w:rPr>
        <w:t xml:space="preserve">31</w:t>
      </w:r>
      <w:r>
        <w:t xml:space="preserve">(6), 575–590.</w:t>
      </w:r>
      <w:r>
        <w:t xml:space="preserve"> </w:t>
      </w:r>
      <w:hyperlink r:id="rId341">
        <w:r>
          <w:rPr>
            <w:rStyle w:val="Hyperlink"/>
          </w:rPr>
          <w:t xml:space="preserve">https://doi.org/10.1023/a:1026254005632</w:t>
        </w:r>
      </w:hyperlink>
    </w:p>
    <w:bookmarkEnd w:id="342"/>
    <w:bookmarkStart w:id="344" w:name="ref-Paalman2013"/>
    <w:p>
      <w:pPr>
        <w:pStyle w:val="Bibliography"/>
      </w:pPr>
      <w:r>
        <w:t xml:space="preserve">Paalman, C. H., Terwee, C. B., Jansma, E. P., &amp; Jansen, L. M. C. (2013). Instruments measuring externalizing mental health problems in immigrant ethnic minority youths:</w:t>
      </w:r>
      <w:r>
        <w:t xml:space="preserve"> </w:t>
      </w:r>
      <w:r>
        <w:t xml:space="preserve">A</w:t>
      </w:r>
      <w:r>
        <w:t xml:space="preserve"> </w:t>
      </w:r>
      <w:r>
        <w:t xml:space="preserve">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343">
        <w:r>
          <w:rPr>
            <w:rStyle w:val="Hyperlink"/>
          </w:rPr>
          <w:t xml:space="preserve">https://doi.org/10.1371/journal.pone.0063109</w:t>
        </w:r>
      </w:hyperlink>
    </w:p>
    <w:bookmarkEnd w:id="344"/>
    <w:bookmarkStart w:id="346" w:name="ref-Patterson1993"/>
    <w:p>
      <w:pPr>
        <w:pStyle w:val="Bibliography"/>
      </w:pPr>
      <w:r>
        <w:t xml:space="preserve">Patterson, G. R. (1993). Orderly change in a stable world:</w:t>
      </w:r>
      <w:r>
        <w:t xml:space="preserve"> </w:t>
      </w:r>
      <w:r>
        <w:t xml:space="preserve">The</w:t>
      </w:r>
      <w:r>
        <w:t xml:space="preserve"> </w:t>
      </w:r>
      <w:r>
        <w:t xml:space="preserve">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345">
        <w:r>
          <w:rPr>
            <w:rStyle w:val="Hyperlink"/>
          </w:rPr>
          <w:t xml:space="preserve">https://doi.org/10.1037/0022-006X.61.6.911</w:t>
        </w:r>
      </w:hyperlink>
    </w:p>
    <w:bookmarkEnd w:id="346"/>
    <w:bookmarkStart w:id="348" w:name="ref-Pavlovich2026"/>
    <w:p>
      <w:pPr>
        <w:pStyle w:val="Bibliography"/>
      </w:pPr>
      <w:r>
        <w:t xml:space="preserve">Pavlovich, K., Tiego, J., Constable, T., Fornito, A., &amp; Imaging, M. B. (2026). Assessing the psychometric properties of the</w:t>
      </w:r>
      <w:r>
        <w:t xml:space="preserve"> </w:t>
      </w:r>
      <w:r>
        <w:t xml:space="preserve">Child Behavior Checklist</w:t>
      </w:r>
      <w:r>
        <w:t xml:space="preserve"> </w:t>
      </w:r>
      <w:r>
        <w:t xml:space="preserve">in the</w:t>
      </w:r>
      <w:r>
        <w:t xml:space="preserve"> </w:t>
      </w:r>
      <w:r>
        <w:t xml:space="preserve">ABCD Study</w:t>
      </w:r>
      <w:r>
        <w:t xml:space="preserve">.</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347">
        <w:r>
          <w:rPr>
            <w:rStyle w:val="Hyperlink"/>
          </w:rPr>
          <w:t xml:space="preserve">https://doi.org/10.1111/desc.70216</w:t>
        </w:r>
      </w:hyperlink>
    </w:p>
    <w:bookmarkEnd w:id="348"/>
    <w:bookmarkStart w:id="350" w:name="ref-Petersen2024"/>
    <w:p>
      <w:pPr>
        <w:pStyle w:val="Bibliography"/>
      </w:pPr>
      <w:r>
        <w:t xml:space="preserve">Petersen, I. T. (2024). Reexamining developmental continuity and discontinuity in the 21st century:</w:t>
      </w:r>
      <w:r>
        <w:t xml:space="preserve"> </w:t>
      </w:r>
      <w:r>
        <w:t xml:space="preserve">Better</w:t>
      </w:r>
      <w:r>
        <w:t xml:space="preserve"> </w:t>
      </w:r>
      <w:r>
        <w:t xml:space="preserve">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349">
        <w:r>
          <w:rPr>
            <w:rStyle w:val="Hyperlink"/>
          </w:rPr>
          <w:t xml:space="preserve">https://doi.org/10.1037/dev0001657</w:t>
        </w:r>
      </w:hyperlink>
    </w:p>
    <w:bookmarkEnd w:id="350"/>
    <w:bookmarkStart w:id="351" w:name="ref-PetersenPrinciplesPsychAssessment"/>
    <w:p>
      <w:pPr>
        <w:pStyle w:val="Bibliography"/>
      </w:pPr>
      <w:r>
        <w:t xml:space="preserve">Petersen, I. T. (2026).</w:t>
      </w:r>
      <w:r>
        <w:t xml:space="preserve"> </w:t>
      </w:r>
      <w:r>
        <w:rPr>
          <w:i/>
          <w:iCs/>
        </w:rPr>
        <w:t xml:space="preserve">Principles of psychological assessment:</w:t>
      </w:r>
      <w:r>
        <w:rPr>
          <w:i/>
          <w:iCs/>
        </w:rPr>
        <w:t xml:space="preserve"> </w:t>
      </w:r>
      <w:r>
        <w:rPr>
          <w:i/>
          <w:iCs/>
        </w:rPr>
        <w:t xml:space="preserve">With</w:t>
      </w:r>
      <w:r>
        <w:rPr>
          <w:i/>
          <w:iCs/>
        </w:rPr>
        <w:t xml:space="preserve"> </w:t>
      </w:r>
      <w:r>
        <w:rPr>
          <w:i/>
          <w:iCs/>
        </w:rPr>
        <w:t xml:space="preserve">applied examples in</w:t>
      </w:r>
      <w:r>
        <w:rPr>
          <w:i/>
          <w:iCs/>
        </w:rPr>
        <w:t xml:space="preserve"> </w:t>
      </w:r>
      <w:r>
        <w:rPr>
          <w:i/>
          <w:iCs/>
        </w:rPr>
        <w:t xml:space="preserve">R</w:t>
      </w:r>
      <w:r>
        <w:t xml:space="preserve">. University of Iowa Libraries.</w:t>
      </w:r>
      <w:r>
        <w:t xml:space="preserve"> </w:t>
      </w:r>
      <w:hyperlink r:id="rId127">
        <w:r>
          <w:rPr>
            <w:rStyle w:val="Hyperlink"/>
          </w:rPr>
          <w:t xml:space="preserve">https://doi.org/10.25820/work.007199</w:t>
        </w:r>
      </w:hyperlink>
    </w:p>
    <w:bookmarkEnd w:id="351"/>
    <w:bookmarkStart w:id="352"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57">
        <w:r>
          <w:rPr>
            <w:rStyle w:val="Hyperlink"/>
          </w:rPr>
          <w:t xml:space="preserve">https://doi.org/10.1017/S0954579414000789</w:t>
        </w:r>
      </w:hyperlink>
    </w:p>
    <w:bookmarkEnd w:id="352"/>
    <w:bookmarkStart w:id="354" w:name="ref-Petersen2020"/>
    <w:p>
      <w:pPr>
        <w:pStyle w:val="Bibliography"/>
      </w:pPr>
      <w:r>
        <w:t xml:space="preserve">Petersen, I. T., Choe, D. E., &amp; LeBeau, B. (2020). Studying a moving target in development:</w:t>
      </w:r>
      <w:r>
        <w:t xml:space="preserve"> </w:t>
      </w:r>
      <w:r>
        <w:t xml:space="preserve">The</w:t>
      </w:r>
      <w:r>
        <w:t xml:space="preserve"> </w:t>
      </w:r>
      <w:r>
        <w:t xml:space="preserve">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353">
        <w:r>
          <w:rPr>
            <w:rStyle w:val="Hyperlink"/>
          </w:rPr>
          <w:t xml:space="preserve">https://doi.org/10.1016/j.dr.2020.100935</w:t>
        </w:r>
      </w:hyperlink>
    </w:p>
    <w:bookmarkEnd w:id="354"/>
    <w:bookmarkStart w:id="355" w:name="ref-Petersen2026b"/>
    <w:p>
      <w:pPr>
        <w:pStyle w:val="Bibliography"/>
      </w:pPr>
      <w:r>
        <w:t xml:space="preserve">Petersen, I. T., Demko, Z., Doebler, P., Sabel, L., Oleson, J. J., &amp; Krueger, R. F. (2026). How often is</w:t>
      </w:r>
      <w:r>
        <w:t xml:space="preserve"> </w:t>
      </w:r>
      <w:r>
        <w:t xml:space="preserve">“often”</w:t>
      </w:r>
      <w:r>
        <w:t xml:space="preserve">?</w:t>
      </w:r>
      <w:r>
        <w:t xml:space="preserve"> </w:t>
      </w:r>
      <w:r>
        <w:t xml:space="preserve">Improving</w:t>
      </w:r>
      <w:r>
        <w:t xml:space="preserve"> </w:t>
      </w:r>
      <w:r>
        <w:t xml:space="preserve">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2">
        <w:r>
          <w:rPr>
            <w:rStyle w:val="Hyperlink"/>
          </w:rPr>
          <w:t xml:space="preserve">https://doi.org/10.1037/pas0001441</w:t>
        </w:r>
      </w:hyperlink>
    </w:p>
    <w:bookmarkEnd w:id="355"/>
    <w:bookmarkStart w:id="356"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2">
        <w:r>
          <w:rPr>
            <w:rStyle w:val="Hyperlink"/>
          </w:rPr>
          <w:t xml:space="preserve">https://doi.org/10.1016/j.jaacop.2025.10.008</w:t>
        </w:r>
      </w:hyperlink>
    </w:p>
    <w:bookmarkEnd w:id="356"/>
    <w:bookmarkStart w:id="357" w:name="ref-Petersen2021b"/>
    <w:p>
      <w:pPr>
        <w:pStyle w:val="Bibliography"/>
      </w:pPr>
      <w:r>
        <w:t xml:space="preserve">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8">
        <w:r>
          <w:rPr>
            <w:rStyle w:val="Hyperlink"/>
          </w:rPr>
          <w:t xml:space="preserve">https://doi.org/10.1037/edu0000461</w:t>
        </w:r>
      </w:hyperlink>
    </w:p>
    <w:bookmarkEnd w:id="357"/>
    <w:bookmarkStart w:id="359" w:name="ref-Petersen2022"/>
    <w:p>
      <w:pPr>
        <w:pStyle w:val="Bibliography"/>
      </w:pPr>
      <w:r>
        <w:t xml:space="preserve">Petersen, I. T., &amp; LeBeau, B. (2022). Creating a developmental scale to chart the development of psychopathology with different informants and measures across time.</w:t>
      </w:r>
      <w:r>
        <w:t xml:space="preserve"> </w:t>
      </w:r>
      <w:r>
        <w:rPr>
          <w:i/>
          <w:iCs/>
        </w:rPr>
        <w:t xml:space="preserve">Journal of Psychopathology and Clinical Science</w:t>
      </w:r>
      <w:r>
        <w:t xml:space="preserve">,</w:t>
      </w:r>
      <w:r>
        <w:t xml:space="preserve"> </w:t>
      </w:r>
      <w:r>
        <w:rPr>
          <w:i/>
          <w:iCs/>
        </w:rPr>
        <w:t xml:space="preserve">131</w:t>
      </w:r>
      <w:r>
        <w:t xml:space="preserve">(6), 611–625.</w:t>
      </w:r>
      <w:r>
        <w:t xml:space="preserve"> </w:t>
      </w:r>
      <w:hyperlink r:id="rId358">
        <w:r>
          <w:rPr>
            <w:rStyle w:val="Hyperlink"/>
          </w:rPr>
          <w:t xml:space="preserve">https://doi.org/10.1037/abn0000649</w:t>
        </w:r>
      </w:hyperlink>
    </w:p>
    <w:bookmarkEnd w:id="359"/>
    <w:bookmarkStart w:id="361" w:name="ref-Petersen2021a"/>
    <w:p>
      <w:pPr>
        <w:pStyle w:val="Bibliography"/>
      </w:pPr>
      <w:r>
        <w:t xml:space="preserve">Petersen, I. T., LeBeau, B., &amp; Choe, D. E. (2021). Creating a developmental scale to account for heterotypic continuity in development:</w:t>
      </w:r>
      <w:r>
        <w:t xml:space="preserve"> </w:t>
      </w:r>
      <w:r>
        <w:t xml:space="preserve">A</w:t>
      </w:r>
      <w:r>
        <w:t xml:space="preserve"> </w:t>
      </w:r>
      <w:r>
        <w:t xml:space="preserve">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360">
        <w:r>
          <w:rPr>
            <w:rStyle w:val="Hyperlink"/>
          </w:rPr>
          <w:t xml:space="preserve">https://doi.org/10.1111/cdev.13433</w:t>
        </w:r>
      </w:hyperlink>
    </w:p>
    <w:bookmarkEnd w:id="361"/>
    <w:bookmarkStart w:id="363" w:name="ref-Petersen2018"/>
    <w:p>
      <w:pPr>
        <w:pStyle w:val="Bibliography"/>
      </w:pPr>
      <w:r>
        <w:t xml:space="preserve">Petersen, I. T., Lindhiem, O., LeBeau, B., Bates, J. E., Pettit, G. S., Lansford, J. E., &amp; Dodge, K. A. (2018). Development of internalizing problems from adolescence to emerging adulthood:</w:t>
      </w:r>
      <w:r>
        <w:t xml:space="preserve"> </w:t>
      </w:r>
      <w:r>
        <w:t xml:space="preserve">Accounting</w:t>
      </w:r>
      <w:r>
        <w:t xml:space="preserve"> </w:t>
      </w:r>
      <w:r>
        <w:t xml:space="preserve">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362">
        <w:r>
          <w:rPr>
            <w:rStyle w:val="Hyperlink"/>
          </w:rPr>
          <w:t xml:space="preserve">https://doi.org/10.1037/dev0000449</w:t>
        </w:r>
      </w:hyperlink>
    </w:p>
    <w:bookmarkEnd w:id="363"/>
    <w:bookmarkStart w:id="365" w:name="ref-Petscher2018"/>
    <w:p>
      <w:pPr>
        <w:pStyle w:val="Bibliography"/>
      </w:pPr>
      <w:r>
        <w:t xml:space="preserve">Petscher, Y., Justice, L. M., &amp; Hogan, T. (2018). Modeling the early language trajectory of language development when the measures change and its relation to poor reading comprehension.</w:t>
      </w:r>
      <w:r>
        <w:t xml:space="preserve"> </w:t>
      </w:r>
      <w:r>
        <w:rPr>
          <w:i/>
          <w:iCs/>
        </w:rPr>
        <w:t xml:space="preserve">Child Development</w:t>
      </w:r>
      <w:r>
        <w:t xml:space="preserve">,</w:t>
      </w:r>
      <w:r>
        <w:t xml:space="preserve"> </w:t>
      </w:r>
      <w:r>
        <w:rPr>
          <w:i/>
          <w:iCs/>
        </w:rPr>
        <w:t xml:space="preserve">89</w:t>
      </w:r>
      <w:r>
        <w:t xml:space="preserve">(6), 2136–2156.</w:t>
      </w:r>
      <w:r>
        <w:t xml:space="preserve"> </w:t>
      </w:r>
      <w:hyperlink r:id="rId364">
        <w:r>
          <w:rPr>
            <w:rStyle w:val="Hyperlink"/>
          </w:rPr>
          <w:t xml:space="preserve">https://doi.org/10.1111/cdev.12880</w:t>
        </w:r>
      </w:hyperlink>
    </w:p>
    <w:bookmarkEnd w:id="365"/>
    <w:bookmarkStart w:id="367" w:name="ref-Podsakoff2012"/>
    <w:p>
      <w:pPr>
        <w:pStyle w:val="Bibliography"/>
      </w:pPr>
      <w:r>
        <w:t xml:space="preserve">Podsakoff, P. M., MacKenzie, S. B., &amp; Podsakoff, N. P. (2012). Sources of method bias in social science research and recommendations on how to control it.</w:t>
      </w:r>
      <w:r>
        <w:t xml:space="preserve"> </w:t>
      </w:r>
      <w:r>
        <w:rPr>
          <w:i/>
          <w:iCs/>
        </w:rPr>
        <w:t xml:space="preserve">Annual Review of Psychology</w:t>
      </w:r>
      <w:r>
        <w:t xml:space="preserve">,</w:t>
      </w:r>
      <w:r>
        <w:t xml:space="preserve"> </w:t>
      </w:r>
      <w:r>
        <w:rPr>
          <w:i/>
          <w:iCs/>
        </w:rPr>
        <w:t xml:space="preserve">63</w:t>
      </w:r>
      <w:r>
        <w:t xml:space="preserve">(1), 539–569.</w:t>
      </w:r>
      <w:r>
        <w:t xml:space="preserve"> </w:t>
      </w:r>
      <w:hyperlink r:id="rId366">
        <w:r>
          <w:rPr>
            <w:rStyle w:val="Hyperlink"/>
          </w:rPr>
          <w:t xml:space="preserve">https://doi.org/10.1146/annurev-psych-120710-100452</w:t>
        </w:r>
      </w:hyperlink>
    </w:p>
    <w:bookmarkEnd w:id="367"/>
    <w:bookmarkStart w:id="369" w:name="ref-Poulton2015"/>
    <w:p>
      <w:pPr>
        <w:pStyle w:val="Bibliography"/>
      </w:pPr>
      <w:r>
        <w:t xml:space="preserve">Poulton, R., Moffitt, T. E., &amp; Silva, P. A. (2015). The</w:t>
      </w:r>
      <w:r>
        <w:t xml:space="preserve"> </w:t>
      </w:r>
      <w:r>
        <w:t xml:space="preserve">Dunedin Multidisciplinary Health and Development Study</w:t>
      </w:r>
      <w:r>
        <w:t xml:space="preserve">:</w:t>
      </w:r>
      <w:r>
        <w:t xml:space="preserve"> </w:t>
      </w:r>
      <w:r>
        <w:t xml:space="preserve">Overview</w:t>
      </w:r>
      <w:r>
        <w:t xml:space="preserve"> </w:t>
      </w:r>
      <w:r>
        <w:t xml:space="preserve">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368">
        <w:r>
          <w:rPr>
            <w:rStyle w:val="Hyperlink"/>
          </w:rPr>
          <w:t xml:space="preserve">https://doi.org/10.1007/s00127-015-1048-8</w:t>
        </w:r>
      </w:hyperlink>
    </w:p>
    <w:bookmarkEnd w:id="369"/>
    <w:bookmarkStart w:id="371" w:name="ref-Revelle2019"/>
    <w:p>
      <w:pPr>
        <w:pStyle w:val="Bibliography"/>
      </w:pPr>
      <w:r>
        <w:t xml:space="preserve">Revelle, W., &amp; Condon, D. M. (2019). Reliability from</w:t>
      </w:r>
      <w:r>
        <w:t xml:space="preserve"> </w:t>
      </w:r>
      <m:oMath>
        <m:r>
          <m:t>α</m:t>
        </m:r>
      </m:oMath>
      <w:r>
        <w:t xml:space="preserve"> </w:t>
      </w:r>
      <w:r>
        <w:t xml:space="preserve">to</w:t>
      </w:r>
      <w:r>
        <w:t xml:space="preserve"> </w:t>
      </w:r>
      <m:oMath>
        <m:r>
          <m:t>ω</m:t>
        </m:r>
      </m:oMath>
      <w:r>
        <w:t xml:space="preserve">:</w:t>
      </w:r>
      <w:r>
        <w:t xml:space="preserve"> </w:t>
      </w:r>
      <w:r>
        <w:t xml:space="preserve">A</w:t>
      </w:r>
      <w:r>
        <w:t xml:space="preserve"> </w:t>
      </w:r>
      <w:r>
        <w:t xml:space="preserve">tutorial.</w:t>
      </w:r>
      <w:r>
        <w:t xml:space="preserve"> </w:t>
      </w:r>
      <w:r>
        <w:rPr>
          <w:i/>
          <w:iCs/>
        </w:rPr>
        <w:t xml:space="preserve">Psychological Assessment</w:t>
      </w:r>
      <w:r>
        <w:t xml:space="preserve">,</w:t>
      </w:r>
      <w:r>
        <w:t xml:space="preserve"> </w:t>
      </w:r>
      <w:r>
        <w:rPr>
          <w:i/>
          <w:iCs/>
        </w:rPr>
        <w:t xml:space="preserve">31</w:t>
      </w:r>
      <w:r>
        <w:t xml:space="preserve">(12), 1395–1411.</w:t>
      </w:r>
      <w:r>
        <w:t xml:space="preserve"> </w:t>
      </w:r>
      <w:hyperlink r:id="rId370">
        <w:r>
          <w:rPr>
            <w:rStyle w:val="Hyperlink"/>
          </w:rPr>
          <w:t xml:space="preserve">https://doi.org/10.1037/pas0000754</w:t>
        </w:r>
      </w:hyperlink>
    </w:p>
    <w:bookmarkEnd w:id="371"/>
    <w:bookmarkStart w:id="373" w:name="ref-Robitzsch2023"/>
    <w:p>
      <w:pPr>
        <w:pStyle w:val="Bibliography"/>
      </w:pPr>
      <w:r>
        <w:t xml:space="preserve">Robitzsch, A., &amp; Lüdtke, O. (2023). Why full, partial, or approximate measurement invariance are not a prerequisite for meaningful and valid group comparisons.</w:t>
      </w:r>
      <w:r>
        <w:t xml:space="preserve"> </w:t>
      </w:r>
      <w:r>
        <w:rPr>
          <w:i/>
          <w:iCs/>
        </w:rPr>
        <w:t xml:space="preserve">Structural Equation Modeling: A Multidisciplinary Journal</w:t>
      </w:r>
      <w:r>
        <w:t xml:space="preserve">,</w:t>
      </w:r>
      <w:r>
        <w:t xml:space="preserve"> </w:t>
      </w:r>
      <w:r>
        <w:rPr>
          <w:i/>
          <w:iCs/>
        </w:rPr>
        <w:t xml:space="preserve">30</w:t>
      </w:r>
      <w:r>
        <w:t xml:space="preserve">(6), 859–870.</w:t>
      </w:r>
      <w:r>
        <w:t xml:space="preserve"> </w:t>
      </w:r>
      <w:hyperlink r:id="rId372">
        <w:r>
          <w:rPr>
            <w:rStyle w:val="Hyperlink"/>
          </w:rPr>
          <w:t xml:space="preserve">https://doi.org/10.1080/10705511.2023.2191292</w:t>
        </w:r>
      </w:hyperlink>
    </w:p>
    <w:bookmarkEnd w:id="373"/>
    <w:bookmarkStart w:id="374" w:name="ref-Roche1992"/>
    <w:p>
      <w:pPr>
        <w:pStyle w:val="Bibliography"/>
      </w:pPr>
      <w:r>
        <w:t xml:space="preserve">Roche, A. F. (1992).</w:t>
      </w:r>
      <w:r>
        <w:t xml:space="preserve"> </w:t>
      </w:r>
      <w:r>
        <w:rPr>
          <w:i/>
          <w:iCs/>
        </w:rPr>
        <w:t xml:space="preserve">Growth, maturation, and body composition:</w:t>
      </w:r>
      <w:r>
        <w:rPr>
          <w:i/>
          <w:iCs/>
        </w:rPr>
        <w:t xml:space="preserve"> </w:t>
      </w:r>
      <w:r>
        <w:rPr>
          <w:i/>
          <w:iCs/>
        </w:rPr>
        <w:t xml:space="preserve">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374"/>
    <w:bookmarkStart w:id="376" w:name="ref-Rohrer2025"/>
    <w:p>
      <w:pPr>
        <w:pStyle w:val="Bibliography"/>
      </w:pPr>
      <w:r>
        <w:t xml:space="preserve">Rohrer, J. M. (2025). Thinking clearly about age, period, and cohort effects.</w:t>
      </w:r>
      <w:r>
        <w:t xml:space="preserve"> </w:t>
      </w:r>
      <w:r>
        <w:rPr>
          <w:i/>
          <w:iCs/>
        </w:rPr>
        <w:t xml:space="preserve">Advances in Methods and Practices in Psychological Science</w:t>
      </w:r>
      <w:r>
        <w:t xml:space="preserve">,</w:t>
      </w:r>
      <w:r>
        <w:t xml:space="preserve"> </w:t>
      </w:r>
      <w:r>
        <w:rPr>
          <w:i/>
          <w:iCs/>
        </w:rPr>
        <w:t xml:space="preserve">8</w:t>
      </w:r>
      <w:r>
        <w:t xml:space="preserve">(2), 25152459251342750.</w:t>
      </w:r>
      <w:r>
        <w:t xml:space="preserve"> </w:t>
      </w:r>
      <w:hyperlink r:id="rId375">
        <w:r>
          <w:rPr>
            <w:rStyle w:val="Hyperlink"/>
          </w:rPr>
          <w:t xml:space="preserve">https://doi.org/10.1177/25152459251342750</w:t>
        </w:r>
      </w:hyperlink>
    </w:p>
    <w:bookmarkEnd w:id="376"/>
    <w:bookmarkStart w:id="378"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377">
        <w:r>
          <w:rPr>
            <w:rStyle w:val="Hyperlink"/>
          </w:rPr>
          <w:t xml:space="preserve">https://doi.org/10.1111/j.1469-7610.2006.01614.x</w:t>
        </w:r>
      </w:hyperlink>
    </w:p>
    <w:bookmarkEnd w:id="378"/>
    <w:bookmarkStart w:id="380" w:name="ref-SacuInPress"/>
    <w:p>
      <w:pPr>
        <w:pStyle w:val="Bibliography"/>
      </w:pPr>
      <w:r>
        <w:t xml:space="preserve">Sacu, S., Streit, F., Witt, S. H., Banaschewski, T., Holz, N. E., &amp; Schultebraucks, K. (in press). Predicting psychopathology symptom trajectories using machine learning:</w:t>
      </w:r>
      <w:r>
        <w:t xml:space="preserve"> </w:t>
      </w:r>
      <w:r>
        <w:t xml:space="preserve">A</w:t>
      </w:r>
      <w:r>
        <w:t xml:space="preserve"> </w:t>
      </w:r>
      <w:r>
        <w:t xml:space="preserve">33-year prospective study.</w:t>
      </w:r>
      <w:r>
        <w:t xml:space="preserve"> </w:t>
      </w:r>
      <w:r>
        <w:rPr>
          <w:i/>
          <w:iCs/>
        </w:rPr>
        <w:t xml:space="preserve">Journal of Child Psychology and Psychiatry</w:t>
      </w:r>
      <w:r>
        <w:t xml:space="preserve">.</w:t>
      </w:r>
      <w:r>
        <w:t xml:space="preserve"> </w:t>
      </w:r>
      <w:hyperlink r:id="rId379">
        <w:r>
          <w:rPr>
            <w:rStyle w:val="Hyperlink"/>
          </w:rPr>
          <w:t xml:space="preserve">https://doi.org/10.1111/jcpp.70180</w:t>
        </w:r>
      </w:hyperlink>
    </w:p>
    <w:bookmarkEnd w:id="380"/>
    <w:bookmarkStart w:id="382" w:name="ref-Schaefer2017"/>
    <w:p>
      <w:pPr>
        <w:pStyle w:val="Bibliography"/>
      </w:pPr>
      <w:r>
        <w:t xml:space="preserve">Schaefer, J. D., Caspi, A., Belsky, D. W., Harrington, H., Houts, R., Horwood, L. J., Hussong, A., Ramrakha, S., Poulton, R., &amp; Moffitt, T. E. (2017). Enduring mental health:</w:t>
      </w:r>
      <w:r>
        <w:t xml:space="preserve"> </w:t>
      </w:r>
      <w:r>
        <w:t xml:space="preserve">Prevalence</w:t>
      </w:r>
      <w:r>
        <w:t xml:space="preserve"> </w:t>
      </w:r>
      <w:r>
        <w:t xml:space="preserve">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381">
        <w:r>
          <w:rPr>
            <w:rStyle w:val="Hyperlink"/>
          </w:rPr>
          <w:t xml:space="preserve">https://doi.org/10.1037/abn0000232</w:t>
        </w:r>
      </w:hyperlink>
    </w:p>
    <w:bookmarkEnd w:id="382"/>
    <w:bookmarkStart w:id="384" w:name="ref-Schaeffer1991"/>
    <w:p>
      <w:pPr>
        <w:pStyle w:val="Bibliography"/>
      </w:pPr>
      <w:r>
        <w:t xml:space="preserve">Schaeffer, N. C. (1991). Hardly ever or constantly?</w:t>
      </w:r>
      <w:r>
        <w:t xml:space="preserve"> </w:t>
      </w:r>
      <w:r>
        <w:t xml:space="preserve">Group</w:t>
      </w:r>
      <w:r>
        <w:t xml:space="preserve"> </w:t>
      </w:r>
      <w:r>
        <w:t xml:space="preserve">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383">
        <w:r>
          <w:rPr>
            <w:rStyle w:val="Hyperlink"/>
          </w:rPr>
          <w:t xml:space="preserve">https://doi.org/10.1086/269270</w:t>
        </w:r>
      </w:hyperlink>
    </w:p>
    <w:bookmarkEnd w:id="384"/>
    <w:bookmarkStart w:id="385" w:name="ref-Schaie2005"/>
    <w:p>
      <w:pPr>
        <w:pStyle w:val="Bibliography"/>
      </w:pPr>
      <w:r>
        <w:t xml:space="preserve">Schaie, K. W. (2005).</w:t>
      </w:r>
      <w:r>
        <w:t xml:space="preserve"> </w:t>
      </w:r>
      <w:r>
        <w:rPr>
          <w:i/>
          <w:iCs/>
        </w:rPr>
        <w:t xml:space="preserve">Developmental influences on adult intelligence:</w:t>
      </w:r>
      <w:r>
        <w:rPr>
          <w:i/>
          <w:iCs/>
        </w:rPr>
        <w:t xml:space="preserve"> </w:t>
      </w:r>
      <w:r>
        <w:rPr>
          <w:i/>
          <w:iCs/>
        </w:rPr>
        <w:t xml:space="preserve">The</w:t>
      </w:r>
      <w:r>
        <w:rPr>
          <w:i/>
          <w:iCs/>
        </w:rPr>
        <w:t xml:space="preserve"> </w:t>
      </w:r>
      <w:r>
        <w:rPr>
          <w:i/>
          <w:iCs/>
        </w:rPr>
        <w:t xml:space="preserve">Seattle Longitudinal Study</w:t>
      </w:r>
      <w:r>
        <w:t xml:space="preserve">. Oxford University Press.</w:t>
      </w:r>
    </w:p>
    <w:bookmarkEnd w:id="385"/>
    <w:bookmarkStart w:id="387" w:name="ref-Schwarz1999"/>
    <w:p>
      <w:pPr>
        <w:pStyle w:val="Bibliography"/>
      </w:pPr>
      <w:r>
        <w:t xml:space="preserve">Schwarz, N. (1999). Self-reports:</w:t>
      </w:r>
      <w:r>
        <w:t xml:space="preserve"> </w:t>
      </w:r>
      <w:r>
        <w:t xml:space="preserve">How</w:t>
      </w:r>
      <w:r>
        <w:t xml:space="preserve"> </w:t>
      </w:r>
      <w:r>
        <w:t xml:space="preserve">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386">
        <w:r>
          <w:rPr>
            <w:rStyle w:val="Hyperlink"/>
          </w:rPr>
          <w:t xml:space="preserve">https://doi.org/10.1037/0003-066X.54.2.93</w:t>
        </w:r>
      </w:hyperlink>
    </w:p>
    <w:bookmarkEnd w:id="387"/>
    <w:bookmarkStart w:id="389" w:name="ref-Seddig2018"/>
    <w:p>
      <w:pPr>
        <w:pStyle w:val="Bibliography"/>
      </w:pPr>
      <w:r>
        <w:t xml:space="preserve">Seddig, D., &amp; Leitgöb, H. (2018). Approximate measurement invariance and longitudinal confirmatory factor analysis:</w:t>
      </w:r>
      <w:r>
        <w:t xml:space="preserve"> </w:t>
      </w:r>
      <w:r>
        <w:t xml:space="preserve">Concept</w:t>
      </w:r>
      <w:r>
        <w:t xml:space="preserve"> </w:t>
      </w:r>
      <w:r>
        <w:t xml:space="preserve">and application with panel data.</w:t>
      </w:r>
      <w:r>
        <w:t xml:space="preserve"> </w:t>
      </w:r>
      <w:r>
        <w:rPr>
          <w:i/>
          <w:iCs/>
        </w:rPr>
        <w:t xml:space="preserve">Survey Research Methods</w:t>
      </w:r>
      <w:r>
        <w:t xml:space="preserve">,</w:t>
      </w:r>
      <w:r>
        <w:t xml:space="preserve"> </w:t>
      </w:r>
      <w:r>
        <w:rPr>
          <w:i/>
          <w:iCs/>
        </w:rPr>
        <w:t xml:space="preserve">12</w:t>
      </w:r>
      <w:r>
        <w:t xml:space="preserve">(1).</w:t>
      </w:r>
      <w:r>
        <w:t xml:space="preserve"> </w:t>
      </w:r>
      <w:hyperlink r:id="rId388">
        <w:r>
          <w:rPr>
            <w:rStyle w:val="Hyperlink"/>
          </w:rPr>
          <w:t xml:space="preserve">https://doi.org/10.18148/srm/2018.v12i1.7210</w:t>
        </w:r>
      </w:hyperlink>
    </w:p>
    <w:bookmarkEnd w:id="389"/>
    <w:bookmarkStart w:id="391"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390">
        <w:r>
          <w:rPr>
            <w:rStyle w:val="Hyperlink"/>
          </w:rPr>
          <w:t xml:space="preserve">https://doi.org/10.1037/abn0000171</w:t>
        </w:r>
      </w:hyperlink>
    </w:p>
    <w:bookmarkEnd w:id="391"/>
    <w:bookmarkStart w:id="393" w:name="ref-Shi2020"/>
    <w:p>
      <w:pPr>
        <w:pStyle w:val="Bibliography"/>
      </w:pPr>
      <w:r>
        <w:t xml:space="preserve">Shi, Q., Ettekal, I., Deutz, M. H. F., &amp; Woltering, S. (2020). Trajectories of pure and co-occurring internalizing and externalizing problems from early childhood to adolescence:</w:t>
      </w:r>
      <w:r>
        <w:t xml:space="preserve"> </w:t>
      </w:r>
      <w:r>
        <w:t xml:space="preserve">Associations</w:t>
      </w:r>
      <w:r>
        <w:t xml:space="preserve"> </w:t>
      </w:r>
      <w:r>
        <w:t xml:space="preserve">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392">
        <w:r>
          <w:rPr>
            <w:rStyle w:val="Hyperlink"/>
          </w:rPr>
          <w:t xml:space="preserve">https://doi.org/10.1037/dev0001095</w:t>
        </w:r>
      </w:hyperlink>
    </w:p>
    <w:bookmarkEnd w:id="393"/>
    <w:bookmarkStart w:id="395"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394">
        <w:r>
          <w:rPr>
            <w:rStyle w:val="Hyperlink"/>
          </w:rPr>
          <w:t xml:space="preserve">https://doi.org/10.1037/pas0000648</w:t>
        </w:r>
      </w:hyperlink>
    </w:p>
    <w:bookmarkEnd w:id="395"/>
    <w:bookmarkStart w:id="396" w:name="ref-Sivertsson2024"/>
    <w:p>
      <w:pPr>
        <w:pStyle w:val="Bibliography"/>
      </w:pPr>
      <w:r>
        <w:t xml:space="preserve">Sivertsson, F., Carlsson, C., Almquist, Y. B., &amp; Brännström, L. (2024). Offending trajectories from childhood to retirement age:</w:t>
      </w:r>
      <w:r>
        <w:t xml:space="preserve"> </w:t>
      </w:r>
      <w:r>
        <w:t xml:space="preserve">Findings</w:t>
      </w:r>
      <w:r>
        <w:t xml:space="preserve"> </w:t>
      </w:r>
      <w:r>
        <w:t xml:space="preserve">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56">
        <w:r>
          <w:rPr>
            <w:rStyle w:val="Hyperlink"/>
          </w:rPr>
          <w:t xml:space="preserve">https://doi.org/10.1016/j.jcrimjus.2024.102155</w:t>
        </w:r>
      </w:hyperlink>
    </w:p>
    <w:bookmarkEnd w:id="396"/>
    <w:bookmarkStart w:id="398" w:name="ref-Speyer2022"/>
    <w:p>
      <w:pPr>
        <w:pStyle w:val="Bibliography"/>
      </w:pPr>
      <w:r>
        <w:t xml:space="preserve">Speyer, L. G., Neaves, S., Hall, H. A., Hemani, G., Lombardo, M. V., Murray, A. L., Auyeung, B., &amp; Luciano, M. (2022). Polygenic risks for joint developmental trajectories of internalizing and externalizing problems:</w:t>
      </w:r>
      <w:r>
        <w:t xml:space="preserve"> </w:t>
      </w:r>
      <w:r>
        <w:t xml:space="preserve">Findings</w:t>
      </w:r>
      <w:r>
        <w:t xml:space="preserve"> </w:t>
      </w:r>
      <w:r>
        <w:t xml:space="preserve">from the</w:t>
      </w:r>
      <w:r>
        <w:t xml:space="preserve"> </w:t>
      </w:r>
      <w:r>
        <w:t xml:space="preserve">ALSPAC</w:t>
      </w:r>
      <w:r>
        <w:t xml:space="preserve"> </w:t>
      </w:r>
      <w:r>
        <w:t xml:space="preserve">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397">
        <w:r>
          <w:rPr>
            <w:rStyle w:val="Hyperlink"/>
          </w:rPr>
          <w:t xml:space="preserve">https://doi.org/10.1111/jcpp.13549</w:t>
        </w:r>
      </w:hyperlink>
    </w:p>
    <w:bookmarkEnd w:id="398"/>
    <w:bookmarkStart w:id="399"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399"/>
    <w:bookmarkStart w:id="401"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400">
        <w:r>
          <w:rPr>
            <w:rStyle w:val="Hyperlink"/>
          </w:rPr>
          <w:t xml:space="preserve">https://doi.org/10.1146/annurev-criminol-111523-122451</w:t>
        </w:r>
      </w:hyperlink>
    </w:p>
    <w:bookmarkEnd w:id="401"/>
    <w:bookmarkStart w:id="403" w:name="ref-Sterba2007"/>
    <w:p>
      <w:pPr>
        <w:pStyle w:val="Bibliography"/>
      </w:pPr>
      <w:r>
        <w:t xml:space="preserve">Sterba, S. K., Prinstein, M. J., &amp; Cox, M. J. (2007). Trajectories of internalizing problems across childhood:</w:t>
      </w:r>
      <w:r>
        <w:t xml:space="preserve"> </w:t>
      </w:r>
      <w:r>
        <w:t xml:space="preserve">Heterogeneity</w:t>
      </w:r>
      <w:r>
        <w:t xml:space="preserve">,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402">
        <w:r>
          <w:rPr>
            <w:rStyle w:val="Hyperlink"/>
          </w:rPr>
          <w:t xml:space="preserve">https://doi.org/10.1017/S0954579407070174</w:t>
        </w:r>
      </w:hyperlink>
    </w:p>
    <w:bookmarkEnd w:id="403"/>
    <w:bookmarkStart w:id="405" w:name="ref-Sterner2026"/>
    <w:p>
      <w:pPr>
        <w:pStyle w:val="Bibliography"/>
      </w:pPr>
      <w:r>
        <w:t xml:space="preserve">Sterner, P., Pargent, F., &amp; Goretzko, D. (2026). Don’t let</w:t>
      </w:r>
      <w:r>
        <w:t xml:space="preserve"> </w:t>
      </w:r>
      <w:r>
        <w:t xml:space="preserve">MI</w:t>
      </w:r>
      <w:r>
        <w:t xml:space="preserve"> </w:t>
      </w:r>
      <w:r>
        <w:t xml:space="preserve">be misunderstood:</w:t>
      </w:r>
      <w:r>
        <w:t xml:space="preserve"> </w:t>
      </w:r>
      <w:r>
        <w:t xml:space="preserve">A</w:t>
      </w:r>
      <w:r>
        <w:t xml:space="preserve"> </w:t>
      </w:r>
      <w:r>
        <w:t xml:space="preserve">causal view on measurement invariance.</w:t>
      </w:r>
      <w:r>
        <w:t xml:space="preserve"> </w:t>
      </w:r>
      <w:r>
        <w:rPr>
          <w:i/>
          <w:iCs/>
        </w:rPr>
        <w:t xml:space="preserve">Current Research in Ecological and Social Psychology</w:t>
      </w:r>
      <w:r>
        <w:t xml:space="preserve">,</w:t>
      </w:r>
      <w:r>
        <w:t xml:space="preserve"> </w:t>
      </w:r>
      <w:r>
        <w:rPr>
          <w:i/>
          <w:iCs/>
        </w:rPr>
        <w:t xml:space="preserve">10</w:t>
      </w:r>
      <w:r>
        <w:t xml:space="preserve">, 100261.</w:t>
      </w:r>
      <w:r>
        <w:t xml:space="preserve"> </w:t>
      </w:r>
      <w:hyperlink r:id="rId404">
        <w:r>
          <w:rPr>
            <w:rStyle w:val="Hyperlink"/>
          </w:rPr>
          <w:t xml:space="preserve">https://doi.org/10.1016/j.cresp.2025.100261</w:t>
        </w:r>
      </w:hyperlink>
    </w:p>
    <w:bookmarkEnd w:id="405"/>
    <w:bookmarkStart w:id="407"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406">
        <w:r>
          <w:rPr>
            <w:rStyle w:val="Hyperlink"/>
          </w:rPr>
          <w:t xml:space="preserve">https://doi.org/10.1177/1362361320908972</w:t>
        </w:r>
      </w:hyperlink>
    </w:p>
    <w:bookmarkEnd w:id="407"/>
    <w:bookmarkStart w:id="409" w:name="ref-Student2025"/>
    <w:p>
      <w:pPr>
        <w:pStyle w:val="Bibliography"/>
      </w:pPr>
      <w:r>
        <w:t xml:space="preserve">Student, S. R. (2025). Vertical scaling with moderated nonlinear factor analysis.</w:t>
      </w:r>
      <w:r>
        <w:t xml:space="preserve"> </w:t>
      </w:r>
      <w:r>
        <w:rPr>
          <w:i/>
          <w:iCs/>
        </w:rPr>
        <w:t xml:space="preserve">Journal of Educational Measurement</w:t>
      </w:r>
      <w:r>
        <w:t xml:space="preserve">,</w:t>
      </w:r>
      <w:r>
        <w:t xml:space="preserve"> </w:t>
      </w:r>
      <w:r>
        <w:rPr>
          <w:i/>
          <w:iCs/>
        </w:rPr>
        <w:t xml:space="preserve">62</w:t>
      </w:r>
      <w:r>
        <w:t xml:space="preserve">(4), 929–958.</w:t>
      </w:r>
      <w:r>
        <w:t xml:space="preserve"> </w:t>
      </w:r>
      <w:hyperlink r:id="rId408">
        <w:r>
          <w:rPr>
            <w:rStyle w:val="Hyperlink"/>
          </w:rPr>
          <w:t xml:space="preserve">https://doi.org/10.1111/jedm.70019</w:t>
        </w:r>
      </w:hyperlink>
    </w:p>
    <w:bookmarkEnd w:id="409"/>
    <w:bookmarkStart w:id="411" w:name="ref-Tackett2022"/>
    <w:p>
      <w:pPr>
        <w:pStyle w:val="Bibliography"/>
      </w:pPr>
      <w:r>
        <w:t xml:space="preserve">Tackett, J. L., &amp; Hallquist, M. (2022). The need to grow:</w:t>
      </w:r>
      <w:r>
        <w:t xml:space="preserve"> </w:t>
      </w:r>
      <w:r>
        <w:t xml:space="preserve">Developmental</w:t>
      </w:r>
      <w:r>
        <w:t xml:space="preserve"> </w:t>
      </w:r>
      <w:r>
        <w:t xml:space="preserve">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410">
        <w:r>
          <w:rPr>
            <w:rStyle w:val="Hyperlink"/>
          </w:rPr>
          <w:t xml:space="preserve">https://doi.org/10.1037/abn0000751</w:t>
        </w:r>
      </w:hyperlink>
    </w:p>
    <w:bookmarkEnd w:id="411"/>
    <w:bookmarkStart w:id="413"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412">
        <w:r>
          <w:rPr>
            <w:rStyle w:val="Hyperlink"/>
          </w:rPr>
          <w:t xml:space="preserve">https://doi.org/10.1038/s44220-023-00057-5</w:t>
        </w:r>
      </w:hyperlink>
    </w:p>
    <w:bookmarkEnd w:id="413"/>
    <w:bookmarkStart w:id="415" w:name="ref-Tyrell2019"/>
    <w:p>
      <w:pPr>
        <w:pStyle w:val="Bibliography"/>
      </w:pPr>
      <w:r>
        <w:t xml:space="preserve">Tyrell, F. A., Yates, T. M., Widaman, K. F., Reynolds, C. A., &amp; Fabricius, W. V. (2019). Data harmonization:</w:t>
      </w:r>
      <w:r>
        <w:t xml:space="preserve"> </w:t>
      </w:r>
      <w:r>
        <w:t xml:space="preserve">Establishing</w:t>
      </w:r>
      <w:r>
        <w:t xml:space="preserve"> </w:t>
      </w:r>
      <w:r>
        <w:t xml:space="preserve">measurement invariance across different assessments of the same construct across adolescence.</w:t>
      </w:r>
      <w:r>
        <w:t xml:space="preserve"> </w:t>
      </w:r>
      <w:r>
        <w:rPr>
          <w:i/>
          <w:iCs/>
        </w:rPr>
        <w:t xml:space="preserve">Journal of Clinical Child &amp; Adolescent Psychology</w:t>
      </w:r>
      <w:r>
        <w:t xml:space="preserve">,</w:t>
      </w:r>
      <w:r>
        <w:t xml:space="preserve"> </w:t>
      </w:r>
      <w:r>
        <w:rPr>
          <w:i/>
          <w:iCs/>
        </w:rPr>
        <w:t xml:space="preserve">48</w:t>
      </w:r>
      <w:r>
        <w:t xml:space="preserve">(4), 555–567.</w:t>
      </w:r>
      <w:r>
        <w:t xml:space="preserve"> </w:t>
      </w:r>
      <w:hyperlink r:id="rId414">
        <w:r>
          <w:rPr>
            <w:rStyle w:val="Hyperlink"/>
          </w:rPr>
          <w:t xml:space="preserve">https://doi.org/10.1080/15374416.2019.1622124</w:t>
        </w:r>
      </w:hyperlink>
    </w:p>
    <w:bookmarkEnd w:id="415"/>
    <w:bookmarkStart w:id="417" w:name="ref-Vaillant2012"/>
    <w:p>
      <w:pPr>
        <w:pStyle w:val="Bibliography"/>
      </w:pPr>
      <w:r>
        <w:t xml:space="preserve">Vaillant, G. E. (2012).</w:t>
      </w:r>
      <w:r>
        <w:t xml:space="preserve"> </w:t>
      </w:r>
      <w:r>
        <w:rPr>
          <w:i/>
          <w:iCs/>
        </w:rPr>
        <w:t xml:space="preserve">Triumphs of experience:</w:t>
      </w:r>
      <w:r>
        <w:rPr>
          <w:i/>
          <w:iCs/>
        </w:rPr>
        <w:t xml:space="preserve"> </w:t>
      </w:r>
      <w:r>
        <w:rPr>
          <w:i/>
          <w:iCs/>
        </w:rPr>
        <w:t xml:space="preserve">The</w:t>
      </w:r>
      <w:r>
        <w:rPr>
          <w:i/>
          <w:iCs/>
        </w:rPr>
        <w:t xml:space="preserve"> </w:t>
      </w:r>
      <w:r>
        <w:rPr>
          <w:i/>
          <w:iCs/>
        </w:rPr>
        <w:t xml:space="preserve">men of the</w:t>
      </w:r>
      <w:r>
        <w:rPr>
          <w:i/>
          <w:iCs/>
        </w:rPr>
        <w:t xml:space="preserve"> </w:t>
      </w:r>
      <w:r>
        <w:rPr>
          <w:i/>
          <w:iCs/>
        </w:rPr>
        <w:t xml:space="preserve">Harvard Grant Study</w:t>
      </w:r>
      <w:r>
        <w:t xml:space="preserve">. Harvard University Press.</w:t>
      </w:r>
      <w:r>
        <w:t xml:space="preserve"> </w:t>
      </w:r>
      <w:hyperlink r:id="rId416">
        <w:r>
          <w:rPr>
            <w:rStyle w:val="Hyperlink"/>
          </w:rPr>
          <w:t xml:space="preserve">https://doi.org/10.2307/j.ctt2jbxs1</w:t>
        </w:r>
      </w:hyperlink>
    </w:p>
    <w:bookmarkEnd w:id="417"/>
    <w:bookmarkStart w:id="419" w:name="ref-VanDeSchoot2013"/>
    <w:p>
      <w:pPr>
        <w:pStyle w:val="Bibliography"/>
      </w:pPr>
      <w:r>
        <w:t xml:space="preserve">Van De Schoot, R., Kluytmans, A., Tummers, L., Lugtig, P., Hox, J., &amp; Muthen, B. (2013). Facing off with</w:t>
      </w:r>
      <w:r>
        <w:t xml:space="preserve"> </w:t>
      </w:r>
      <w:r>
        <w:t xml:space="preserve">Scylla</w:t>
      </w:r>
      <w:r>
        <w:t xml:space="preserve"> </w:t>
      </w:r>
      <w:r>
        <w:t xml:space="preserve">and</w:t>
      </w:r>
      <w:r>
        <w:t xml:space="preserve"> </w:t>
      </w:r>
      <w:r>
        <w:t xml:space="preserve">Charybdis</w:t>
      </w:r>
      <w:r>
        <w:t xml:space="preserve">:</w:t>
      </w:r>
      <w:r>
        <w:t xml:space="preserve"> </w:t>
      </w:r>
      <w:r>
        <w:t xml:space="preserve">A</w:t>
      </w:r>
      <w:r>
        <w:t xml:space="preserve"> </w:t>
      </w:r>
      <w:r>
        <w:t xml:space="preserve">comparison of scalar, partial, and the novel possibility of approximate measurement invariance.</w:t>
      </w:r>
      <w:r>
        <w:t xml:space="preserve"> </w:t>
      </w:r>
      <w:r>
        <w:rPr>
          <w:i/>
          <w:iCs/>
        </w:rPr>
        <w:t xml:space="preserve">Frontiers in Psychology</w:t>
      </w:r>
      <w:r>
        <w:t xml:space="preserve">,</w:t>
      </w:r>
      <w:r>
        <w:t xml:space="preserve"> </w:t>
      </w:r>
      <w:r>
        <w:rPr>
          <w:i/>
          <w:iCs/>
        </w:rPr>
        <w:t xml:space="preserve">4</w:t>
      </w:r>
      <w:r>
        <w:t xml:space="preserve">(770).</w:t>
      </w:r>
      <w:r>
        <w:t xml:space="preserve"> </w:t>
      </w:r>
      <w:hyperlink r:id="rId418">
        <w:r>
          <w:rPr>
            <w:rStyle w:val="Hyperlink"/>
          </w:rPr>
          <w:t xml:space="preserve">https://doi.org/10.3389/fpsyg.2013.00770</w:t>
        </w:r>
      </w:hyperlink>
    </w:p>
    <w:bookmarkEnd w:id="419"/>
    <w:bookmarkStart w:id="421"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420">
        <w:r>
          <w:rPr>
            <w:rStyle w:val="Hyperlink"/>
          </w:rPr>
          <w:t xml:space="preserve">https://doi.org/10.1016/j.jaac.2013.10.011</w:t>
        </w:r>
      </w:hyperlink>
    </w:p>
    <w:bookmarkEnd w:id="421"/>
    <w:bookmarkStart w:id="423"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w:t>
      </w:r>
      <w:r>
        <w:t xml:space="preserve"> </w:t>
      </w:r>
      <w:r>
        <w:t xml:space="preserve">A</w:t>
      </w:r>
      <w:r>
        <w:t xml:space="preserve"> </w:t>
      </w:r>
      <w:r>
        <w:t xml:space="preserve">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422">
        <w:r>
          <w:rPr>
            <w:rStyle w:val="Hyperlink"/>
          </w:rPr>
          <w:t xml:space="preserve">https://doi.org/10.1080/15374416.2018.1561296</w:t>
        </w:r>
      </w:hyperlink>
    </w:p>
    <w:bookmarkEnd w:id="423"/>
    <w:bookmarkStart w:id="425" w:name="ref-Walters2011"/>
    <w:p>
      <w:pPr>
        <w:pStyle w:val="Bibliography"/>
      </w:pPr>
      <w:r>
        <w:t xml:space="preserve">Walters, G. D. (2011). The latent structure of life-course-persistent antisocial behavior:</w:t>
      </w:r>
      <w:r>
        <w:t xml:space="preserve"> </w:t>
      </w:r>
      <w:r>
        <w:t xml:space="preserve">Is</w:t>
      </w:r>
      <w:r>
        <w:t xml:space="preserve"> </w:t>
      </w:r>
      <w:r>
        <w:t xml:space="preserve">Moffitt’s</w:t>
      </w:r>
      <w:r>
        <w:t xml:space="preserve"> </w:t>
      </w:r>
      <w:r>
        <w:t xml:space="preserve">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424">
        <w:r>
          <w:rPr>
            <w:rStyle w:val="Hyperlink"/>
          </w:rPr>
          <w:t xml:space="preserve">https://doi.org/10.1037/a0021519</w:t>
        </w:r>
      </w:hyperlink>
    </w:p>
    <w:bookmarkEnd w:id="425"/>
    <w:bookmarkStart w:id="427" w:name="ref-Walters2012"/>
    <w:p>
      <w:pPr>
        <w:pStyle w:val="Bibliography"/>
      </w:pPr>
      <w:r>
        <w:t xml:space="preserve">Walters, G. D. (2012). Developmental trajectories of delinquent behavior:</w:t>
      </w:r>
      <w:r>
        <w:t xml:space="preserve"> </w:t>
      </w:r>
      <w:r>
        <w:t xml:space="preserve">One</w:t>
      </w:r>
      <w:r>
        <w:t xml:space="preserve"> </w:t>
      </w:r>
      <w:r>
        <w:t xml:space="preserve">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426">
        <w:r>
          <w:rPr>
            <w:rStyle w:val="Hyperlink"/>
          </w:rPr>
          <w:t xml:space="preserve">https://doi.org/10.1177/0093854812443645</w:t>
        </w:r>
      </w:hyperlink>
    </w:p>
    <w:bookmarkEnd w:id="427"/>
    <w:bookmarkStart w:id="429"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428">
        <w:r>
          <w:rPr>
            <w:rStyle w:val="Hyperlink"/>
          </w:rPr>
          <w:t xml:space="preserve">https://doi.org/10.1007/s12103-013-9235-1</w:t>
        </w:r>
      </w:hyperlink>
    </w:p>
    <w:bookmarkEnd w:id="429"/>
    <w:bookmarkStart w:id="431" w:name="ref-Walters2015"/>
    <w:p>
      <w:pPr>
        <w:pStyle w:val="Bibliography"/>
      </w:pPr>
      <w:r>
        <w:t xml:space="preserve">Walters, G. D. (2015). The latent structure of criminal persistence:</w:t>
      </w:r>
      <w:r>
        <w:t xml:space="preserve"> </w:t>
      </w:r>
      <w:r>
        <w:t xml:space="preserve">A</w:t>
      </w:r>
      <w:r>
        <w:t xml:space="preserve"> </w:t>
      </w:r>
      <w:r>
        <w:t xml:space="preserve">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430">
        <w:r>
          <w:rPr>
            <w:rStyle w:val="Hyperlink"/>
          </w:rPr>
          <w:t xml:space="preserve">https://doi.org/10.1007/s12103-014-9272-4</w:t>
        </w:r>
      </w:hyperlink>
    </w:p>
    <w:bookmarkEnd w:id="431"/>
    <w:bookmarkStart w:id="433" w:name="ref-Walters2013"/>
    <w:p>
      <w:pPr>
        <w:pStyle w:val="Bibliography"/>
      </w:pPr>
      <w:r>
        <w:t xml:space="preserve">Walters, G. D., &amp; Ruscio, J. (2013). Trajectories of youthful antisocial behavior:</w:t>
      </w:r>
      <w:r>
        <w:t xml:space="preserve"> </w:t>
      </w:r>
      <w:r>
        <w:t xml:space="preserve">Categories</w:t>
      </w:r>
      <w:r>
        <w:t xml:space="preserve"> </w:t>
      </w:r>
      <w:r>
        <w:t xml:space="preserve">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432">
        <w:r>
          <w:rPr>
            <w:rStyle w:val="Hyperlink"/>
          </w:rPr>
          <w:t xml:space="preserve">https://doi.org/10.1007/s10802-012-9700-1</w:t>
        </w:r>
      </w:hyperlink>
    </w:p>
    <w:bookmarkEnd w:id="433"/>
    <w:bookmarkStart w:id="435" w:name="ref-Walton2011"/>
    <w:p>
      <w:pPr>
        <w:pStyle w:val="Bibliography"/>
      </w:pPr>
      <w:r>
        <w:t xml:space="preserve">Walton, K. E., Ormel, J., &amp; Krueger, R. F. (2011). The dimensional nature of externalizing behaviors in adolescence:</w:t>
      </w:r>
      <w:r>
        <w:t xml:space="preserve"> </w:t>
      </w:r>
      <w:r>
        <w:t xml:space="preserve">Evidence</w:t>
      </w:r>
      <w:r>
        <w:t xml:space="preserve"> </w:t>
      </w:r>
      <w:r>
        <w:t xml:space="preserve">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434">
        <w:r>
          <w:rPr>
            <w:rStyle w:val="Hyperlink"/>
          </w:rPr>
          <w:t xml:space="preserve">https://doi.org/10.1007/s10802-010-9478-y</w:t>
        </w:r>
      </w:hyperlink>
    </w:p>
    <w:bookmarkEnd w:id="435"/>
    <w:bookmarkStart w:id="437" w:name="ref-Ward2022"/>
    <w:p>
      <w:pPr>
        <w:pStyle w:val="Bibliography"/>
      </w:pPr>
      <w:r>
        <w:t xml:space="preserve">Ward, C., Oleson, J., Tomblin, J. B., &amp; Walker, E. (2022). Modeling population and subject-specific growth in a latent trait measured by multiple instruments over time using a hierarchical</w:t>
      </w:r>
      <w:r>
        <w:t xml:space="preserve"> </w:t>
      </w:r>
      <w:r>
        <w:t xml:space="preserve">Bayesian</w:t>
      </w:r>
      <w:r>
        <w:t xml:space="preserve"> </w:t>
      </w:r>
      <w:r>
        <w:t xml:space="preserve">framework.</w:t>
      </w:r>
      <w:r>
        <w:t xml:space="preserve"> </w:t>
      </w:r>
      <w:r>
        <w:rPr>
          <w:i/>
          <w:iCs/>
        </w:rPr>
        <w:t xml:space="preserve">Journal of Applied Statistics</w:t>
      </w:r>
      <w:r>
        <w:t xml:space="preserve">,</w:t>
      </w:r>
      <w:r>
        <w:t xml:space="preserve"> </w:t>
      </w:r>
      <w:r>
        <w:rPr>
          <w:i/>
          <w:iCs/>
        </w:rPr>
        <w:t xml:space="preserve">49</w:t>
      </w:r>
      <w:r>
        <w:t xml:space="preserve">(2), 449–465.</w:t>
      </w:r>
      <w:r>
        <w:t xml:space="preserve"> </w:t>
      </w:r>
      <w:hyperlink r:id="rId436">
        <w:r>
          <w:rPr>
            <w:rStyle w:val="Hyperlink"/>
          </w:rPr>
          <w:t xml:space="preserve">https://doi.org/10.1080/02664763.2020.1817346</w:t>
        </w:r>
      </w:hyperlink>
    </w:p>
    <w:bookmarkEnd w:id="437"/>
    <w:bookmarkStart w:id="439" w:name="ref-Weeks2018"/>
    <w:p>
      <w:pPr>
        <w:pStyle w:val="Bibliography"/>
      </w:pPr>
      <w:r>
        <w:t xml:space="preserve">Weeks, J. P. (2018). An application of multidimensional vertical scaling.</w:t>
      </w:r>
      <w:r>
        <w:t xml:space="preserve"> </w:t>
      </w:r>
      <w:r>
        <w:rPr>
          <w:i/>
          <w:iCs/>
        </w:rPr>
        <w:t xml:space="preserve">Measurement: Interdisciplinary Research and Perspectives</w:t>
      </w:r>
      <w:r>
        <w:t xml:space="preserve">,</w:t>
      </w:r>
      <w:r>
        <w:t xml:space="preserve"> </w:t>
      </w:r>
      <w:r>
        <w:rPr>
          <w:i/>
          <w:iCs/>
        </w:rPr>
        <w:t xml:space="preserve">16</w:t>
      </w:r>
      <w:r>
        <w:t xml:space="preserve">(3), 139–154.</w:t>
      </w:r>
      <w:r>
        <w:t xml:space="preserve"> </w:t>
      </w:r>
      <w:hyperlink r:id="rId438">
        <w:r>
          <w:rPr>
            <w:rStyle w:val="Hyperlink"/>
          </w:rPr>
          <w:t xml:space="preserve">https://doi.org/10.1080/15366367.2018.1502005</w:t>
        </w:r>
      </w:hyperlink>
    </w:p>
    <w:bookmarkEnd w:id="439"/>
    <w:bookmarkStart w:id="441"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440">
        <w:r>
          <w:rPr>
            <w:rStyle w:val="Hyperlink"/>
          </w:rPr>
          <w:t xml:space="preserve">https://doi.org/10.1016/j.dr.2008.01.001</w:t>
        </w:r>
      </w:hyperlink>
    </w:p>
    <w:bookmarkEnd w:id="441"/>
    <w:bookmarkStart w:id="443"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442">
        <w:r>
          <w:rPr>
            <w:rStyle w:val="Hyperlink"/>
          </w:rPr>
          <w:t xml:space="preserve">https://doi.org/10.1017/S0954579403000221</w:t>
        </w:r>
      </w:hyperlink>
    </w:p>
    <w:bookmarkEnd w:id="443"/>
    <w:bookmarkStart w:id="445" w:name="ref-Welzel2023a"/>
    <w:p>
      <w:pPr>
        <w:pStyle w:val="Bibliography"/>
      </w:pPr>
      <w:r>
        <w:t xml:space="preserve">Welzel, C., Brunkert, L., Kruse, S., &amp; Inglehart, R. F. (2023). Non-invariance?</w:t>
      </w:r>
      <w:r>
        <w:t xml:space="preserve"> </w:t>
      </w:r>
      <w:r>
        <w:t xml:space="preserve">An</w:t>
      </w:r>
      <w:r>
        <w:t xml:space="preserve"> </w:t>
      </w:r>
      <w:r>
        <w:t xml:space="preserve">overstated problem with misconceived causes.</w:t>
      </w:r>
      <w:r>
        <w:t xml:space="preserve"> </w:t>
      </w:r>
      <w:r>
        <w:rPr>
          <w:i/>
          <w:iCs/>
        </w:rPr>
        <w:t xml:space="preserve">Sociological Methods &amp; Research</w:t>
      </w:r>
      <w:r>
        <w:t xml:space="preserve">,</w:t>
      </w:r>
      <w:r>
        <w:t xml:space="preserve"> </w:t>
      </w:r>
      <w:r>
        <w:rPr>
          <w:i/>
          <w:iCs/>
        </w:rPr>
        <w:t xml:space="preserve">52</w:t>
      </w:r>
      <w:r>
        <w:t xml:space="preserve">(3), 1368–1400.</w:t>
      </w:r>
      <w:r>
        <w:t xml:space="preserve"> </w:t>
      </w:r>
      <w:hyperlink r:id="rId444">
        <w:r>
          <w:rPr>
            <w:rStyle w:val="Hyperlink"/>
          </w:rPr>
          <w:t xml:space="preserve">https://doi.org/10.1177/0049124121995521</w:t>
        </w:r>
      </w:hyperlink>
    </w:p>
    <w:bookmarkEnd w:id="445"/>
    <w:bookmarkStart w:id="447" w:name="ref-Welzel2023b"/>
    <w:p>
      <w:pPr>
        <w:pStyle w:val="Bibliography"/>
      </w:pPr>
      <w:r>
        <w:t xml:space="preserve">Welzel, C., Kruse, S., &amp; Brunkert, L. (2023). Against the mainstream:</w:t>
      </w:r>
      <w:r>
        <w:t xml:space="preserve"> </w:t>
      </w:r>
      <w:r>
        <w:t xml:space="preserve">On</w:t>
      </w:r>
      <w:r>
        <w:t xml:space="preserve"> </w:t>
      </w:r>
      <w:r>
        <w:t xml:space="preserve">the limitations of non-invariance diagnostics:</w:t>
      </w:r>
      <w:r>
        <w:t xml:space="preserve"> </w:t>
      </w:r>
      <w:r>
        <w:t xml:space="preserve">Response</w:t>
      </w:r>
      <w:r>
        <w:t xml:space="preserve"> </w:t>
      </w:r>
      <w:r>
        <w:t xml:space="preserve">to</w:t>
      </w:r>
      <w:r>
        <w:t xml:space="preserve"> </w:t>
      </w:r>
      <w:r>
        <w:t xml:space="preserve">Fischer</w:t>
      </w:r>
      <w:r>
        <w:t xml:space="preserve"> </w:t>
      </w:r>
      <w:r>
        <w:t xml:space="preserve">et al. And</w:t>
      </w:r>
      <w:r>
        <w:t xml:space="preserve"> </w:t>
      </w:r>
      <w:r>
        <w:t xml:space="preserve">Meuleman</w:t>
      </w:r>
      <w:r>
        <w:t xml:space="preserve"> </w:t>
      </w:r>
      <w:r>
        <w:t xml:space="preserve">et al.</w:t>
      </w:r>
      <w:r>
        <w:t xml:space="preserve"> </w:t>
      </w:r>
      <w:r>
        <w:rPr>
          <w:i/>
          <w:iCs/>
        </w:rPr>
        <w:t xml:space="preserve">Sociological Methods &amp; Research</w:t>
      </w:r>
      <w:r>
        <w:t xml:space="preserve">,</w:t>
      </w:r>
      <w:r>
        <w:t xml:space="preserve"> </w:t>
      </w:r>
      <w:r>
        <w:rPr>
          <w:i/>
          <w:iCs/>
        </w:rPr>
        <w:t xml:space="preserve">52</w:t>
      </w:r>
      <w:r>
        <w:t xml:space="preserve">(3), 1438–1455.</w:t>
      </w:r>
      <w:r>
        <w:t xml:space="preserve"> </w:t>
      </w:r>
      <w:hyperlink r:id="rId446">
        <w:r>
          <w:rPr>
            <w:rStyle w:val="Hyperlink"/>
          </w:rPr>
          <w:t xml:space="preserve">https://doi.org/10.1177/00491241221091754</w:t>
        </w:r>
      </w:hyperlink>
    </w:p>
    <w:bookmarkEnd w:id="447"/>
    <w:bookmarkStart w:id="448" w:name="ref-Whitbourne2019"/>
    <w:p>
      <w:pPr>
        <w:pStyle w:val="Bibliography"/>
      </w:pPr>
      <w:r>
        <w:t xml:space="preserve">Whitbourne, S. K. (2019).</w:t>
      </w:r>
      <w:r>
        <w:t xml:space="preserve"> </w:t>
      </w:r>
      <w:r>
        <w:rPr>
          <w:i/>
          <w:iCs/>
        </w:rPr>
        <w:t xml:space="preserve">Longitudinal, cross-sectional, and sequential designs in lifespan developmental psychology</w:t>
      </w:r>
      <w:r>
        <w:t xml:space="preserve">. Oxford University Press.</w:t>
      </w:r>
    </w:p>
    <w:bookmarkEnd w:id="448"/>
    <w:bookmarkStart w:id="450" w:name="ref-Widaman2010"/>
    <w:p>
      <w:pPr>
        <w:pStyle w:val="Bibliography"/>
      </w:pPr>
      <w:r>
        <w:t xml:space="preserve">Widaman, K. F., Ferrer, E., &amp; Conger, R. D. (2010). Factorial invariance within longitudinal structural equation models:</w:t>
      </w:r>
      <w:r>
        <w:t xml:space="preserve"> </w:t>
      </w:r>
      <w:r>
        <w:t xml:space="preserve">Measuring</w:t>
      </w:r>
      <w:r>
        <w:t xml:space="preserve"> </w:t>
      </w:r>
      <w:r>
        <w:t xml:space="preserve">the same construct across time.</w:t>
      </w:r>
      <w:r>
        <w:t xml:space="preserve"> </w:t>
      </w:r>
      <w:r>
        <w:rPr>
          <w:i/>
          <w:iCs/>
        </w:rPr>
        <w:t xml:space="preserve">Child Development Perspectives</w:t>
      </w:r>
      <w:r>
        <w:t xml:space="preserve">,</w:t>
      </w:r>
      <w:r>
        <w:t xml:space="preserve"> </w:t>
      </w:r>
      <w:r>
        <w:rPr>
          <w:i/>
          <w:iCs/>
        </w:rPr>
        <w:t xml:space="preserve">4</w:t>
      </w:r>
      <w:r>
        <w:t xml:space="preserve">(1), 10–18.</w:t>
      </w:r>
      <w:r>
        <w:t xml:space="preserve"> </w:t>
      </w:r>
      <w:hyperlink r:id="rId449">
        <w:r>
          <w:rPr>
            <w:rStyle w:val="Hyperlink"/>
          </w:rPr>
          <w:t xml:space="preserve">https://doi.org/10.1111/j.1750-8606.2009.00110.x</w:t>
        </w:r>
      </w:hyperlink>
    </w:p>
    <w:bookmarkEnd w:id="450"/>
    <w:bookmarkStart w:id="452" w:name="ref-Winter2020"/>
    <w:p>
      <w:pPr>
        <w:pStyle w:val="Bibliography"/>
      </w:pPr>
      <w:r>
        <w:t xml:space="preserve">Winter, S. D., &amp; Depaoli, S. (2020). An illustration of</w:t>
      </w:r>
      <w:r>
        <w:t xml:space="preserve"> </w:t>
      </w:r>
      <w:r>
        <w:t xml:space="preserve">Bayesian</w:t>
      </w:r>
      <w:r>
        <w:t xml:space="preserve"> </w:t>
      </w:r>
      <w:r>
        <w:t xml:space="preserve">approximate measurement invariance with longitudinal data and a small sample size.</w:t>
      </w:r>
      <w:r>
        <w:t xml:space="preserve"> </w:t>
      </w:r>
      <w:r>
        <w:rPr>
          <w:i/>
          <w:iCs/>
        </w:rPr>
        <w:t xml:space="preserve">International Journal of Behavioral Development</w:t>
      </w:r>
      <w:r>
        <w:t xml:space="preserve">,</w:t>
      </w:r>
      <w:r>
        <w:t xml:space="preserve"> </w:t>
      </w:r>
      <w:r>
        <w:rPr>
          <w:i/>
          <w:iCs/>
        </w:rPr>
        <w:t xml:space="preserve">44</w:t>
      </w:r>
      <w:r>
        <w:t xml:space="preserve">(4), 371–382.</w:t>
      </w:r>
      <w:r>
        <w:t xml:space="preserve"> </w:t>
      </w:r>
      <w:hyperlink r:id="rId451">
        <w:r>
          <w:rPr>
            <w:rStyle w:val="Hyperlink"/>
          </w:rPr>
          <w:t xml:space="preserve">https://doi.org/10.1177/0165025419880610</w:t>
        </w:r>
      </w:hyperlink>
    </w:p>
    <w:bookmarkEnd w:id="452"/>
    <w:bookmarkStart w:id="454"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453">
        <w:r>
          <w:rPr>
            <w:rStyle w:val="Hyperlink"/>
          </w:rPr>
          <w:t xml:space="preserve">https://icd.who.int</w:t>
        </w:r>
      </w:hyperlink>
    </w:p>
    <w:bookmarkEnd w:id="454"/>
    <w:bookmarkStart w:id="456" w:name="ref-Wright2013"/>
    <w:p>
      <w:pPr>
        <w:pStyle w:val="Bibliography"/>
      </w:pPr>
      <w:r>
        <w:t xml:space="preserve">Wright, A. G. C., Krueger, R. F., Hobbs, M. J., Markon, K. E., Eaton, N. R., &amp; Slade, T. (2013). The structure of psychopathology:</w:t>
      </w:r>
      <w:r>
        <w:t xml:space="preserve"> </w:t>
      </w:r>
      <w:r>
        <w:t xml:space="preserve">Toward</w:t>
      </w:r>
      <w:r>
        <w:t xml:space="preserve"> </w:t>
      </w:r>
      <w:r>
        <w:t xml:space="preserve">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455">
        <w:r>
          <w:rPr>
            <w:rStyle w:val="Hyperlink"/>
          </w:rPr>
          <w:t xml:space="preserve">https://doi.org/10.1037/a0030133</w:t>
        </w:r>
      </w:hyperlink>
    </w:p>
    <w:bookmarkEnd w:id="456"/>
    <w:bookmarkStart w:id="457" w:name="ref-Yang2013"/>
    <w:p>
      <w:pPr>
        <w:pStyle w:val="Bibliography"/>
      </w:pPr>
      <w:r>
        <w:t xml:space="preserve">Yang, Y., &amp; Land, K. C. (2013).</w:t>
      </w:r>
      <w:r>
        <w:t xml:space="preserve"> </w:t>
      </w:r>
      <w:r>
        <w:rPr>
          <w:i/>
          <w:iCs/>
        </w:rPr>
        <w:t xml:space="preserve">Age-period-cohort analysis:</w:t>
      </w:r>
      <w:r>
        <w:rPr>
          <w:i/>
          <w:iCs/>
        </w:rPr>
        <w:t xml:space="preserve"> </w:t>
      </w:r>
      <w:r>
        <w:rPr>
          <w:i/>
          <w:iCs/>
        </w:rPr>
        <w:t xml:space="preserve">New</w:t>
      </w:r>
      <w:r>
        <w:rPr>
          <w:i/>
          <w:iCs/>
        </w:rPr>
        <w:t xml:space="preserve"> </w:t>
      </w:r>
      <w:r>
        <w:rPr>
          <w:i/>
          <w:iCs/>
        </w:rPr>
        <w:t xml:space="preserve">models, methods, and empirical applications</w:t>
      </w:r>
      <w:r>
        <w:t xml:space="preserve">. Taylor &amp; Francis.</w:t>
      </w:r>
    </w:p>
    <w:bookmarkEnd w:id="457"/>
    <w:bookmarkStart w:id="459" w:name="ref-Zhai2026"/>
    <w:p>
      <w:pPr>
        <w:pStyle w:val="Bibliography"/>
      </w:pPr>
      <w:r>
        <w:t xml:space="preserve">Zhai, R., Zhang, L., &amp; Cheng, G. (2026). Developmental trajectories of emotional and behavioral dysregulation from ages 3 to 17:</w:t>
      </w:r>
      <w:r>
        <w:t xml:space="preserve"> </w:t>
      </w:r>
      <w:r>
        <w:t xml:space="preserve">Early</w:t>
      </w:r>
      <w:r>
        <w:t xml:space="preserve"> </w:t>
      </w:r>
      <w:r>
        <w:t xml:space="preserve">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w:t>
      </w:r>
      <w:r>
        <w:t xml:space="preserve"> </w:t>
      </w:r>
      <w:hyperlink r:id="rId458">
        <w:r>
          <w:rPr>
            <w:rStyle w:val="Hyperlink"/>
          </w:rPr>
          <w:t xml:space="preserve">https://doi.org/10.1016/j.jad.2026.121556</w:t>
        </w:r>
      </w:hyperlink>
    </w:p>
    <w:bookmarkEnd w:id="459"/>
    <w:bookmarkEnd w:id="460"/>
    <w:bookmarkEnd w:id="461"/>
    <w:sectPr w:rsidR="007868AB" w:rsidRPr="005528BA">
      <w:headerReference r:id="rId8" w:type="even"/>
      <w:headerReference r:id="rId9" w:type="default"/>
      <w:footerReference r:id="rId10" w:type="even"/>
      <w:footerReference r:id="rId11" w:type="default"/>
      <w:headerReference r:id="rId12" w:type="first"/>
      <w:footerReference r:id="rId13" w:type="first"/>
      <w:pgSz w:code="1"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0">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83">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symptoms are required for older adolescents and adults (aged 17 or over).</w:t>
      </w:r>
      <w:r>
        <w:t xml:space="preserve"> </w:t>
      </w:r>
      <w:r>
        <w:t xml:space="preserve">However, the symptoms for defining ODD and ADHD do not differ across development.</w:t>
      </w:r>
    </w:p>
  </w:footnote>
  <w:footnote w:id="84">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“is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 w:id="87">
    <w:p>
      <w:pPr>
        <w:pStyle w:val="FootnoteText"/>
      </w:pPr>
      <w:r>
        <w:rPr>
          <w:rStyle w:val="FootnoteReference"/>
        </w:rPr>
        <w:footnoteRef/>
      </w:r>
      <w:r>
        <w:t xml:space="preserve"> </w:t>
      </w:r>
      <w:r>
        <w:t xml:space="preserve">For simplicity and brevity, we refer to birth age as a proxy for developmental time.</w:t>
      </w:r>
    </w:p>
  </w:footnote>
  <w:footnote w:id="110">
    <w:p>
      <w:pPr>
        <w:pStyle w:val="FootnoteText"/>
      </w:pPr>
      <w:r>
        <w:rPr>
          <w:rStyle w:val="FootnoteReference"/>
        </w:rPr>
        <w:footnoteRef/>
      </w:r>
      <w:r>
        <w:t xml:space="preserve"> </w:t>
      </w:r>
      <w:r>
        <w:t xml:space="preserve">Strong invariance is also called</w:t>
      </w:r>
      <w:r>
        <w:t xml:space="preserve"> </w:t>
      </w:r>
      <w:r>
        <w:t xml:space="preserve">“scalar invariance”</w:t>
      </w:r>
      <w:r>
        <w:t xml:space="preserve">.</w:t>
      </w:r>
    </w:p>
  </w:footnote>
  <w:footnote w:id="133">
    <w:p>
      <w:pPr>
        <w:pStyle w:val="FootnoteText"/>
      </w:pPr>
      <w:r>
        <w:rPr>
          <w:rStyle w:val="FootnoteReference"/>
        </w:rPr>
        <w:footnoteRef/>
      </w:r>
      <w:r>
        <w:t xml:space="preserve"> </w:t>
      </w:r>
      <w:r>
        <w:t xml:space="preserve">Factorial invariance is also called measurement invariance.</w:t>
      </w:r>
      <w:r>
        <w:t xml:space="preserve"> </w:t>
      </w:r>
      <w:r>
        <w:t xml:space="preserve">In this context, we prefer the term</w:t>
      </w:r>
      <w:r>
        <w:t xml:space="preserve"> </w:t>
      </w:r>
      <w:r>
        <w:t xml:space="preserve">“factorial invariance”</w:t>
      </w:r>
      <w:r>
        <w:t xml:space="preserve"> </w:t>
      </w:r>
      <w:r>
        <w:t xml:space="preserve">because, as described, the actual measures used may differ across time.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1DAE85E0" w:rsidR="00340B9E" w:rsidRPr="000D23CF" w:rsidRDefault="00000000" w:rsidP="000D23CF">
    <w:pPr>
      <w:tabs>
        <w:tab w:val="right" w:pos="9360"/>
      </w:tabs>
    </w:pPr>
    <!-- apaquarto-original-runninghead: <w:sdt><w:sdtPr><w:alias w:val="Comments"/><w:tag w:val=""/><w:id w:val="411821190"/><w:placeholder><w:docPart w:val="0C02FC99099648D19246354A6487E13A"/></w:placeholder><w:showingPlcHdr/><w:dataBinding w:prefixMappings="xmlns:ns0='http://purl.org/dc/elements/1.1/' xmlns:ns1='http://schemas.openxmlformats.org/package/2006/metadata/core-properties' " w:xpath="/ns1:coreProperties[1]/ns0:description[1]" w:storeItemID="{6C3C8BC8-F283-45AE-878A-BAB7291924A1}"/><w:text w:multiLine="1"/></w:sdtPr><w:sdtContent><w:r w:rsidR="00BD5312" w:rsidRPr="00361F1C"><w:rPr><w:rStyle w:val="PlaceholderText"/></w:rPr><w:t>[Comments]</w:t></w:r></w:sdtContent></w:sdt> -->
    <w:sdt>
      <w:sdtPr>
        <w:alias w:val="Comments"/>
        <w:tag w:val=""/>
        <w:id w:val="411821190"/>
        <w:placeholder>
          <w:docPart w:val="0C02FC99099648D19246354A6487E13A"/>
        </w:placeholder>
        <w:dataBinding w:prefixMappings="xmlns:ns0='http://purl.org/dc/elements/1.1/' xmlns:ns1='http://schemas.openxmlformats.org/package/2006/metadata/core-properties' " w:xpath="/ns1:coreProperties[1]/ns0:description[1]" w:storeItemID="{6C3C8BC8-F283-45AE-878A-BAB7291924A1}"/>
        <w:text w:multiLine="1"/>
      </w:sdtPr>
      <w:sdtContent>
        <w:r>
          <w:t xml:space="preserve">PSYCHOPATHOLOGY DEVELOPMENT ACROSS LIFESPAN</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36EDA"/>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2E7A3C"/>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8292B"/>
    <w:rsid w:val="008F27BE"/>
    <w:rsid w:val="009057F5"/>
    <w:rsid w:val="00932B9C"/>
    <w:rsid w:val="009638C5"/>
    <w:rsid w:val="009B29FD"/>
    <w:rsid w:val="009B41AF"/>
    <w:rsid w:val="00A072AF"/>
    <w:rsid w:val="00A16B10"/>
    <w:rsid w:val="00A46245"/>
    <w:rsid w:val="00A82821"/>
    <w:rsid w:val="00A946AC"/>
    <w:rsid w:val="00AA1F29"/>
    <w:rsid w:val="00AC3115"/>
    <w:rsid w:val="00AC58E4"/>
    <w:rsid w:val="00AE4D7A"/>
    <w:rsid w:val="00AE5BBA"/>
    <w:rsid w:val="00AF36CA"/>
    <w:rsid w:val="00B02682"/>
    <w:rsid w:val="00B12CE3"/>
    <w:rsid w:val="00B21373"/>
    <w:rsid w:val="00B42EBE"/>
    <w:rsid w:val="00B617FB"/>
    <w:rsid w:val="00B830DE"/>
    <w:rsid w:val="00B83793"/>
    <w:rsid w:val="00B94715"/>
    <w:rsid w:val="00BB3FEC"/>
    <w:rsid w:val="00BB5C76"/>
    <w:rsid w:val="00BD022F"/>
    <w:rsid w:val="00BD5312"/>
    <w:rsid w:val="00C23682"/>
    <w:rsid w:val="00C304F7"/>
    <w:rsid w:val="00C4693A"/>
    <w:rsid w:val="00C84525"/>
    <w:rsid w:val="00CA071F"/>
    <w:rsid w:val="00CB7758"/>
    <w:rsid w:val="00CE01EB"/>
    <w:rsid w:val="00D11429"/>
    <w:rsid w:val="00D25C5B"/>
    <w:rsid w:val="00D630B7"/>
    <w:rsid w:val="00D807FA"/>
    <w:rsid w:val="00DA752F"/>
    <w:rsid w:val="00DB4D47"/>
    <w:rsid w:val="00DE772F"/>
    <w:rsid w:val="00E37D61"/>
    <w:rsid w:val="00E401D3"/>
    <w:rsid w:val="00E401FC"/>
    <w:rsid w:val="00E528E7"/>
    <w:rsid w:val="00E71E11"/>
    <w:rsid w:val="00E868AE"/>
    <w:rsid w:val="00E90878"/>
    <w:rsid w:val="00EA4191"/>
    <w:rsid w:val="00EA785F"/>
    <w:rsid w:val="00EA7B31"/>
    <w:rsid w:val="00F13DD4"/>
    <w:rsid w:val="00F300A8"/>
    <w:rsid w:val="00F3598F"/>
    <w:rsid w:val="00F57810"/>
    <w:rsid w:val="00F774FD"/>
    <w:rsid w:val="00F87745"/>
    <w:rsid w:val="00F92DA2"/>
    <w:rsid w:val="00FC515E"/>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sid w:val="00036EDA"/>
    <w:rPr>
      <w:i w:val="0"/>
      <w:shd w:color="auto" w:fill="F1F3F5" w:val="clear"/>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rsid w:val="00036EDA"/>
    <w:pPr>
      <w:shd w:color="auto" w:fill="F1F3F5" w:val="clear"/>
      <w:wordWrap w:val="0"/>
      <w:spacing w:after="240" w:line="240" w:lineRule="auto"/>
      <w:contextualSpacing/>
    </w:pPr>
  </w:style>
  <w:style w:customStyle="1" w:styleId="KeywordTok" w:type="character">
    <w:name w:val="KeywordTok"/>
    <w:basedOn w:val="VerbatimChar"/>
    <w:rPr>
      <w:rFonts w:ascii="Consolas" w:hAnsi="Consolas"/>
      <w:i w:val="0"/>
      <w:color w:val="003B4F"/>
      <w:sz w:val="22"/>
      <w:shd w:color="auto" w:fill="F1F3F5" w:val="clear"/>
    </w:rPr>
  </w:style>
  <w:style w:customStyle="1" w:styleId="DataTypeTok" w:type="character">
    <w:name w:val="DataTypeTok"/>
    <w:basedOn w:val="VerbatimChar"/>
    <w:rPr>
      <w:rFonts w:ascii="Consolas" w:hAnsi="Consolas"/>
      <w:i w:val="0"/>
      <w:color w:val="AD0000"/>
      <w:sz w:val="22"/>
      <w:shd w:color="auto" w:fill="F1F3F5" w:val="clear"/>
    </w:rPr>
  </w:style>
  <w:style w:customStyle="1" w:styleId="DecValTok" w:type="character">
    <w:name w:val="DecValTok"/>
    <w:basedOn w:val="VerbatimChar"/>
    <w:rPr>
      <w:rFonts w:ascii="Consolas" w:hAnsi="Consolas"/>
      <w:i w:val="0"/>
      <w:color w:val="AD0000"/>
      <w:sz w:val="22"/>
      <w:shd w:color="auto" w:fill="F1F3F5" w:val="clear"/>
    </w:rPr>
  </w:style>
  <w:style w:customStyle="1" w:styleId="BaseNTok" w:type="character">
    <w:name w:val="BaseNTok"/>
    <w:basedOn w:val="VerbatimChar"/>
    <w:rPr>
      <w:rFonts w:ascii="Consolas" w:hAnsi="Consolas"/>
      <w:i w:val="0"/>
      <w:color w:val="AD0000"/>
      <w:sz w:val="22"/>
      <w:shd w:color="auto" w:fill="F1F3F5" w:val="clear"/>
    </w:rPr>
  </w:style>
  <w:style w:customStyle="1" w:styleId="FloatTok" w:type="character">
    <w:name w:val="FloatTok"/>
    <w:basedOn w:val="VerbatimChar"/>
    <w:rPr>
      <w:rFonts w:ascii="Consolas" w:hAnsi="Consolas"/>
      <w:i w:val="0"/>
      <w:color w:val="AD0000"/>
      <w:sz w:val="22"/>
      <w:shd w:color="auto" w:fill="F1F3F5" w:val="clear"/>
    </w:rPr>
  </w:style>
  <w:style w:customStyle="1" w:styleId="ConstantTok" w:type="character">
    <w:name w:val="ConstantTok"/>
    <w:basedOn w:val="VerbatimChar"/>
    <w:rPr>
      <w:rFonts w:ascii="Consolas" w:hAnsi="Consolas"/>
      <w:i w:val="0"/>
      <w:color w:val="8F5902"/>
      <w:sz w:val="22"/>
      <w:shd w:color="auto" w:fill="F1F3F5" w:val="clear"/>
    </w:rPr>
  </w:style>
  <w:style w:customStyle="1" w:styleId="CharTok" w:type="character">
    <w:name w:val="CharTok"/>
    <w:basedOn w:val="VerbatimChar"/>
    <w:rPr>
      <w:rFonts w:ascii="Consolas" w:hAnsi="Consolas"/>
      <w:i w:val="0"/>
      <w:color w:val="20794D"/>
      <w:sz w:val="22"/>
      <w:shd w:color="auto" w:fill="F1F3F5" w:val="clear"/>
    </w:rPr>
  </w:style>
  <w:style w:customStyle="1" w:styleId="SpecialCharTok" w:type="character">
    <w:name w:val="SpecialCharTok"/>
    <w:basedOn w:val="VerbatimChar"/>
    <w:rPr>
      <w:rFonts w:ascii="Consolas" w:hAnsi="Consolas"/>
      <w:i w:val="0"/>
      <w:color w:val="5E5E5E"/>
      <w:sz w:val="22"/>
      <w:shd w:color="auto" w:fill="F1F3F5" w:val="clear"/>
    </w:rPr>
  </w:style>
  <w:style w:customStyle="1" w:styleId="StringTok" w:type="character">
    <w:name w:val="StringTok"/>
    <w:basedOn w:val="VerbatimChar"/>
    <w:rPr>
      <w:rFonts w:ascii="Consolas" w:hAnsi="Consolas"/>
      <w:i w:val="0"/>
      <w:color w:val="20794D"/>
      <w:sz w:val="22"/>
      <w:shd w:color="auto" w:fill="F1F3F5" w:val="clear"/>
    </w:rPr>
  </w:style>
  <w:style w:customStyle="1" w:styleId="VerbatimStringTok" w:type="character">
    <w:name w:val="VerbatimStringTok"/>
    <w:basedOn w:val="VerbatimChar"/>
    <w:rPr>
      <w:rFonts w:ascii="Consolas" w:hAnsi="Consolas"/>
      <w:i w:val="0"/>
      <w:color w:val="20794D"/>
      <w:sz w:val="22"/>
      <w:shd w:color="auto" w:fill="F1F3F5" w:val="clear"/>
    </w:rPr>
  </w:style>
  <w:style w:customStyle="1" w:styleId="SpecialStringTok" w:type="character">
    <w:name w:val="SpecialStringTok"/>
    <w:basedOn w:val="VerbatimChar"/>
    <w:rPr>
      <w:rFonts w:ascii="Consolas" w:hAnsi="Consolas"/>
      <w:i w:val="0"/>
      <w:color w:val="20794D"/>
      <w:sz w:val="22"/>
      <w:shd w:color="auto" w:fill="F1F3F5" w:val="clear"/>
    </w:rPr>
  </w:style>
  <w:style w:customStyle="1" w:styleId="ImportTok" w:type="character">
    <w:name w:val="ImportTok"/>
    <w:basedOn w:val="VerbatimChar"/>
    <w:rPr>
      <w:rFonts w:ascii="Consolas" w:hAnsi="Consolas"/>
      <w:i w:val="0"/>
      <w:color w:val="00769E"/>
      <w:sz w:val="22"/>
      <w:shd w:color="auto" w:fill="F1F3F5" w:val="clear"/>
    </w:rPr>
  </w:style>
  <w:style w:customStyle="1" w:styleId="CommentTok" w:type="character">
    <w:name w:val="CommentTok"/>
    <w:basedOn w:val="VerbatimChar"/>
    <w:rPr>
      <w:rFonts w:ascii="Consolas" w:hAnsi="Consolas"/>
      <w:i w:val="0"/>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i w:val="0"/>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i w:val="0"/>
      <w:color w:val="003B4F"/>
      <w:sz w:val="22"/>
      <w:shd w:color="auto" w:fill="F1F3F5" w:val="clear"/>
    </w:rPr>
  </w:style>
  <w:style w:customStyle="1" w:styleId="FunctionTok" w:type="character">
    <w:name w:val="FunctionTok"/>
    <w:basedOn w:val="VerbatimChar"/>
    <w:rPr>
      <w:rFonts w:ascii="Consolas" w:hAnsi="Consolas"/>
      <w:i w:val="0"/>
      <w:color w:val="4758AB"/>
      <w:sz w:val="22"/>
      <w:shd w:color="auto" w:fill="F1F3F5" w:val="clear"/>
    </w:rPr>
  </w:style>
  <w:style w:customStyle="1" w:styleId="VariableTok" w:type="character">
    <w:name w:val="VariableTok"/>
    <w:basedOn w:val="VerbatimChar"/>
    <w:rPr>
      <w:rFonts w:ascii="Consolas" w:hAnsi="Consolas"/>
      <w:i w:val="0"/>
      <w:color w:val="111111"/>
      <w:sz w:val="22"/>
      <w:shd w:color="auto" w:fill="F1F3F5" w:val="clear"/>
    </w:rPr>
  </w:style>
  <w:style w:customStyle="1" w:styleId="ControlFlowTok" w:type="character">
    <w:name w:val="ControlFlowTok"/>
    <w:basedOn w:val="VerbatimChar"/>
    <w:rPr>
      <w:rFonts w:ascii="Consolas" w:hAnsi="Consolas"/>
      <w:i w:val="0"/>
      <w:color w:val="003B4F"/>
      <w:sz w:val="22"/>
      <w:shd w:color="auto" w:fill="F1F3F5" w:val="clear"/>
    </w:rPr>
  </w:style>
  <w:style w:customStyle="1" w:styleId="OperatorTok" w:type="character">
    <w:name w:val="OperatorTok"/>
    <w:basedOn w:val="VerbatimChar"/>
    <w:rPr>
      <w:rFonts w:ascii="Consolas" w:hAnsi="Consolas"/>
      <w:i w:val="0"/>
      <w:color w:val="5E5E5E"/>
      <w:sz w:val="22"/>
      <w:shd w:color="auto" w:fill="F1F3F5" w:val="clear"/>
    </w:rPr>
  </w:style>
  <w:style w:customStyle="1" w:styleId="BuiltInTok" w:type="character">
    <w:name w:val="BuiltInTok"/>
    <w:basedOn w:val="VerbatimChar"/>
    <w:rPr>
      <w:rFonts w:ascii="Consolas" w:hAnsi="Consolas"/>
      <w:i w:val="0"/>
      <w:color w:val="003B4F"/>
      <w:sz w:val="22"/>
      <w:shd w:color="auto" w:fill="F1F3F5" w:val="clear"/>
    </w:rPr>
  </w:style>
  <w:style w:customStyle="1" w:styleId="ExtensionTok" w:type="character">
    <w:name w:val="ExtensionTok"/>
    <w:basedOn w:val="VerbatimChar"/>
    <w:rPr>
      <w:rFonts w:ascii="Consolas" w:hAnsi="Consolas"/>
      <w:i w:val="0"/>
      <w:color w:val="003B4F"/>
      <w:sz w:val="22"/>
      <w:shd w:color="auto" w:fill="F1F3F5" w:val="clear"/>
    </w:rPr>
  </w:style>
  <w:style w:customStyle="1" w:styleId="PreprocessorTok" w:type="character">
    <w:name w:val="PreprocessorTok"/>
    <w:basedOn w:val="VerbatimChar"/>
    <w:rPr>
      <w:rFonts w:ascii="Consolas" w:hAnsi="Consolas"/>
      <w:i w:val="0"/>
      <w:color w:val="AD0000"/>
      <w:sz w:val="22"/>
      <w:shd w:color="auto" w:fill="F1F3F5" w:val="clear"/>
    </w:rPr>
  </w:style>
  <w:style w:customStyle="1" w:styleId="AttributeTok" w:type="character">
    <w:name w:val="AttributeTok"/>
    <w:basedOn w:val="VerbatimChar"/>
    <w:rPr>
      <w:rFonts w:ascii="Consolas" w:hAnsi="Consolas"/>
      <w:i w:val="0"/>
      <w:color w:val="657422"/>
      <w:sz w:val="22"/>
      <w:shd w:color="auto" w:fill="F1F3F5" w:val="clear"/>
    </w:rPr>
  </w:style>
  <w:style w:customStyle="1" w:styleId="RegionMarkerTok" w:type="character">
    <w:name w:val="RegionMarkerTok"/>
    <w:basedOn w:val="VerbatimChar"/>
    <w:rPr>
      <w:rFonts w:ascii="Consolas" w:hAnsi="Consolas"/>
      <w:i w:val="0"/>
      <w:color w:val="003B4F"/>
      <w:sz w:val="22"/>
      <w:shd w:color="auto" w:fill="F1F3F5" w:val="clear"/>
    </w:rPr>
  </w:style>
  <w:style w:customStyle="1" w:styleId="InformationTok" w:type="character">
    <w:name w:val="InformationTok"/>
    <w:basedOn w:val="VerbatimChar"/>
    <w:rPr>
      <w:rFonts w:ascii="Consolas" w:hAnsi="Consolas"/>
      <w:i w:val="0"/>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i w:val="0"/>
      <w:color w:val="AD0000"/>
      <w:sz w:val="22"/>
      <w:shd w:color="auto" w:fill="F1F3F5" w:val="clear"/>
    </w:rPr>
  </w:style>
  <w:style w:customStyle="1" w:styleId="ErrorTok" w:type="character">
    <w:name w:val="ErrorTok"/>
    <w:basedOn w:val="VerbatimChar"/>
    <w:rPr>
      <w:rFonts w:ascii="Consolas" w:hAnsi="Consolas"/>
      <w:i w:val="0"/>
      <w:color w:val="AD0000"/>
      <w:sz w:val="22"/>
      <w:shd w:color="auto" w:fill="F1F3F5" w:val="clear"/>
    </w:rPr>
  </w:style>
  <w:style w:customStyle="1" w:styleId="NormalTok" w:type="character">
    <w:name w:val="NormalTok"/>
    <w:basedOn w:val="VerbatimChar"/>
    <w:rPr>
      <w:rFonts w:ascii="Consolas" w:hAnsi="Consolas"/>
      <w:i w:val="0"/>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 w:customStyle="1" w:styleId="SubPanelNote" w:type="paragraph">
    <w:name w:val="SubPanelNote"/>
    <w:basedOn w:val="FigureNote"/>
    <w:link w:val="SubPanelNoteChar"/>
    <w:qFormat/>
    <w:rsid w:val="00BD5312"/>
    <w:pPr>
      <w:jc w:val="center"/>
    </w:pPr>
  </w:style>
  <w:style w:customStyle="1" w:styleId="SubPanelNoteChar" w:type="character">
    <w:name w:val="SubPanelNote Char"/>
    <w:basedOn w:val="FigureNoteChar"/>
    <w:link w:val="SubPanelNote"/>
    <w:rsid w:val="00BD531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114" Target="media/rId114.png" /><Relationship Type="http://schemas.openxmlformats.org/officeDocument/2006/relationships/image" Id="rId78" Target="media/rId78.png" /><Relationship Type="http://schemas.openxmlformats.org/officeDocument/2006/relationships/image" Id="rId95" Target="media/rId95.png" /><Relationship Type="http://schemas.openxmlformats.org/officeDocument/2006/relationships/image" Id="rId88" Target="media/rId88.jpg" /><Relationship Type="http://schemas.openxmlformats.org/officeDocument/2006/relationships/image" Id="rId105" Target="media/rId105.png" /><Relationship Type="http://schemas.openxmlformats.org/officeDocument/2006/relationships/image" Id="rId123" Target="media/rId123.png" /><Relationship Type="http://schemas.openxmlformats.org/officeDocument/2006/relationships/image" Id="rId23" Target="media/rId23.svg" /><Relationship Type="http://schemas.openxmlformats.org/officeDocument/2006/relationships/image" Id="rId52" Target="media/rId52.png" /><Relationship Type="http://schemas.openxmlformats.org/officeDocument/2006/relationships/image" Id="rId45" Target="media/rId45.png" /><Relationship Type="http://schemas.openxmlformats.org/officeDocument/2006/relationships/image" Id="rId71" Target="media/rId71.png" /><Relationship Type="http://schemas.openxmlformats.org/officeDocument/2006/relationships/image" Id="rId60" Target="media/rId60.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58" Target="https://DevPsyLab.github.io/studying-psychopathology-development-lifespan/notebooks/analyses-preview.html#cell-fig-externalizing-by-age" TargetMode="External" /><Relationship Type="http://schemas.openxmlformats.org/officeDocument/2006/relationships/hyperlink" Id="rId51" Target="https://DevPsyLab.github.io/studying-psychopathology-development-lifespan/notebooks/analyses-preview.html#cell-fig-lifespancognitivetrajectories" TargetMode="External" /><Relationship Type="http://schemas.openxmlformats.org/officeDocument/2006/relationships/hyperlink" Id="rId75" Target="https://DevPsyLab.github.io/studying-psychopathology-development-lifespan/notebooks/analyses-preview.html#cell-fig-longitudinal-externalizing-studies" TargetMode="External" /><Relationship Type="http://schemas.openxmlformats.org/officeDocument/2006/relationships/hyperlink" Id="rId64" Target="https://DevPsyLab.github.io/studying-psychopathology-development-lifespan/notebooks/analyses-preview.html#cell-fig-longitudinalstudies" TargetMode="External" /><Relationship Type="http://schemas.openxmlformats.org/officeDocument/2006/relationships/hyperlink" Id="rId100" Target="https://DevPsyLab.github.io/studying-psychopathology-development-lifespan/notebooks/analyses-preview.html#cell-tbl-externalizingfacets" TargetMode="External" /><Relationship Type="http://schemas.openxmlformats.org/officeDocument/2006/relationships/hyperlink" Id="rId284" Target="https://doi.org/10.1001/archgenpsychiatry.2010.188" TargetMode="External" /><Relationship Type="http://schemas.openxmlformats.org/officeDocument/2006/relationships/hyperlink" Id="rId305" Target="https://doi.org/10.1001/archpsyc.62.12.1352" TargetMode="External" /><Relationship Type="http://schemas.openxmlformats.org/officeDocument/2006/relationships/hyperlink" Id="rId178" Target="https://doi.org/10.1001/jamanetworkopen.2020.3221" TargetMode="External" /><Relationship Type="http://schemas.openxmlformats.org/officeDocument/2006/relationships/hyperlink" Id="rId182" Target="https://doi.org/10.1002/9780470147658.chpsy0306" TargetMode="External" /><Relationship Type="http://schemas.openxmlformats.org/officeDocument/2006/relationships/hyperlink" Id="rId168" Target="https://doi.org/10.1002/9781119125556.devpsy101" TargetMode="External" /><Relationship Type="http://schemas.openxmlformats.org/officeDocument/2006/relationships/hyperlink" Id="rId263" Target="https://doi.org/10.1002/cbm.708" TargetMode="External" /><Relationship Type="http://schemas.openxmlformats.org/officeDocument/2006/relationships/hyperlink" Id="rId147" Target="https://doi.org/10.1002/jcv2.70043" TargetMode="External" /><Relationship Type="http://schemas.openxmlformats.org/officeDocument/2006/relationships/hyperlink" Id="rId282" Target="https://doi.org/10.1002/wps.20844" TargetMode="External" /><Relationship Type="http://schemas.openxmlformats.org/officeDocument/2006/relationships/hyperlink" Id="rId221" Target="https://doi.org/10.1007/978-1-0716-3335-9_5" TargetMode="External" /><Relationship Type="http://schemas.openxmlformats.org/officeDocument/2006/relationships/hyperlink" Id="rId153" Target="https://doi.org/10.1007/978-1-4614-9608-3_16" TargetMode="External" /><Relationship Type="http://schemas.openxmlformats.org/officeDocument/2006/relationships/hyperlink" Id="rId273" Target="https://doi.org/10.1007/978-1-4939-0317-7" TargetMode="External" /><Relationship Type="http://schemas.openxmlformats.org/officeDocument/2006/relationships/hyperlink" Id="rId298" Target="https://doi.org/10.1007/978-3-030-68429-7" TargetMode="External" /><Relationship Type="http://schemas.openxmlformats.org/officeDocument/2006/relationships/hyperlink" Id="rId301" Target="https://doi.org/10.1007/978-3-031-80549-3" TargetMode="External" /><Relationship Type="http://schemas.openxmlformats.org/officeDocument/2006/relationships/hyperlink" Id="rId368" Target="https://doi.org/10.1007/s00127-015-1048-8" TargetMode="External" /><Relationship Type="http://schemas.openxmlformats.org/officeDocument/2006/relationships/hyperlink" Id="rId232" Target="https://doi.org/10.1007/s00234-020-02562-1" TargetMode="External" /><Relationship Type="http://schemas.openxmlformats.org/officeDocument/2006/relationships/hyperlink" Id="rId434" Target="https://doi.org/10.1007/s10802-010-9478-y" TargetMode="External" /><Relationship Type="http://schemas.openxmlformats.org/officeDocument/2006/relationships/hyperlink" Id="rId170" Target="https://doi.org/10.1007/s10802-012-9669-9" TargetMode="External" /><Relationship Type="http://schemas.openxmlformats.org/officeDocument/2006/relationships/hyperlink" Id="rId432" Target="https://doi.org/10.1007/s10802-012-9700-1" TargetMode="External" /><Relationship Type="http://schemas.openxmlformats.org/officeDocument/2006/relationships/hyperlink" Id="rId267" Target="https://doi.org/10.1007/s10802-017-0383-5" TargetMode="External" /><Relationship Type="http://schemas.openxmlformats.org/officeDocument/2006/relationships/hyperlink" Id="rId269" Target="https://doi.org/10.1007/s10802-021-00885-y" TargetMode="External" /><Relationship Type="http://schemas.openxmlformats.org/officeDocument/2006/relationships/hyperlink" Id="rId144" Target="https://doi.org/10.1007/s10802-023-01119-z" TargetMode="External" /><Relationship Type="http://schemas.openxmlformats.org/officeDocument/2006/relationships/hyperlink" Id="rId254" Target="https://doi.org/10.1007/s10826-018-1272-4" TargetMode="External" /><Relationship Type="http://schemas.openxmlformats.org/officeDocument/2006/relationships/hyperlink" Id="rId312" Target="https://doi.org/10.1007/s11121-022-01467-0" TargetMode="External" /><Relationship Type="http://schemas.openxmlformats.org/officeDocument/2006/relationships/hyperlink" Id="rId428" Target="https://doi.org/10.1007/s12103-013-9235-1" TargetMode="External" /><Relationship Type="http://schemas.openxmlformats.org/officeDocument/2006/relationships/hyperlink" Id="rId430" Target="https://doi.org/10.1007/s12103-014-9272-4" TargetMode="External" /><Relationship Type="http://schemas.openxmlformats.org/officeDocument/2006/relationships/hyperlink" Id="rId184" Target="https://doi.org/10.1007/s40865-015-0012-3" TargetMode="External" /><Relationship Type="http://schemas.openxmlformats.org/officeDocument/2006/relationships/hyperlink" Id="rId292" Target="https://doi.org/10.1016/S0005-7967(02)00016-5" TargetMode="External" /><Relationship Type="http://schemas.openxmlformats.org/officeDocument/2006/relationships/hyperlink" Id="rId50" Target="https://doi.org/10.1016/j.arr.2026.103102" TargetMode="External" /><Relationship Type="http://schemas.openxmlformats.org/officeDocument/2006/relationships/hyperlink" Id="rId176" Target="https://doi.org/10.1016/j.cpr.2012.02.006" TargetMode="External" /><Relationship Type="http://schemas.openxmlformats.org/officeDocument/2006/relationships/hyperlink" Id="rId404" Target="https://doi.org/10.1016/j.cresp.2025.100261" TargetMode="External" /><Relationship Type="http://schemas.openxmlformats.org/officeDocument/2006/relationships/hyperlink" Id="rId307" Target="https://doi.org/10.1016/j.dr.2004.04.002" TargetMode="External" /><Relationship Type="http://schemas.openxmlformats.org/officeDocument/2006/relationships/hyperlink" Id="rId440" Target="https://doi.org/10.1016/j.dr.2008.01.001" TargetMode="External" /><Relationship Type="http://schemas.openxmlformats.org/officeDocument/2006/relationships/hyperlink" Id="rId353" Target="https://doi.org/10.1016/j.dr.2020.100935" TargetMode="External" /><Relationship Type="http://schemas.openxmlformats.org/officeDocument/2006/relationships/hyperlink" Id="rId420" Target="https://doi.org/10.1016/j.jaac.2013.10.011" TargetMode="External" /><Relationship Type="http://schemas.openxmlformats.org/officeDocument/2006/relationships/hyperlink" Id="rId163" Target="https://doi.org/10.1016/j.jaac.2017.05.019" TargetMode="External" /><Relationship Type="http://schemas.openxmlformats.org/officeDocument/2006/relationships/hyperlink" Id="rId92" Target="https://doi.org/10.1016/j.jaacop.2025.10.008" TargetMode="External" /><Relationship Type="http://schemas.openxmlformats.org/officeDocument/2006/relationships/hyperlink" Id="rId458" Target="https://doi.org/10.1016/j.jad.2026.121556" TargetMode="External" /><Relationship Type="http://schemas.openxmlformats.org/officeDocument/2006/relationships/hyperlink" Id="rId56" Target="https://doi.org/10.1016/j.jcrimjus.2024.102155" TargetMode="External" /><Relationship Type="http://schemas.openxmlformats.org/officeDocument/2006/relationships/hyperlink" Id="rId151" Target="https://doi.org/10.1016/j.jpsychires.2013.08.016" TargetMode="External" /><Relationship Type="http://schemas.openxmlformats.org/officeDocument/2006/relationships/hyperlink" Id="rId314" Target="https://doi.org/10.1016/j.jsp.2012.10.002" TargetMode="External" /><Relationship Type="http://schemas.openxmlformats.org/officeDocument/2006/relationships/hyperlink" Id="rId244" Target="https://doi.org/10.1017/S0033291711001966" TargetMode="External" /><Relationship Type="http://schemas.openxmlformats.org/officeDocument/2006/relationships/hyperlink" Id="rId246" Target="https://doi.org/10.1017/S003329172000183X" TargetMode="External" /><Relationship Type="http://schemas.openxmlformats.org/officeDocument/2006/relationships/hyperlink" Id="rId442" Target="https://doi.org/10.1017/S0954579403000221" TargetMode="External" /><Relationship Type="http://schemas.openxmlformats.org/officeDocument/2006/relationships/hyperlink" Id="rId402" Target="https://doi.org/10.1017/S0954579407070174" TargetMode="External" /><Relationship Type="http://schemas.openxmlformats.org/officeDocument/2006/relationships/hyperlink" Id="rId337" Target="https://doi.org/10.1017/S0954579408000333" TargetMode="External" /><Relationship Type="http://schemas.openxmlformats.org/officeDocument/2006/relationships/hyperlink" Id="rId296" Target="https://doi.org/10.1017/S0954579410000301" TargetMode="External" /><Relationship Type="http://schemas.openxmlformats.org/officeDocument/2006/relationships/hyperlink" Id="rId57" Target="https://doi.org/10.1017/S0954579414000789" TargetMode="External" /><Relationship Type="http://schemas.openxmlformats.org/officeDocument/2006/relationships/hyperlink" Id="rId225" Target="https://doi.org/10.1017/S0954579416000651" TargetMode="External" /><Relationship Type="http://schemas.openxmlformats.org/officeDocument/2006/relationships/hyperlink" Id="rId234" Target="https://doi.org/10.1017/S0954579421001772" TargetMode="External" /><Relationship Type="http://schemas.openxmlformats.org/officeDocument/2006/relationships/hyperlink" Id="rId161" Target="https://doi.org/10.1017/S0954579423001505" TargetMode="External" /><Relationship Type="http://schemas.openxmlformats.org/officeDocument/2006/relationships/hyperlink" Id="rId242" Target="https://doi.org/10.1017/S0954579424000713" TargetMode="External" /><Relationship Type="http://schemas.openxmlformats.org/officeDocument/2006/relationships/hyperlink" Id="rId341" Target="https://doi.org/10.1023/a:1026254005632" TargetMode="External" /><Relationship Type="http://schemas.openxmlformats.org/officeDocument/2006/relationships/hyperlink" Id="rId174" Target="https://doi.org/10.1027/1015-5759.17.1.25" TargetMode="External" /><Relationship Type="http://schemas.openxmlformats.org/officeDocument/2006/relationships/hyperlink" Id="rId386" Target="https://doi.org/10.1037/0003-066X.54.2.93" TargetMode="External" /><Relationship Type="http://schemas.openxmlformats.org/officeDocument/2006/relationships/hyperlink" Id="rId172" Target="https://doi.org/10.1037/0012-1649.39.2.222" TargetMode="External" /><Relationship Type="http://schemas.openxmlformats.org/officeDocument/2006/relationships/hyperlink" Id="rId200" Target="https://doi.org/10.1037/0012-1649.44.2.365" TargetMode="External" /><Relationship Type="http://schemas.openxmlformats.org/officeDocument/2006/relationships/hyperlink" Id="rId286" Target="https://doi.org/10.1037/0021-843X.116.4.645" TargetMode="External" /><Relationship Type="http://schemas.openxmlformats.org/officeDocument/2006/relationships/hyperlink" Id="rId288" Target="https://doi.org/10.1037/0021-843x.114.4.537" TargetMode="External" /><Relationship Type="http://schemas.openxmlformats.org/officeDocument/2006/relationships/hyperlink" Id="rId345" Target="https://doi.org/10.1037/0022-006X.61.6.911" TargetMode="External" /><Relationship Type="http://schemas.openxmlformats.org/officeDocument/2006/relationships/hyperlink" Id="rId192" Target="https://doi.org/10.1037/0022-006X.70.1.6" TargetMode="External" /><Relationship Type="http://schemas.openxmlformats.org/officeDocument/2006/relationships/hyperlink" Id="rId323" Target="https://doi.org/10.1037/0033-295X.100.4.674" TargetMode="External" /><Relationship Type="http://schemas.openxmlformats.org/officeDocument/2006/relationships/hyperlink" Id="rId248" Target="https://doi.org/10.1037/0882-7974.18.4.639" TargetMode="External" /><Relationship Type="http://schemas.openxmlformats.org/officeDocument/2006/relationships/hyperlink" Id="rId223" Target="https://doi.org/10.1037/0882-7974.19.2.243" TargetMode="External" /><Relationship Type="http://schemas.openxmlformats.org/officeDocument/2006/relationships/hyperlink" Id="rId290" Target="https://doi.org/10.1037/1040-3590.16.2.107" TargetMode="External" /><Relationship Type="http://schemas.openxmlformats.org/officeDocument/2006/relationships/hyperlink" Id="rId259" Target="https://doi.org/10.1037/13129-000" TargetMode="External" /><Relationship Type="http://schemas.openxmlformats.org/officeDocument/2006/relationships/hyperlink" Id="rId140" Target="https://doi.org/10.1037/14048-008" TargetMode="External" /><Relationship Type="http://schemas.openxmlformats.org/officeDocument/2006/relationships/hyperlink" Id="rId310" Target="https://doi.org/10.1037/a0015857" TargetMode="External" /><Relationship Type="http://schemas.openxmlformats.org/officeDocument/2006/relationships/hyperlink" Id="rId424" Target="https://doi.org/10.1037/a0021519" TargetMode="External" /><Relationship Type="http://schemas.openxmlformats.org/officeDocument/2006/relationships/hyperlink" Id="rId303" Target="https://doi.org/10.1037/a0023678" TargetMode="External" /><Relationship Type="http://schemas.openxmlformats.org/officeDocument/2006/relationships/hyperlink" Id="rId455" Target="https://doi.org/10.1037/a0030133" TargetMode="External" /><Relationship Type="http://schemas.openxmlformats.org/officeDocument/2006/relationships/hyperlink" Id="rId157" Target="https://doi.org/10.1037/a0032475" TargetMode="External" /><Relationship Type="http://schemas.openxmlformats.org/officeDocument/2006/relationships/hyperlink" Id="rId390" Target="https://doi.org/10.1037/abn0000171" TargetMode="External" /><Relationship Type="http://schemas.openxmlformats.org/officeDocument/2006/relationships/hyperlink" Id="rId381" Target="https://doi.org/10.1037/abn0000232" TargetMode="External" /><Relationship Type="http://schemas.openxmlformats.org/officeDocument/2006/relationships/hyperlink" Id="rId276" Target="https://doi.org/10.1037/abn0000258" TargetMode="External" /><Relationship Type="http://schemas.openxmlformats.org/officeDocument/2006/relationships/hyperlink" Id="rId358" Target="https://doi.org/10.1037/abn0000649" TargetMode="External" /><Relationship Type="http://schemas.openxmlformats.org/officeDocument/2006/relationships/hyperlink" Id="rId410" Target="https://doi.org/10.1037/abn0000751" TargetMode="External" /><Relationship Type="http://schemas.openxmlformats.org/officeDocument/2006/relationships/hyperlink" Id="rId204" Target="https://doi.org/10.1037/abn0001084" TargetMode="External" /><Relationship Type="http://schemas.openxmlformats.org/officeDocument/2006/relationships/hyperlink" Id="rId362" Target="https://doi.org/10.1037/dev0000449" TargetMode="External" /><Relationship Type="http://schemas.openxmlformats.org/officeDocument/2006/relationships/hyperlink" Id="rId392" Target="https://doi.org/10.1037/dev0001095" TargetMode="External" /><Relationship Type="http://schemas.openxmlformats.org/officeDocument/2006/relationships/hyperlink" Id="rId349" Target="https://doi.org/10.1037/dev0001657" TargetMode="External" /><Relationship Type="http://schemas.openxmlformats.org/officeDocument/2006/relationships/hyperlink" Id="rId118" Target="https://doi.org/10.1037/edu0000461" TargetMode="External" /><Relationship Type="http://schemas.openxmlformats.org/officeDocument/2006/relationships/hyperlink" Id="rId155" Target="https://doi.org/10.1037/met0000077" TargetMode="External" /><Relationship Type="http://schemas.openxmlformats.org/officeDocument/2006/relationships/hyperlink" Id="rId217" Target="https://doi.org/10.1037/met0000563" TargetMode="External" /><Relationship Type="http://schemas.openxmlformats.org/officeDocument/2006/relationships/hyperlink" Id="rId188" Target="https://doi.org/10.1037/met0000685" TargetMode="External" /><Relationship Type="http://schemas.openxmlformats.org/officeDocument/2006/relationships/hyperlink" Id="rId394" Target="https://doi.org/10.1037/pas0000648" TargetMode="External" /><Relationship Type="http://schemas.openxmlformats.org/officeDocument/2006/relationships/hyperlink" Id="rId370" Target="https://doi.org/10.1037/pas0000754" TargetMode="External" /><Relationship Type="http://schemas.openxmlformats.org/officeDocument/2006/relationships/hyperlink" Id="rId82" Target="https://doi.org/10.1037/pas0001441" TargetMode="External" /><Relationship Type="http://schemas.openxmlformats.org/officeDocument/2006/relationships/hyperlink" Id="rId412" Target="https://doi.org/10.1038/s44220-023-00057-5" TargetMode="External" /><Relationship Type="http://schemas.openxmlformats.org/officeDocument/2006/relationships/hyperlink" Id="rId325" Target="https://doi.org/10.1073/pnas.1010076108" TargetMode="External" /><Relationship Type="http://schemas.openxmlformats.org/officeDocument/2006/relationships/hyperlink" Id="rId202" Target="https://doi.org/10.1080/00273171.2014.889594" TargetMode="External" /><Relationship Type="http://schemas.openxmlformats.org/officeDocument/2006/relationships/hyperlink" Id="rId294" Target="https://doi.org/10.1080/00273171.2021.1941730" TargetMode="External" /><Relationship Type="http://schemas.openxmlformats.org/officeDocument/2006/relationships/hyperlink" Id="rId186" Target="https://doi.org/10.1080/00273171.2026.2640576" TargetMode="External" /><Relationship Type="http://schemas.openxmlformats.org/officeDocument/2006/relationships/hyperlink" Id="rId436" Target="https://doi.org/10.1080/02664763.2020.1817346" TargetMode="External" /><Relationship Type="http://schemas.openxmlformats.org/officeDocument/2006/relationships/hyperlink" Id="rId372" Target="https://doi.org/10.1080/10705511.2023.2191292" TargetMode="External" /><Relationship Type="http://schemas.openxmlformats.org/officeDocument/2006/relationships/hyperlink" Id="rId438" Target="https://doi.org/10.1080/15366367.2018.1502005" TargetMode="External" /><Relationship Type="http://schemas.openxmlformats.org/officeDocument/2006/relationships/hyperlink" Id="rId422" Target="https://doi.org/10.1080/15374416.2018.1561296" TargetMode="External" /><Relationship Type="http://schemas.openxmlformats.org/officeDocument/2006/relationships/hyperlink" Id="rId414" Target="https://doi.org/10.1080/15374416.2019.1622124" TargetMode="External" /><Relationship Type="http://schemas.openxmlformats.org/officeDocument/2006/relationships/hyperlink" Id="rId206" Target="https://doi.org/10.1080/15374416.2025.2484813" TargetMode="External" /><Relationship Type="http://schemas.openxmlformats.org/officeDocument/2006/relationships/hyperlink" Id="rId383" Target="https://doi.org/10.1086/269270" TargetMode="External" /><Relationship Type="http://schemas.openxmlformats.org/officeDocument/2006/relationships/hyperlink" Id="rId212" Target="https://doi.org/10.1108/978-1-61735-891-320251015" TargetMode="External" /><Relationship Type="http://schemas.openxmlformats.org/officeDocument/2006/relationships/hyperlink" Id="rId142" Target="https://doi.org/10.1111/acer.13525" TargetMode="External" /><Relationship Type="http://schemas.openxmlformats.org/officeDocument/2006/relationships/hyperlink" Id="rId329" Target="https://doi.org/10.1111/cdev.12036" TargetMode="External" /><Relationship Type="http://schemas.openxmlformats.org/officeDocument/2006/relationships/hyperlink" Id="rId364" Target="https://doi.org/10.1111/cdev.12880" TargetMode="External" /><Relationship Type="http://schemas.openxmlformats.org/officeDocument/2006/relationships/hyperlink" Id="rId360" Target="https://doi.org/10.1111/cdev.13433" TargetMode="External" /><Relationship Type="http://schemas.openxmlformats.org/officeDocument/2006/relationships/hyperlink" Id="rId250" Target="https://doi.org/10.1111/desc.13280" TargetMode="External" /><Relationship Type="http://schemas.openxmlformats.org/officeDocument/2006/relationships/hyperlink" Id="rId347" Target="https://doi.org/10.1111/desc.70216" TargetMode="External" /><Relationship Type="http://schemas.openxmlformats.org/officeDocument/2006/relationships/hyperlink" Id="rId165" Target="https://doi.org/10.1111/j.1467-8624.2004.00755.x" TargetMode="External" /><Relationship Type="http://schemas.openxmlformats.org/officeDocument/2006/relationships/hyperlink" Id="rId316" Target="https://doi.org/10.1111/j.1467-9507.2008.00480.x" TargetMode="External" /><Relationship Type="http://schemas.openxmlformats.org/officeDocument/2006/relationships/hyperlink" Id="rId377" Target="https://doi.org/10.1111/j.1469-7610.2006.01614.x" TargetMode="External" /><Relationship Type="http://schemas.openxmlformats.org/officeDocument/2006/relationships/hyperlink" Id="rId196" Target="https://doi.org/10.1111/j.1469-7610.2011.02511.x" TargetMode="External" /><Relationship Type="http://schemas.openxmlformats.org/officeDocument/2006/relationships/hyperlink" Id="rId261" Target="https://doi.org/10.1111/j.1469-7610.2012.02585.x" TargetMode="External" /><Relationship Type="http://schemas.openxmlformats.org/officeDocument/2006/relationships/hyperlink" Id="rId449" Target="https://doi.org/10.1111/j.1750-8606.2009.00110.x" TargetMode="External" /><Relationship Type="http://schemas.openxmlformats.org/officeDocument/2006/relationships/hyperlink" Id="rId271" Target="https://doi.org/10.1111/j.1750-8606.2009.00112.x" TargetMode="External" /><Relationship Type="http://schemas.openxmlformats.org/officeDocument/2006/relationships/hyperlink" Id="rId219" Target="https://doi.org/10.1111/jcpp.12102" TargetMode="External" /><Relationship Type="http://schemas.openxmlformats.org/officeDocument/2006/relationships/hyperlink" Id="rId397" Target="https://doi.org/10.1111/jcpp.13549" TargetMode="External" /><Relationship Type="http://schemas.openxmlformats.org/officeDocument/2006/relationships/hyperlink" Id="rId159" Target="https://doi.org/10.1111/jcpp.70057" TargetMode="External" /><Relationship Type="http://schemas.openxmlformats.org/officeDocument/2006/relationships/hyperlink" Id="rId379" Target="https://doi.org/10.1111/jcpp.70180" TargetMode="External" /><Relationship Type="http://schemas.openxmlformats.org/officeDocument/2006/relationships/hyperlink" Id="rId408" Target="https://doi.org/10.1111/jedm.70019" TargetMode="External" /><Relationship Type="http://schemas.openxmlformats.org/officeDocument/2006/relationships/hyperlink" Id="rId265" Target="https://doi.org/10.1111/jora.12252" TargetMode="External" /><Relationship Type="http://schemas.openxmlformats.org/officeDocument/2006/relationships/hyperlink" Id="rId280" Target="https://doi.org/10.1111/psyp.12551" TargetMode="External" /><Relationship Type="http://schemas.openxmlformats.org/officeDocument/2006/relationships/hyperlink" Id="rId210" Target="https://doi.org/10.1126/science.2270481" TargetMode="External" /><Relationship Type="http://schemas.openxmlformats.org/officeDocument/2006/relationships/hyperlink" Id="rId208" Target="https://doi.org/10.1146/annurev-clinpsy-050212-185617" TargetMode="External" /><Relationship Type="http://schemas.openxmlformats.org/officeDocument/2006/relationships/hyperlink" Id="rId335" Target="https://doi.org/10.1146/annurev-clinpsy-061324-073435" TargetMode="External" /><Relationship Type="http://schemas.openxmlformats.org/officeDocument/2006/relationships/hyperlink" Id="rId400" Target="https://doi.org/10.1146/annurev-criminol-111523-122451" TargetMode="External" /><Relationship Type="http://schemas.openxmlformats.org/officeDocument/2006/relationships/hyperlink" Id="rId366" Target="https://doi.org/10.1146/annurev-psych-120710-100452" TargetMode="External" /><Relationship Type="http://schemas.openxmlformats.org/officeDocument/2006/relationships/hyperlink" Id="rId327" Target="https://doi.org/10.1159/000270073" TargetMode="External" /><Relationship Type="http://schemas.openxmlformats.org/officeDocument/2006/relationships/hyperlink" Id="rId278" Target="https://doi.org/10.1176/appi.ajp.160.9.1566" TargetMode="External" /><Relationship Type="http://schemas.openxmlformats.org/officeDocument/2006/relationships/hyperlink" Id="rId252" Target="https://doi.org/10.1176/appi.ajp.2008.08030366" TargetMode="External" /><Relationship Type="http://schemas.openxmlformats.org/officeDocument/2006/relationships/hyperlink" Id="rId444" Target="https://doi.org/10.1177/0049124121995521" TargetMode="External" /><Relationship Type="http://schemas.openxmlformats.org/officeDocument/2006/relationships/hyperlink" Id="rId446" Target="https://doi.org/10.1177/00491241221091754" TargetMode="External" /><Relationship Type="http://schemas.openxmlformats.org/officeDocument/2006/relationships/hyperlink" Id="rId426" Target="https://doi.org/10.1177/0093854812443645" TargetMode="External" /><Relationship Type="http://schemas.openxmlformats.org/officeDocument/2006/relationships/hyperlink" Id="rId198" Target="https://doi.org/10.1177/0146621612470210" TargetMode="External" /><Relationship Type="http://schemas.openxmlformats.org/officeDocument/2006/relationships/hyperlink" Id="rId333" Target="https://doi.org/10.1177/0165025415618275" TargetMode="External" /><Relationship Type="http://schemas.openxmlformats.org/officeDocument/2006/relationships/hyperlink" Id="rId451" Target="https://doi.org/10.1177/0165025419880610" TargetMode="External" /><Relationship Type="http://schemas.openxmlformats.org/officeDocument/2006/relationships/hyperlink" Id="rId149" Target="https://doi.org/10.1177/0269758014537147" TargetMode="External" /><Relationship Type="http://schemas.openxmlformats.org/officeDocument/2006/relationships/hyperlink" Id="rId229" Target="https://doi.org/10.1177/08902070241228338" TargetMode="External" /><Relationship Type="http://schemas.openxmlformats.org/officeDocument/2006/relationships/hyperlink" Id="rId339" Target="https://doi.org/10.1177/0962280214534588" TargetMode="External" /><Relationship Type="http://schemas.openxmlformats.org/officeDocument/2006/relationships/hyperlink" Id="rId406" Target="https://doi.org/10.1177/1362361320908972" TargetMode="External" /><Relationship Type="http://schemas.openxmlformats.org/officeDocument/2006/relationships/hyperlink" Id="rId180" Target="https://doi.org/10.1177/2167702613497473" TargetMode="External" /><Relationship Type="http://schemas.openxmlformats.org/officeDocument/2006/relationships/hyperlink" Id="rId375" Target="https://doi.org/10.1177/25152459251342750" TargetMode="External" /><Relationship Type="http://schemas.openxmlformats.org/officeDocument/2006/relationships/hyperlink" Id="rId227" Target="https://doi.org/10.1207/S15374424JCCP3301_6" TargetMode="External" /><Relationship Type="http://schemas.openxmlformats.org/officeDocument/2006/relationships/hyperlink" Id="rId343" Target="https://doi.org/10.1371/journal.pone.0063109" TargetMode="External" /><Relationship Type="http://schemas.openxmlformats.org/officeDocument/2006/relationships/hyperlink" Id="rId236" Target="https://doi.org/10.1378/chest.116.5.1208" TargetMode="External" /><Relationship Type="http://schemas.openxmlformats.org/officeDocument/2006/relationships/hyperlink" Id="rId190" Target="https://doi.org/10.14283/jfa.2012.9" TargetMode="External" /><Relationship Type="http://schemas.openxmlformats.org/officeDocument/2006/relationships/hyperlink" Id="rId49" Target="https://doi.org/10.1590/1980-57642018dn12-030001" TargetMode="External" /><Relationship Type="http://schemas.openxmlformats.org/officeDocument/2006/relationships/hyperlink" Id="rId388" Target="https://doi.org/10.18148/srm/2018.v12i1.7210" TargetMode="External" /><Relationship Type="http://schemas.openxmlformats.org/officeDocument/2006/relationships/hyperlink" Id="rId238" Target="https://doi.org/10.22237/jmasm/1209614640" TargetMode="External" /><Relationship Type="http://schemas.openxmlformats.org/officeDocument/2006/relationships/hyperlink" Id="rId214" Target="https://doi.org/10.2307/2095245" TargetMode="External" /><Relationship Type="http://schemas.openxmlformats.org/officeDocument/2006/relationships/hyperlink" Id="rId416" Target="https://doi.org/10.2307/j.ctt2jbxs1" TargetMode="External" /><Relationship Type="http://schemas.openxmlformats.org/officeDocument/2006/relationships/hyperlink" Id="rId127" Target="https://doi.org/10.25820/work.007199" TargetMode="External" /><Relationship Type="http://schemas.openxmlformats.org/officeDocument/2006/relationships/hyperlink" Id="rId418" Target="https://doi.org/10.3389/fpsyg.2013.00770" TargetMode="External" /><Relationship Type="http://schemas.openxmlformats.org/officeDocument/2006/relationships/hyperlink" Id="rId331" Target="https://doi.org/10.3389/fpsyg.2014.00978" TargetMode="External" /><Relationship Type="http://schemas.openxmlformats.org/officeDocument/2006/relationships/hyperlink" Id="rId194" Target="https://doi.org/10.3389/fpsyg.2014.00982" TargetMode="External" /><Relationship Type="http://schemas.openxmlformats.org/officeDocument/2006/relationships/hyperlink" Id="rId321" Target="https://doi.org/10.3389/fpsyg.2015.01389" TargetMode="External" /><Relationship Type="http://schemas.openxmlformats.org/officeDocument/2006/relationships/hyperlink" Id="rId39" Target="https://github.com/DevPsyLab/studying-psychopathology-development-lifespan" TargetMode="External" /><Relationship Type="http://schemas.openxmlformats.org/officeDocument/2006/relationships/hyperlink" Id="rId453" Target="https://icd.who.int" TargetMode="External" /><Relationship Type="http://schemas.openxmlformats.org/officeDocument/2006/relationships/hyperlink" Id="rId319"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40" Target="https://osf.io/t3zf9" TargetMode="External" /><Relationship Type="http://schemas.openxmlformats.org/officeDocument/2006/relationships/hyperlink" Id="rId240" Target="https://quantitudepod.org/latent-means/ (archived at: https://perma.cc/5JL3-YUPA)" TargetMode="External" /><Relationship Type="http://schemas.openxmlformats.org/officeDocument/2006/relationships/hyperlink" Id="rId41" Target="mailto:isaac-t-petersen@uiowa.edu" TargetMode="External" /></Relationships>
</file>

<file path=word/_rels/footnotes.xml.rels><?xml version="1.0" encoding="UTF-8"?><Relationships xmlns="http://schemas.openxmlformats.org/package/2006/relationships"><Relationship Type="http://schemas.openxmlformats.org/officeDocument/2006/relationships/hyperlink" Id="rId58" Target="https://DevPsyLab.github.io/studying-psychopathology-development-lifespan/notebooks/analyses-preview.html#cell-fig-externalizing-by-age" TargetMode="External" /><Relationship Type="http://schemas.openxmlformats.org/officeDocument/2006/relationships/hyperlink" Id="rId51" Target="https://DevPsyLab.github.io/studying-psychopathology-development-lifespan/notebooks/analyses-preview.html#cell-fig-lifespancognitivetrajectories" TargetMode="External" /><Relationship Type="http://schemas.openxmlformats.org/officeDocument/2006/relationships/hyperlink" Id="rId75" Target="https://DevPsyLab.github.io/studying-psychopathology-development-lifespan/notebooks/analyses-preview.html#cell-fig-longitudinal-externalizing-studies" TargetMode="External" /><Relationship Type="http://schemas.openxmlformats.org/officeDocument/2006/relationships/hyperlink" Id="rId64" Target="https://DevPsyLab.github.io/studying-psychopathology-development-lifespan/notebooks/analyses-preview.html#cell-fig-longitudinalstudies" TargetMode="External" /><Relationship Type="http://schemas.openxmlformats.org/officeDocument/2006/relationships/hyperlink" Id="rId100" Target="https://DevPsyLab.github.io/studying-psychopathology-development-lifespan/notebooks/analyses-preview.html#cell-tbl-externalizingfacets" TargetMode="External" /><Relationship Type="http://schemas.openxmlformats.org/officeDocument/2006/relationships/hyperlink" Id="rId284" Target="https://doi.org/10.1001/archgenpsychiatry.2010.188" TargetMode="External" /><Relationship Type="http://schemas.openxmlformats.org/officeDocument/2006/relationships/hyperlink" Id="rId305" Target="https://doi.org/10.1001/archpsyc.62.12.1352" TargetMode="External" /><Relationship Type="http://schemas.openxmlformats.org/officeDocument/2006/relationships/hyperlink" Id="rId178" Target="https://doi.org/10.1001/jamanetworkopen.2020.3221" TargetMode="External" /><Relationship Type="http://schemas.openxmlformats.org/officeDocument/2006/relationships/hyperlink" Id="rId182" Target="https://doi.org/10.1002/9780470147658.chpsy0306" TargetMode="External" /><Relationship Type="http://schemas.openxmlformats.org/officeDocument/2006/relationships/hyperlink" Id="rId168" Target="https://doi.org/10.1002/9781119125556.devpsy101" TargetMode="External" /><Relationship Type="http://schemas.openxmlformats.org/officeDocument/2006/relationships/hyperlink" Id="rId263" Target="https://doi.org/10.1002/cbm.708" TargetMode="External" /><Relationship Type="http://schemas.openxmlformats.org/officeDocument/2006/relationships/hyperlink" Id="rId147" Target="https://doi.org/10.1002/jcv2.70043" TargetMode="External" /><Relationship Type="http://schemas.openxmlformats.org/officeDocument/2006/relationships/hyperlink" Id="rId282" Target="https://doi.org/10.1002/wps.20844" TargetMode="External" /><Relationship Type="http://schemas.openxmlformats.org/officeDocument/2006/relationships/hyperlink" Id="rId221" Target="https://doi.org/10.1007/978-1-0716-3335-9_5" TargetMode="External" /><Relationship Type="http://schemas.openxmlformats.org/officeDocument/2006/relationships/hyperlink" Id="rId153" Target="https://doi.org/10.1007/978-1-4614-9608-3_16" TargetMode="External" /><Relationship Type="http://schemas.openxmlformats.org/officeDocument/2006/relationships/hyperlink" Id="rId273" Target="https://doi.org/10.1007/978-1-4939-0317-7" TargetMode="External" /><Relationship Type="http://schemas.openxmlformats.org/officeDocument/2006/relationships/hyperlink" Id="rId298" Target="https://doi.org/10.1007/978-3-030-68429-7" TargetMode="External" /><Relationship Type="http://schemas.openxmlformats.org/officeDocument/2006/relationships/hyperlink" Id="rId301" Target="https://doi.org/10.1007/978-3-031-80549-3" TargetMode="External" /><Relationship Type="http://schemas.openxmlformats.org/officeDocument/2006/relationships/hyperlink" Id="rId368" Target="https://doi.org/10.1007/s00127-015-1048-8" TargetMode="External" /><Relationship Type="http://schemas.openxmlformats.org/officeDocument/2006/relationships/hyperlink" Id="rId232" Target="https://doi.org/10.1007/s00234-020-02562-1" TargetMode="External" /><Relationship Type="http://schemas.openxmlformats.org/officeDocument/2006/relationships/hyperlink" Id="rId434" Target="https://doi.org/10.1007/s10802-010-9478-y" TargetMode="External" /><Relationship Type="http://schemas.openxmlformats.org/officeDocument/2006/relationships/hyperlink" Id="rId170" Target="https://doi.org/10.1007/s10802-012-9669-9" TargetMode="External" /><Relationship Type="http://schemas.openxmlformats.org/officeDocument/2006/relationships/hyperlink" Id="rId432" Target="https://doi.org/10.1007/s10802-012-9700-1" TargetMode="External" /><Relationship Type="http://schemas.openxmlformats.org/officeDocument/2006/relationships/hyperlink" Id="rId267" Target="https://doi.org/10.1007/s10802-017-0383-5" TargetMode="External" /><Relationship Type="http://schemas.openxmlformats.org/officeDocument/2006/relationships/hyperlink" Id="rId269" Target="https://doi.org/10.1007/s10802-021-00885-y" TargetMode="External" /><Relationship Type="http://schemas.openxmlformats.org/officeDocument/2006/relationships/hyperlink" Id="rId144" Target="https://doi.org/10.1007/s10802-023-01119-z" TargetMode="External" /><Relationship Type="http://schemas.openxmlformats.org/officeDocument/2006/relationships/hyperlink" Id="rId254" Target="https://doi.org/10.1007/s10826-018-1272-4" TargetMode="External" /><Relationship Type="http://schemas.openxmlformats.org/officeDocument/2006/relationships/hyperlink" Id="rId312" Target="https://doi.org/10.1007/s11121-022-01467-0" TargetMode="External" /><Relationship Type="http://schemas.openxmlformats.org/officeDocument/2006/relationships/hyperlink" Id="rId428" Target="https://doi.org/10.1007/s12103-013-9235-1" TargetMode="External" /><Relationship Type="http://schemas.openxmlformats.org/officeDocument/2006/relationships/hyperlink" Id="rId430" Target="https://doi.org/10.1007/s12103-014-9272-4" TargetMode="External" /><Relationship Type="http://schemas.openxmlformats.org/officeDocument/2006/relationships/hyperlink" Id="rId184" Target="https://doi.org/10.1007/s40865-015-0012-3" TargetMode="External" /><Relationship Type="http://schemas.openxmlformats.org/officeDocument/2006/relationships/hyperlink" Id="rId292" Target="https://doi.org/10.1016/S0005-7967(02)00016-5" TargetMode="External" /><Relationship Type="http://schemas.openxmlformats.org/officeDocument/2006/relationships/hyperlink" Id="rId50" Target="https://doi.org/10.1016/j.arr.2026.103102" TargetMode="External" /><Relationship Type="http://schemas.openxmlformats.org/officeDocument/2006/relationships/hyperlink" Id="rId176" Target="https://doi.org/10.1016/j.cpr.2012.02.006" TargetMode="External" /><Relationship Type="http://schemas.openxmlformats.org/officeDocument/2006/relationships/hyperlink" Id="rId404" Target="https://doi.org/10.1016/j.cresp.2025.100261" TargetMode="External" /><Relationship Type="http://schemas.openxmlformats.org/officeDocument/2006/relationships/hyperlink" Id="rId307" Target="https://doi.org/10.1016/j.dr.2004.04.002" TargetMode="External" /><Relationship Type="http://schemas.openxmlformats.org/officeDocument/2006/relationships/hyperlink" Id="rId440" Target="https://doi.org/10.1016/j.dr.2008.01.001" TargetMode="External" /><Relationship Type="http://schemas.openxmlformats.org/officeDocument/2006/relationships/hyperlink" Id="rId353" Target="https://doi.org/10.1016/j.dr.2020.100935" TargetMode="External" /><Relationship Type="http://schemas.openxmlformats.org/officeDocument/2006/relationships/hyperlink" Id="rId420" Target="https://doi.org/10.1016/j.jaac.2013.10.011" TargetMode="External" /><Relationship Type="http://schemas.openxmlformats.org/officeDocument/2006/relationships/hyperlink" Id="rId163" Target="https://doi.org/10.1016/j.jaac.2017.05.019" TargetMode="External" /><Relationship Type="http://schemas.openxmlformats.org/officeDocument/2006/relationships/hyperlink" Id="rId92" Target="https://doi.org/10.1016/j.jaacop.2025.10.008" TargetMode="External" /><Relationship Type="http://schemas.openxmlformats.org/officeDocument/2006/relationships/hyperlink" Id="rId458" Target="https://doi.org/10.1016/j.jad.2026.121556" TargetMode="External" /><Relationship Type="http://schemas.openxmlformats.org/officeDocument/2006/relationships/hyperlink" Id="rId56" Target="https://doi.org/10.1016/j.jcrimjus.2024.102155" TargetMode="External" /><Relationship Type="http://schemas.openxmlformats.org/officeDocument/2006/relationships/hyperlink" Id="rId151" Target="https://doi.org/10.1016/j.jpsychires.2013.08.016" TargetMode="External" /><Relationship Type="http://schemas.openxmlformats.org/officeDocument/2006/relationships/hyperlink" Id="rId314" Target="https://doi.org/10.1016/j.jsp.2012.10.002" TargetMode="External" /><Relationship Type="http://schemas.openxmlformats.org/officeDocument/2006/relationships/hyperlink" Id="rId244" Target="https://doi.org/10.1017/S0033291711001966" TargetMode="External" /><Relationship Type="http://schemas.openxmlformats.org/officeDocument/2006/relationships/hyperlink" Id="rId246" Target="https://doi.org/10.1017/S003329172000183X" TargetMode="External" /><Relationship Type="http://schemas.openxmlformats.org/officeDocument/2006/relationships/hyperlink" Id="rId442" Target="https://doi.org/10.1017/S0954579403000221" TargetMode="External" /><Relationship Type="http://schemas.openxmlformats.org/officeDocument/2006/relationships/hyperlink" Id="rId402" Target="https://doi.org/10.1017/S0954579407070174" TargetMode="External" /><Relationship Type="http://schemas.openxmlformats.org/officeDocument/2006/relationships/hyperlink" Id="rId337" Target="https://doi.org/10.1017/S0954579408000333" TargetMode="External" /><Relationship Type="http://schemas.openxmlformats.org/officeDocument/2006/relationships/hyperlink" Id="rId296" Target="https://doi.org/10.1017/S0954579410000301" TargetMode="External" /><Relationship Type="http://schemas.openxmlformats.org/officeDocument/2006/relationships/hyperlink" Id="rId57" Target="https://doi.org/10.1017/S0954579414000789" TargetMode="External" /><Relationship Type="http://schemas.openxmlformats.org/officeDocument/2006/relationships/hyperlink" Id="rId225" Target="https://doi.org/10.1017/S0954579416000651" TargetMode="External" /><Relationship Type="http://schemas.openxmlformats.org/officeDocument/2006/relationships/hyperlink" Id="rId234" Target="https://doi.org/10.1017/S0954579421001772" TargetMode="External" /><Relationship Type="http://schemas.openxmlformats.org/officeDocument/2006/relationships/hyperlink" Id="rId161" Target="https://doi.org/10.1017/S0954579423001505" TargetMode="External" /><Relationship Type="http://schemas.openxmlformats.org/officeDocument/2006/relationships/hyperlink" Id="rId242" Target="https://doi.org/10.1017/S0954579424000713" TargetMode="External" /><Relationship Type="http://schemas.openxmlformats.org/officeDocument/2006/relationships/hyperlink" Id="rId341" Target="https://doi.org/10.1023/a:1026254005632" TargetMode="External" /><Relationship Type="http://schemas.openxmlformats.org/officeDocument/2006/relationships/hyperlink" Id="rId174" Target="https://doi.org/10.1027/1015-5759.17.1.25" TargetMode="External" /><Relationship Type="http://schemas.openxmlformats.org/officeDocument/2006/relationships/hyperlink" Id="rId386" Target="https://doi.org/10.1037/0003-066X.54.2.93" TargetMode="External" /><Relationship Type="http://schemas.openxmlformats.org/officeDocument/2006/relationships/hyperlink" Id="rId172" Target="https://doi.org/10.1037/0012-1649.39.2.222" TargetMode="External" /><Relationship Type="http://schemas.openxmlformats.org/officeDocument/2006/relationships/hyperlink" Id="rId200" Target="https://doi.org/10.1037/0012-1649.44.2.365" TargetMode="External" /><Relationship Type="http://schemas.openxmlformats.org/officeDocument/2006/relationships/hyperlink" Id="rId286" Target="https://doi.org/10.1037/0021-843X.116.4.645" TargetMode="External" /><Relationship Type="http://schemas.openxmlformats.org/officeDocument/2006/relationships/hyperlink" Id="rId288" Target="https://doi.org/10.1037/0021-843x.114.4.537" TargetMode="External" /><Relationship Type="http://schemas.openxmlformats.org/officeDocument/2006/relationships/hyperlink" Id="rId345" Target="https://doi.org/10.1037/0022-006X.61.6.911" TargetMode="External" /><Relationship Type="http://schemas.openxmlformats.org/officeDocument/2006/relationships/hyperlink" Id="rId192" Target="https://doi.org/10.1037/0022-006X.70.1.6" TargetMode="External" /><Relationship Type="http://schemas.openxmlformats.org/officeDocument/2006/relationships/hyperlink" Id="rId323" Target="https://doi.org/10.1037/0033-295X.100.4.674" TargetMode="External" /><Relationship Type="http://schemas.openxmlformats.org/officeDocument/2006/relationships/hyperlink" Id="rId248" Target="https://doi.org/10.1037/0882-7974.18.4.639" TargetMode="External" /><Relationship Type="http://schemas.openxmlformats.org/officeDocument/2006/relationships/hyperlink" Id="rId223" Target="https://doi.org/10.1037/0882-7974.19.2.243" TargetMode="External" /><Relationship Type="http://schemas.openxmlformats.org/officeDocument/2006/relationships/hyperlink" Id="rId290" Target="https://doi.org/10.1037/1040-3590.16.2.107" TargetMode="External" /><Relationship Type="http://schemas.openxmlformats.org/officeDocument/2006/relationships/hyperlink" Id="rId259" Target="https://doi.org/10.1037/13129-000" TargetMode="External" /><Relationship Type="http://schemas.openxmlformats.org/officeDocument/2006/relationships/hyperlink" Id="rId140" Target="https://doi.org/10.1037/14048-008" TargetMode="External" /><Relationship Type="http://schemas.openxmlformats.org/officeDocument/2006/relationships/hyperlink" Id="rId310" Target="https://doi.org/10.1037/a0015857" TargetMode="External" /><Relationship Type="http://schemas.openxmlformats.org/officeDocument/2006/relationships/hyperlink" Id="rId424" Target="https://doi.org/10.1037/a0021519" TargetMode="External" /><Relationship Type="http://schemas.openxmlformats.org/officeDocument/2006/relationships/hyperlink" Id="rId303" Target="https://doi.org/10.1037/a0023678" TargetMode="External" /><Relationship Type="http://schemas.openxmlformats.org/officeDocument/2006/relationships/hyperlink" Id="rId455" Target="https://doi.org/10.1037/a0030133" TargetMode="External" /><Relationship Type="http://schemas.openxmlformats.org/officeDocument/2006/relationships/hyperlink" Id="rId157" Target="https://doi.org/10.1037/a0032475" TargetMode="External" /><Relationship Type="http://schemas.openxmlformats.org/officeDocument/2006/relationships/hyperlink" Id="rId390" Target="https://doi.org/10.1037/abn0000171" TargetMode="External" /><Relationship Type="http://schemas.openxmlformats.org/officeDocument/2006/relationships/hyperlink" Id="rId381" Target="https://doi.org/10.1037/abn0000232" TargetMode="External" /><Relationship Type="http://schemas.openxmlformats.org/officeDocument/2006/relationships/hyperlink" Id="rId276" Target="https://doi.org/10.1037/abn0000258" TargetMode="External" /><Relationship Type="http://schemas.openxmlformats.org/officeDocument/2006/relationships/hyperlink" Id="rId358" Target="https://doi.org/10.1037/abn0000649" TargetMode="External" /><Relationship Type="http://schemas.openxmlformats.org/officeDocument/2006/relationships/hyperlink" Id="rId410" Target="https://doi.org/10.1037/abn0000751" TargetMode="External" /><Relationship Type="http://schemas.openxmlformats.org/officeDocument/2006/relationships/hyperlink" Id="rId204" Target="https://doi.org/10.1037/abn0001084" TargetMode="External" /><Relationship Type="http://schemas.openxmlformats.org/officeDocument/2006/relationships/hyperlink" Id="rId362" Target="https://doi.org/10.1037/dev0000449" TargetMode="External" /><Relationship Type="http://schemas.openxmlformats.org/officeDocument/2006/relationships/hyperlink" Id="rId392" Target="https://doi.org/10.1037/dev0001095" TargetMode="External" /><Relationship Type="http://schemas.openxmlformats.org/officeDocument/2006/relationships/hyperlink" Id="rId349" Target="https://doi.org/10.1037/dev0001657" TargetMode="External" /><Relationship Type="http://schemas.openxmlformats.org/officeDocument/2006/relationships/hyperlink" Id="rId118" Target="https://doi.org/10.1037/edu0000461" TargetMode="External" /><Relationship Type="http://schemas.openxmlformats.org/officeDocument/2006/relationships/hyperlink" Id="rId155" Target="https://doi.org/10.1037/met0000077" TargetMode="External" /><Relationship Type="http://schemas.openxmlformats.org/officeDocument/2006/relationships/hyperlink" Id="rId217" Target="https://doi.org/10.1037/met0000563" TargetMode="External" /><Relationship Type="http://schemas.openxmlformats.org/officeDocument/2006/relationships/hyperlink" Id="rId188" Target="https://doi.org/10.1037/met0000685" TargetMode="External" /><Relationship Type="http://schemas.openxmlformats.org/officeDocument/2006/relationships/hyperlink" Id="rId394" Target="https://doi.org/10.1037/pas0000648" TargetMode="External" /><Relationship Type="http://schemas.openxmlformats.org/officeDocument/2006/relationships/hyperlink" Id="rId370" Target="https://doi.org/10.1037/pas0000754" TargetMode="External" /><Relationship Type="http://schemas.openxmlformats.org/officeDocument/2006/relationships/hyperlink" Id="rId82" Target="https://doi.org/10.1037/pas0001441" TargetMode="External" /><Relationship Type="http://schemas.openxmlformats.org/officeDocument/2006/relationships/hyperlink" Id="rId412" Target="https://doi.org/10.1038/s44220-023-00057-5" TargetMode="External" /><Relationship Type="http://schemas.openxmlformats.org/officeDocument/2006/relationships/hyperlink" Id="rId325" Target="https://doi.org/10.1073/pnas.1010076108" TargetMode="External" /><Relationship Type="http://schemas.openxmlformats.org/officeDocument/2006/relationships/hyperlink" Id="rId202" Target="https://doi.org/10.1080/00273171.2014.889594" TargetMode="External" /><Relationship Type="http://schemas.openxmlformats.org/officeDocument/2006/relationships/hyperlink" Id="rId294" Target="https://doi.org/10.1080/00273171.2021.1941730" TargetMode="External" /><Relationship Type="http://schemas.openxmlformats.org/officeDocument/2006/relationships/hyperlink" Id="rId186" Target="https://doi.org/10.1080/00273171.2026.2640576" TargetMode="External" /><Relationship Type="http://schemas.openxmlformats.org/officeDocument/2006/relationships/hyperlink" Id="rId436" Target="https://doi.org/10.1080/02664763.2020.1817346" TargetMode="External" /><Relationship Type="http://schemas.openxmlformats.org/officeDocument/2006/relationships/hyperlink" Id="rId372" Target="https://doi.org/10.1080/10705511.2023.2191292" TargetMode="External" /><Relationship Type="http://schemas.openxmlformats.org/officeDocument/2006/relationships/hyperlink" Id="rId438" Target="https://doi.org/10.1080/15366367.2018.1502005" TargetMode="External" /><Relationship Type="http://schemas.openxmlformats.org/officeDocument/2006/relationships/hyperlink" Id="rId422" Target="https://doi.org/10.1080/15374416.2018.1561296" TargetMode="External" /><Relationship Type="http://schemas.openxmlformats.org/officeDocument/2006/relationships/hyperlink" Id="rId414" Target="https://doi.org/10.1080/15374416.2019.1622124" TargetMode="External" /><Relationship Type="http://schemas.openxmlformats.org/officeDocument/2006/relationships/hyperlink" Id="rId206" Target="https://doi.org/10.1080/15374416.2025.2484813" TargetMode="External" /><Relationship Type="http://schemas.openxmlformats.org/officeDocument/2006/relationships/hyperlink" Id="rId383" Target="https://doi.org/10.1086/269270" TargetMode="External" /><Relationship Type="http://schemas.openxmlformats.org/officeDocument/2006/relationships/hyperlink" Id="rId212" Target="https://doi.org/10.1108/978-1-61735-891-320251015" TargetMode="External" /><Relationship Type="http://schemas.openxmlformats.org/officeDocument/2006/relationships/hyperlink" Id="rId142" Target="https://doi.org/10.1111/acer.13525" TargetMode="External" /><Relationship Type="http://schemas.openxmlformats.org/officeDocument/2006/relationships/hyperlink" Id="rId329" Target="https://doi.org/10.1111/cdev.12036" TargetMode="External" /><Relationship Type="http://schemas.openxmlformats.org/officeDocument/2006/relationships/hyperlink" Id="rId364" Target="https://doi.org/10.1111/cdev.12880" TargetMode="External" /><Relationship Type="http://schemas.openxmlformats.org/officeDocument/2006/relationships/hyperlink" Id="rId360" Target="https://doi.org/10.1111/cdev.13433" TargetMode="External" /><Relationship Type="http://schemas.openxmlformats.org/officeDocument/2006/relationships/hyperlink" Id="rId250" Target="https://doi.org/10.1111/desc.13280" TargetMode="External" /><Relationship Type="http://schemas.openxmlformats.org/officeDocument/2006/relationships/hyperlink" Id="rId347" Target="https://doi.org/10.1111/desc.70216" TargetMode="External" /><Relationship Type="http://schemas.openxmlformats.org/officeDocument/2006/relationships/hyperlink" Id="rId165" Target="https://doi.org/10.1111/j.1467-8624.2004.00755.x" TargetMode="External" /><Relationship Type="http://schemas.openxmlformats.org/officeDocument/2006/relationships/hyperlink" Id="rId316" Target="https://doi.org/10.1111/j.1467-9507.2008.00480.x" TargetMode="External" /><Relationship Type="http://schemas.openxmlformats.org/officeDocument/2006/relationships/hyperlink" Id="rId377" Target="https://doi.org/10.1111/j.1469-7610.2006.01614.x" TargetMode="External" /><Relationship Type="http://schemas.openxmlformats.org/officeDocument/2006/relationships/hyperlink" Id="rId196" Target="https://doi.org/10.1111/j.1469-7610.2011.02511.x" TargetMode="External" /><Relationship Type="http://schemas.openxmlformats.org/officeDocument/2006/relationships/hyperlink" Id="rId261" Target="https://doi.org/10.1111/j.1469-7610.2012.02585.x" TargetMode="External" /><Relationship Type="http://schemas.openxmlformats.org/officeDocument/2006/relationships/hyperlink" Id="rId449" Target="https://doi.org/10.1111/j.1750-8606.2009.00110.x" TargetMode="External" /><Relationship Type="http://schemas.openxmlformats.org/officeDocument/2006/relationships/hyperlink" Id="rId271" Target="https://doi.org/10.1111/j.1750-8606.2009.00112.x" TargetMode="External" /><Relationship Type="http://schemas.openxmlformats.org/officeDocument/2006/relationships/hyperlink" Id="rId219" Target="https://doi.org/10.1111/jcpp.12102" TargetMode="External" /><Relationship Type="http://schemas.openxmlformats.org/officeDocument/2006/relationships/hyperlink" Id="rId397" Target="https://doi.org/10.1111/jcpp.13549" TargetMode="External" /><Relationship Type="http://schemas.openxmlformats.org/officeDocument/2006/relationships/hyperlink" Id="rId159" Target="https://doi.org/10.1111/jcpp.70057" TargetMode="External" /><Relationship Type="http://schemas.openxmlformats.org/officeDocument/2006/relationships/hyperlink" Id="rId379" Target="https://doi.org/10.1111/jcpp.70180" TargetMode="External" /><Relationship Type="http://schemas.openxmlformats.org/officeDocument/2006/relationships/hyperlink" Id="rId408" Target="https://doi.org/10.1111/jedm.70019" TargetMode="External" /><Relationship Type="http://schemas.openxmlformats.org/officeDocument/2006/relationships/hyperlink" Id="rId265" Target="https://doi.org/10.1111/jora.12252" TargetMode="External" /><Relationship Type="http://schemas.openxmlformats.org/officeDocument/2006/relationships/hyperlink" Id="rId280" Target="https://doi.org/10.1111/psyp.12551" TargetMode="External" /><Relationship Type="http://schemas.openxmlformats.org/officeDocument/2006/relationships/hyperlink" Id="rId210" Target="https://doi.org/10.1126/science.2270481" TargetMode="External" /><Relationship Type="http://schemas.openxmlformats.org/officeDocument/2006/relationships/hyperlink" Id="rId208" Target="https://doi.org/10.1146/annurev-clinpsy-050212-185617" TargetMode="External" /><Relationship Type="http://schemas.openxmlformats.org/officeDocument/2006/relationships/hyperlink" Id="rId335" Target="https://doi.org/10.1146/annurev-clinpsy-061324-073435" TargetMode="External" /><Relationship Type="http://schemas.openxmlformats.org/officeDocument/2006/relationships/hyperlink" Id="rId400" Target="https://doi.org/10.1146/annurev-criminol-111523-122451" TargetMode="External" /><Relationship Type="http://schemas.openxmlformats.org/officeDocument/2006/relationships/hyperlink" Id="rId366" Target="https://doi.org/10.1146/annurev-psych-120710-100452" TargetMode="External" /><Relationship Type="http://schemas.openxmlformats.org/officeDocument/2006/relationships/hyperlink" Id="rId327" Target="https://doi.org/10.1159/000270073" TargetMode="External" /><Relationship Type="http://schemas.openxmlformats.org/officeDocument/2006/relationships/hyperlink" Id="rId278" Target="https://doi.org/10.1176/appi.ajp.160.9.1566" TargetMode="External" /><Relationship Type="http://schemas.openxmlformats.org/officeDocument/2006/relationships/hyperlink" Id="rId252" Target="https://doi.org/10.1176/appi.ajp.2008.08030366" TargetMode="External" /><Relationship Type="http://schemas.openxmlformats.org/officeDocument/2006/relationships/hyperlink" Id="rId444" Target="https://doi.org/10.1177/0049124121995521" TargetMode="External" /><Relationship Type="http://schemas.openxmlformats.org/officeDocument/2006/relationships/hyperlink" Id="rId446" Target="https://doi.org/10.1177/00491241221091754" TargetMode="External" /><Relationship Type="http://schemas.openxmlformats.org/officeDocument/2006/relationships/hyperlink" Id="rId426" Target="https://doi.org/10.1177/0093854812443645" TargetMode="External" /><Relationship Type="http://schemas.openxmlformats.org/officeDocument/2006/relationships/hyperlink" Id="rId198" Target="https://doi.org/10.1177/0146621612470210" TargetMode="External" /><Relationship Type="http://schemas.openxmlformats.org/officeDocument/2006/relationships/hyperlink" Id="rId333" Target="https://doi.org/10.1177/0165025415618275" TargetMode="External" /><Relationship Type="http://schemas.openxmlformats.org/officeDocument/2006/relationships/hyperlink" Id="rId451" Target="https://doi.org/10.1177/0165025419880610" TargetMode="External" /><Relationship Type="http://schemas.openxmlformats.org/officeDocument/2006/relationships/hyperlink" Id="rId149" Target="https://doi.org/10.1177/0269758014537147" TargetMode="External" /><Relationship Type="http://schemas.openxmlformats.org/officeDocument/2006/relationships/hyperlink" Id="rId229" Target="https://doi.org/10.1177/08902070241228338" TargetMode="External" /><Relationship Type="http://schemas.openxmlformats.org/officeDocument/2006/relationships/hyperlink" Id="rId339" Target="https://doi.org/10.1177/0962280214534588" TargetMode="External" /><Relationship Type="http://schemas.openxmlformats.org/officeDocument/2006/relationships/hyperlink" Id="rId406" Target="https://doi.org/10.1177/1362361320908972" TargetMode="External" /><Relationship Type="http://schemas.openxmlformats.org/officeDocument/2006/relationships/hyperlink" Id="rId180" Target="https://doi.org/10.1177/2167702613497473" TargetMode="External" /><Relationship Type="http://schemas.openxmlformats.org/officeDocument/2006/relationships/hyperlink" Id="rId375" Target="https://doi.org/10.1177/25152459251342750" TargetMode="External" /><Relationship Type="http://schemas.openxmlformats.org/officeDocument/2006/relationships/hyperlink" Id="rId227" Target="https://doi.org/10.1207/S15374424JCCP3301_6" TargetMode="External" /><Relationship Type="http://schemas.openxmlformats.org/officeDocument/2006/relationships/hyperlink" Id="rId343" Target="https://doi.org/10.1371/journal.pone.0063109" TargetMode="External" /><Relationship Type="http://schemas.openxmlformats.org/officeDocument/2006/relationships/hyperlink" Id="rId236" Target="https://doi.org/10.1378/chest.116.5.1208" TargetMode="External" /><Relationship Type="http://schemas.openxmlformats.org/officeDocument/2006/relationships/hyperlink" Id="rId190" Target="https://doi.org/10.14283/jfa.2012.9" TargetMode="External" /><Relationship Type="http://schemas.openxmlformats.org/officeDocument/2006/relationships/hyperlink" Id="rId49" Target="https://doi.org/10.1590/1980-57642018dn12-030001" TargetMode="External" /><Relationship Type="http://schemas.openxmlformats.org/officeDocument/2006/relationships/hyperlink" Id="rId388" Target="https://doi.org/10.18148/srm/2018.v12i1.7210" TargetMode="External" /><Relationship Type="http://schemas.openxmlformats.org/officeDocument/2006/relationships/hyperlink" Id="rId238" Target="https://doi.org/10.22237/jmasm/1209614640" TargetMode="External" /><Relationship Type="http://schemas.openxmlformats.org/officeDocument/2006/relationships/hyperlink" Id="rId214" Target="https://doi.org/10.2307/2095245" TargetMode="External" /><Relationship Type="http://schemas.openxmlformats.org/officeDocument/2006/relationships/hyperlink" Id="rId416" Target="https://doi.org/10.2307/j.ctt2jbxs1" TargetMode="External" /><Relationship Type="http://schemas.openxmlformats.org/officeDocument/2006/relationships/hyperlink" Id="rId127" Target="https://doi.org/10.25820/work.007199" TargetMode="External" /><Relationship Type="http://schemas.openxmlformats.org/officeDocument/2006/relationships/hyperlink" Id="rId418" Target="https://doi.org/10.3389/fpsyg.2013.00770" TargetMode="External" /><Relationship Type="http://schemas.openxmlformats.org/officeDocument/2006/relationships/hyperlink" Id="rId331" Target="https://doi.org/10.3389/fpsyg.2014.00978" TargetMode="External" /><Relationship Type="http://schemas.openxmlformats.org/officeDocument/2006/relationships/hyperlink" Id="rId194" Target="https://doi.org/10.3389/fpsyg.2014.00982" TargetMode="External" /><Relationship Type="http://schemas.openxmlformats.org/officeDocument/2006/relationships/hyperlink" Id="rId321" Target="https://doi.org/10.3389/fpsyg.2015.01389" TargetMode="External" /><Relationship Type="http://schemas.openxmlformats.org/officeDocument/2006/relationships/hyperlink" Id="rId39" Target="https://github.com/DevPsyLab/studying-psychopathology-development-lifespan" TargetMode="External" /><Relationship Type="http://schemas.openxmlformats.org/officeDocument/2006/relationships/hyperlink" Id="rId453" Target="https://icd.who.int" TargetMode="External" /><Relationship Type="http://schemas.openxmlformats.org/officeDocument/2006/relationships/hyperlink" Id="rId319"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40" Target="https://osf.io/t3zf9" TargetMode="External" /><Relationship Type="http://schemas.openxmlformats.org/officeDocument/2006/relationships/hyperlink" Id="rId240" Target="https://quantitudepod.org/latent-means/ (archived at: https://perma.cc/5JL3-YUPA)" TargetMode="External" /><Relationship Type="http://schemas.openxmlformats.org/officeDocument/2006/relationships/hyperlink" Id="rId41" Target="mailto:isaac-t-petersen@uiowa.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207</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2026-09-25T05:00:16Z</dcterms:created>
  <dcterms:modified xsi:type="dcterms:W3CDTF">2026-09-25T05:00:16Z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2026-09-25</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fig-cap-location">
    <vt:lpwstr>top</vt:lpwstr>
  </property>
  <property fmtid="{D5CDD505-2E9C-101B-9397-08002B2CF9AE}" pid="23" name="floatsintext">
    <vt:lpwstr>True</vt:lpwstr>
  </property>
  <property fmtid="{D5CDD505-2E9C-101B-9397-08002B2CF9AE}" pid="24" name="google-scholar">
    <vt:lpwstr>True</vt:lpwstr>
  </property>
  <property fmtid="{D5CDD505-2E9C-101B-9397-08002B2CF9AE}" pid="25" name="header-includes">
    <vt:lpwstr/>
  </property>
  <property fmtid="{D5CDD505-2E9C-101B-9397-08002B2CF9AE}" pid="26" name="impact-statement">
    <vt:lpwstr/>
  </property>
  <property fmtid="{D5CDD505-2E9C-101B-9397-08002B2CF9AE}" pid="27" name="include-after">
    <vt:lpwstr/>
  </property>
  <property fmtid="{D5CDD505-2E9C-101B-9397-08002B2CF9AE}" pid="28" name="include-before">
    <vt:lpwstr/>
  </property>
  <property fmtid="{D5CDD505-2E9C-101B-9397-08002B2CF9AE}" pid="29" name="jou-running-authors">
    <vt:lpwstr>Petersen, Demko, &amp; Schumer</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cite">
    <vt:lpwstr>@Borelli2018, @Abrous2026, @Sivertsson2024, @Steffensmeier2025</vt:lpwstr>
  </property>
  <property fmtid="{D5CDD505-2E9C-101B-9397-08002B2CF9AE}" pid="40" name="notebook-preview-options">
    <vt:lpwstr/>
  </property>
  <property fmtid="{D5CDD505-2E9C-101B-9397-08002B2CF9AE}" pid="41" name="number-depth">
    <vt:lpwstr>3</vt:lpwstr>
  </property>
  <property fmtid="{D5CDD505-2E9C-101B-9397-08002B2CF9AE}" pid="42" name="numbered-lines">
    <vt:lpwstr>False</vt:lpwstr>
  </property>
  <property fmtid="{D5CDD505-2E9C-101B-9397-08002B2CF9AE}" pid="43" name="numbersections">
    <vt:lpwstr>False</vt:lpwstr>
  </property>
  <property fmtid="{D5CDD505-2E9C-101B-9397-08002B2CF9AE}" pid="44" name="oneaffiliation">
    <vt:lpwstr>True</vt:lpwstr>
  </property>
  <property fmtid="{D5CDD505-2E9C-101B-9397-08002B2CF9AE}" pid="45" name="oneauthor">
    <vt:lpwstr>False</vt:lpwstr>
  </property>
  <property fmtid="{D5CDD505-2E9C-101B-9397-08002B2CF9AE}" pid="46" name="quarto-internal">
    <vt:lpwstr/>
  </property>
  <property fmtid="{D5CDD505-2E9C-101B-9397-08002B2CF9AE}" pid="47" name="references">
    <vt:lpwstr/>
  </property>
  <property fmtid="{D5CDD505-2E9C-101B-9397-08002B2CF9AE}" pid="48" name="remove-hidden">
    <vt:lpwstr>all</vt:lpwstr>
  </property>
  <property fmtid="{D5CDD505-2E9C-101B-9397-08002B2CF9AE}" pid="49" name="revealjs-plugins">
    <vt:lpwstr/>
  </property>
  <property fmtid="{D5CDD505-2E9C-101B-9397-08002B2CF9AE}" pid="50" name="shorttitle">
    <vt:lpwstr>PSYCHOPATHOLOGY DEVELOPMENT ACROSS LIFESPAN</vt:lpwstr>
  </property>
  <property fmtid="{D5CDD505-2E9C-101B-9397-08002B2CF9AE}" pid="51" name="suppress-abstract">
    <vt:lpwstr>False</vt:lpwstr>
  </property>
  <property fmtid="{D5CDD505-2E9C-101B-9397-08002B2CF9AE}" pid="52" name="suppress-affiliation">
    <vt:lpwstr>False</vt:lpwstr>
  </property>
  <property fmtid="{D5CDD505-2E9C-101B-9397-08002B2CF9AE}" pid="53" name="suppress-author">
    <vt:lpwstr>False</vt:lpwstr>
  </property>
  <property fmtid="{D5CDD505-2E9C-101B-9397-08002B2CF9AE}" pid="54" name="suppress-author-note">
    <vt:lpwstr>False</vt:lpwstr>
  </property>
  <property fmtid="{D5CDD505-2E9C-101B-9397-08002B2CF9AE}" pid="55" name="suppress-corresponding-address">
    <vt:lpwstr>False</vt:lpwstr>
  </property>
  <property fmtid="{D5CDD505-2E9C-101B-9397-08002B2CF9AE}" pid="56" name="suppress-corresponding-affiliation-name">
    <vt:lpwstr>False</vt:lpwstr>
  </property>
  <property fmtid="{D5CDD505-2E9C-101B-9397-08002B2CF9AE}" pid="57" name="suppress-corresponding-city">
    <vt:lpwstr>False</vt:lpwstr>
  </property>
  <property fmtid="{D5CDD505-2E9C-101B-9397-08002B2CF9AE}" pid="58" name="suppress-corresponding-country">
    <vt:lpwstr>False</vt:lpwstr>
  </property>
  <property fmtid="{D5CDD505-2E9C-101B-9397-08002B2CF9AE}" pid="59" name="suppress-corresponding-department">
    <vt:lpwstr>False</vt:lpwstr>
  </property>
  <property fmtid="{D5CDD505-2E9C-101B-9397-08002B2CF9AE}" pid="60" name="suppress-corresponding-email">
    <vt:lpwstr>False</vt:lpwstr>
  </property>
  <property fmtid="{D5CDD505-2E9C-101B-9397-08002B2CF9AE}" pid="61" name="suppress-corresponding-group">
    <vt:lpwstr>False</vt:lpwstr>
  </property>
  <property fmtid="{D5CDD505-2E9C-101B-9397-08002B2CF9AE}" pid="62" name="suppress-corresponding-paragraph">
    <vt:lpwstr>False</vt:lpwstr>
  </property>
  <property fmtid="{D5CDD505-2E9C-101B-9397-08002B2CF9AE}" pid="63" name="suppress-corresponding-postal-code">
    <vt:lpwstr>False</vt:lpwstr>
  </property>
  <property fmtid="{D5CDD505-2E9C-101B-9397-08002B2CF9AE}" pid="64" name="suppress-corresponding-region">
    <vt:lpwstr>False</vt:lpwstr>
  </property>
  <property fmtid="{D5CDD505-2E9C-101B-9397-08002B2CF9AE}" pid="65" name="suppress-credit-statement">
    <vt:lpwstr>False</vt:lpwstr>
  </property>
  <property fmtid="{D5CDD505-2E9C-101B-9397-08002B2CF9AE}" pid="66" name="suppress-disclosures-paragraph">
    <vt:lpwstr>False</vt:lpwstr>
  </property>
  <property fmtid="{D5CDD505-2E9C-101B-9397-08002B2CF9AE}" pid="67" name="suppress-impact-statement">
    <vt:lpwstr>False</vt:lpwstr>
  </property>
  <property fmtid="{D5CDD505-2E9C-101B-9397-08002B2CF9AE}" pid="68" name="suppress-keywords">
    <vt:lpwstr>False</vt:lpwstr>
  </property>
  <property fmtid="{D5CDD505-2E9C-101B-9397-08002B2CF9AE}" pid="69" name="suppress-orcid">
    <vt:lpwstr>False</vt:lpwstr>
  </property>
  <property fmtid="{D5CDD505-2E9C-101B-9397-08002B2CF9AE}" pid="70" name="suppress-short-title">
    <vt:lpwstr>False</vt:lpwstr>
  </property>
  <property fmtid="{D5CDD505-2E9C-101B-9397-08002B2CF9AE}" pid="71" name="suppress-status-change-paragraph">
    <vt:lpwstr>False</vt:lpwstr>
  </property>
  <property fmtid="{D5CDD505-2E9C-101B-9397-08002B2CF9AE}" pid="72" name="suppress-supplemental-materials">
    <vt:lpwstr>False</vt:lpwstr>
  </property>
  <property fmtid="{D5CDD505-2E9C-101B-9397-08002B2CF9AE}" pid="73" name="suppress-title">
    <vt:lpwstr>False</vt:lpwstr>
  </property>
  <property fmtid="{D5CDD505-2E9C-101B-9397-08002B2CF9AE}" pid="74" name="suppress-title-introduction">
    <vt:lpwstr>False</vt:lpwstr>
  </property>
  <property fmtid="{D5CDD505-2E9C-101B-9397-08002B2CF9AE}" pid="75" name="suppress-title-page">
    <vt:lpwstr>False</vt:lpwstr>
  </property>
  <property fmtid="{D5CDD505-2E9C-101B-9397-08002B2CF9AE}" pid="76" name="suppress-title-page-number">
    <vt:lpwstr>False</vt:lpwstr>
  </property>
  <property fmtid="{D5CDD505-2E9C-101B-9397-08002B2CF9AE}" pid="77" name="tbl-cap-location">
    <vt:lpwstr>top</vt:lpwstr>
  </property>
  <property fmtid="{D5CDD505-2E9C-101B-9397-08002B2CF9AE}" pid="78" name="template-partials">
    <vt:lpwstr/>
  </property>
  <property fmtid="{D5CDD505-2E9C-101B-9397-08002B2CF9AE}" pid="79" name="theme">
    <vt:lpwstr>cosmo</vt:lpwstr>
  </property>
  <property fmtid="{D5CDD505-2E9C-101B-9397-08002B2CF9AE}" pid="80" name="title-block-style">
    <vt:lpwstr>manuscript</vt:lpwstr>
  </property>
  <property fmtid="{D5CDD505-2E9C-101B-9397-08002B2CF9AE}" pid="81" name="toc-title">
    <vt:lpwstr>Table of contents</vt:lpwstr>
  </property>
  <property fmtid="{D5CDD505-2E9C-101B-9397-08002B2CF9AE}" pid="82" name="unroll-markdown-cells">
    <vt:lpwstr>True</vt:lpwstr>
  </property>
  <property fmtid="{D5CDD505-2E9C-101B-9397-08002B2CF9AE}" pid="83" name="word-count">
    <vt:lpwstr>False</vt:lpwstr>
  </property>
  <property fmtid="{D5CDD505-2E9C-101B-9397-08002B2CF9AE}" pid="84" name="wordn">
    <vt:lpwstr>14187</vt:lpwstr>
  </property>
  <property fmtid="{D5CDD505-2E9C-101B-9397-08002B2CF9AE}" pid="85" name="zerocitations">
    <vt:lpwstr>False</vt:lpwstr>
  </property>
</Properties>
</file>