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r>
        <w:t xml:space="preserve"> </w:t>
      </w:r>
      <w:r>
        <w:t xml:space="preserve">A longitudinal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have potential confounds of change.</w:t>
      </w:r>
    </w:p>
    <w:bookmarkEnd w:id="42"/>
    <w:bookmarkStart w:id="43" w:name="the-problemobstacle"/>
    <w:p>
      <w:pPr>
        <w:pStyle w:val="Heading1"/>
      </w:pPr>
      <w:r>
        <w:t xml:space="preserve">The Problem/Obstacle</w:t>
      </w:r>
    </w:p>
    <w:bookmarkEnd w:id="43"/>
    <w:bookmarkStart w:id="5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We provide examples relating to externalizing psychopathology.</w:t>
      </w:r>
    </w:p>
    <w:bookmarkStart w:id="47" w:name="problems-of-our-constructs"/>
    <w:p>
      <w:pPr>
        <w:pStyle w:val="Heading2"/>
      </w:pPr>
      <w:r>
        <w:t xml:space="preserve">Problems of our Constructs</w:t>
      </w:r>
    </w:p>
    <w:p>
      <w:pPr>
        <w:pStyle w:val="FirstParagraph"/>
      </w:pPr>
      <w:r>
        <w:t xml:space="preserve">The first reason the field has failed to adequately study individuals’ development of psychopathology across the lifespan represents a theory problem—namely, problems with our constructs, and the codifying of those constructs in diagnostic and taxonimc systems.</w:t>
      </w:r>
      <w:r>
        <w:t xml:space="preserve"> </w:t>
      </w:r>
      <w:r>
        <w:t xml:space="preserve">In particular, our theories do not fully specify how constructs manifest behaviorally across the lifespan.</w:t>
      </w:r>
      <w:r>
        <w:t xml:space="preserve"> </w:t>
      </w:r>
      <w:r>
        <w:t xml:space="preserve">Moreover, where such theories do indicate changes in behavioral manifestation across development, diagnostic and taxonomic systems do not incorporate these developmental changes.</w:t>
      </w:r>
    </w:p>
    <w:bookmarkStart w:id="46"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With few exceptions</w:t>
      </w:r>
      <w:r>
        <w:rPr>
          <w:rStyle w:val="FootnoteReference"/>
        </w:rPr>
        <w:footnoteReference w:id="44"/>
      </w:r>
      <w:r>
        <w:t xml:space="preserve">, the diagnostic criteria in the latest versions of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do not differ across development</w:t>
      </w:r>
      <w:r>
        <w:rPr>
          <w:rStyle w:val="FootnoteReference"/>
        </w:rPr>
        <w:footnoteReference w:id="45"/>
      </w:r>
      <w:r>
        <w:t xml:space="preserve">.</w:t>
      </w:r>
    </w:p>
    <w:bookmarkEnd w:id="46"/>
    <w:bookmarkEnd w:id="47"/>
    <w:bookmarkStart w:id="5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48" w:name="X4c94655489fd3e3efea19c584555f75e74709d7"/>
    <w:p>
      <w:pPr>
        <w:pStyle w:val="Heading3"/>
      </w:pPr>
      <w:r>
        <w:t xml:space="preserve">Do Not Adequately Capture Constructs’ Change in Behavioral Manifestation Across Development</w:t>
      </w:r>
    </w:p>
    <w:bookmarkEnd w:id="48"/>
    <w:bookmarkStart w:id="49" w:name="Xdc13d281466e499f4855c3876fd0a0cd5a1ffa2"/>
    <w:p>
      <w:pPr>
        <w:pStyle w:val="Heading3"/>
      </w:pPr>
      <w:r>
        <w:t xml:space="preserve">Do Not Allow Charting Individuals’ Change Over Time When the Construct Changes in Behavioral Manifestation</w:t>
      </w:r>
    </w:p>
    <w:bookmarkEnd w:id="49"/>
    <w:bookmarkStart w:id="50" w:name="X5b5ec984eec4bed4d234d034c192bb08d883361"/>
    <w:p>
      <w:pPr>
        <w:pStyle w:val="Heading3"/>
      </w:pPr>
      <w:r>
        <w:t xml:space="preserve">Not Well-Suited For Capturing the Full Range of Individual Differences</w:t>
      </w:r>
    </w:p>
    <w:bookmarkEnd w:id="50"/>
    <w:bookmarkStart w:id="51" w:name="X7a68df1e46d6eb3875992be7e28db94db9dbc3e"/>
    <w:p>
      <w:pPr>
        <w:pStyle w:val="Heading3"/>
      </w:pPr>
      <w:r>
        <w:t xml:space="preserve">Not Well-Suited for Capturing Individuals’ Change Over Time</w:t>
      </w:r>
    </w:p>
    <w:bookmarkEnd w:id="51"/>
    <w:bookmarkEnd w:id="52"/>
    <w:bookmarkStart w:id="53" w:name="example-externalizing-psychopathology"/>
    <w:p>
      <w:pPr>
        <w:pStyle w:val="Heading2"/>
      </w:pPr>
      <w:r>
        <w:t xml:space="preserve">Example: Externalizing Psychopathology</w:t>
      </w:r>
    </w:p>
    <w:bookmarkEnd w:id="53"/>
    <w:bookmarkEnd w:id="54"/>
    <w:bookmarkStart w:id="55" w:name="X90173f212147643646723f86a6ce6f8ad77bf31"/>
    <w:p>
      <w:pPr>
        <w:pStyle w:val="Heading1"/>
      </w:pPr>
      <w:r>
        <w:t xml:space="preserve">Solution: A Developmental Scaling Framework</w:t>
      </w:r>
    </w:p>
    <w:bookmarkEnd w:id="55"/>
    <w:bookmarkStart w:id="63" w:name="other-key-challenges-to-address"/>
    <w:p>
      <w:pPr>
        <w:pStyle w:val="Heading1"/>
      </w:pPr>
      <w:r>
        <w:t xml:space="preserve">Other Key Challenges to Address</w:t>
      </w:r>
    </w:p>
    <w:bookmarkStart w:id="60" w:name="sec-potential-confounds-of-change"/>
    <w:p>
      <w:pPr>
        <w:pStyle w:val="Heading2"/>
      </w:pPr>
      <w:r>
        <w:t xml:space="preserve">Potential Confounds of Change</w:t>
      </w:r>
    </w:p>
    <w:bookmarkStart w:id="56" w:name="practice-effects"/>
    <w:p>
      <w:pPr>
        <w:pStyle w:val="Heading3"/>
      </w:pPr>
      <w:r>
        <w:t xml:space="preserve">Practice Effects</w:t>
      </w:r>
    </w:p>
    <w:bookmarkEnd w:id="56"/>
    <w:bookmarkStart w:id="57" w:name="period-and-cohort-effects"/>
    <w:p>
      <w:pPr>
        <w:pStyle w:val="Heading3"/>
      </w:pPr>
      <w:r>
        <w:t xml:space="preserve">Period and Cohort Effects</w:t>
      </w:r>
    </w:p>
    <w:bookmarkEnd w:id="57"/>
    <w:bookmarkStart w:id="58" w:name="measurement-error"/>
    <w:p>
      <w:pPr>
        <w:pStyle w:val="Heading3"/>
      </w:pPr>
      <w:r>
        <w:t xml:space="preserve">Measurement Error</w:t>
      </w:r>
    </w:p>
    <w:bookmarkEnd w:id="58"/>
    <w:bookmarkStart w:id="59" w:name="change-in-meaning-of-the-scores"/>
    <w:p>
      <w:pPr>
        <w:pStyle w:val="Heading3"/>
      </w:pPr>
      <w:r>
        <w:t xml:space="preserve">Change in Meaning of the Scores</w:t>
      </w:r>
    </w:p>
    <w:bookmarkEnd w:id="59"/>
    <w:bookmarkEnd w:id="60"/>
    <w:bookmarkStart w:id="61" w:name="factorial-invariance-across-time"/>
    <w:p>
      <w:pPr>
        <w:pStyle w:val="Heading2"/>
      </w:pPr>
      <w:r>
        <w:t xml:space="preserve">Factorial Invariance Across Time</w:t>
      </w:r>
    </w:p>
    <w:bookmarkEnd w:id="61"/>
    <w:bookmarkStart w:id="62" w:name="obsolescence-of-items-and-measures"/>
    <w:p>
      <w:pPr>
        <w:pStyle w:val="Heading2"/>
      </w:pPr>
      <w:r>
        <w:t xml:space="preserve">Obsolescence of Items and Measures</w:t>
      </w:r>
    </w:p>
    <w:bookmarkEnd w:id="62"/>
    <w:bookmarkEnd w:id="63"/>
    <w:bookmarkStart w:id="64"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4"/>
    <w:bookmarkStart w:id="73" w:name="references"/>
    <w:p>
      <w:pPr>
        <w:pStyle w:val="Heading1"/>
      </w:pPr>
      <w:r>
        <w:t xml:space="preserve">References</w:t>
      </w:r>
    </w:p>
    <w:bookmarkStart w:id="72" w:name="refs"/>
    <w:bookmarkStart w:id="6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65"/>
    <w:bookmarkStart w:id="67"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66">
        <w:r>
          <w:rPr>
            <w:rStyle w:val="Hyperlink"/>
          </w:rPr>
          <w:t xml:space="preserve">https://doi.org/10.1176/appi.ajp.2008.08030366</w:t>
        </w:r>
      </w:hyperlink>
    </w:p>
    <w:bookmarkEnd w:id="67"/>
    <w:bookmarkStart w:id="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68">
        <w:r>
          <w:rPr>
            <w:rStyle w:val="Hyperlink"/>
          </w:rPr>
          <w:t xml:space="preserve">https://doi.org/10.1080/15374416.2018.1561296</w:t>
        </w:r>
      </w:hyperlink>
    </w:p>
    <w:bookmarkEnd w:id="69"/>
    <w:bookmarkStart w:id="7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70">
        <w:r>
          <w:rPr>
            <w:rStyle w:val="Hyperlink"/>
          </w:rPr>
          <w:t xml:space="preserve">https://icd.who.int</w:t>
        </w:r>
      </w:hyperlink>
    </w:p>
    <w:bookmarkEnd w:id="71"/>
    <w:bookmarkEnd w:id="72"/>
    <w:p>
      <w:r>
        <w:br w:type="page"/>
      </w:r>
    </w:p>
    <w:bookmarkEnd w:id="73"/>
    <w:p>
      <w:pPr>
        <w:pStyle w:val="Heading1"/>
      </w:pPr>
      <w:r>
        <w:t xml:space="preserve">Appendix A</w:t>
      </w:r>
    </w:p>
    <w:bookmarkStart w:id="74" w:name="apx-a"/>
    <w:p>
      <w:pPr>
        <w:pStyle w:val="Heading1"/>
      </w:pPr>
      <w:r>
        <w:t xml:space="preserve">This Section Is an Appendix</w:t>
      </w:r>
    </w:p>
    <w:p>
      <w:r>
        <w:br w:type="page"/>
      </w:r>
    </w:p>
    <w:bookmarkEnd w:id="74"/>
    <w:p>
      <w:pPr>
        <w:pStyle w:val="Heading1"/>
      </w:pPr>
      <w:r>
        <w:t xml:space="preserve">Appendix B</w:t>
      </w:r>
    </w:p>
    <w:bookmarkStart w:id="75" w:name="apx-b"/>
    <w:p>
      <w:pPr>
        <w:pStyle w:val="Heading1"/>
      </w:pPr>
      <w:r>
        <w:t xml:space="preserve">Another Appendix</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opposition defiant disorder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attention-deficit/hyperactivity disorder, six or more symptoms are required for children and younger adolescents (up to age 16), whereas five ore more sympomts are required for older adolescents and adults (aged 17 or over).</w:t>
      </w:r>
      <w:r>
        <w:t xml:space="preserve"> </w:t>
      </w:r>
      <w:r>
        <w:t xml:space="preserve">However, the symptoms for defining oppositional defiant disorder and attention-deficit/hyperactivity disorder do not differ across development.</w:t>
      </w:r>
    </w:p>
  </w:footnote>
  <w:footnote w:id="4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w:t>
      </w:r>
      <w:hyperlink w:anchor="ref-APA2022">
        <w:r>
          <w:rPr>
            <w:rStyle w:val="Hyperlink"/>
          </w:rPr>
          <w:t xml:space="preserve">American Psychiatric Association, 2022, p. 189</w:t>
        </w:r>
      </w:hyperlink>
      <w:r>
        <w:t xml:space="preserve">)</w:t>
      </w:r>
      <w:r>
        <w:t xml:space="preserve">.</w:t>
      </w:r>
      <w:r>
        <w:t xml:space="preserve"> </w:t>
      </w:r>
      <w:r>
        <w:t xml:space="preserve">in the section on attention-deficit/hyperactivity disorder,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w:t>
      </w:r>
      <w:hyperlink w:anchor="ref-APA2022">
        <w:r>
          <w:rPr>
            <w:rStyle w:val="Hyperlink"/>
          </w:rPr>
          <w:t xml:space="preserve">American Psychiatric Association, 2022, p. 71</w:t>
        </w:r>
      </w:hyperlink>
      <w:r>
        <w:t xml:space="preserve">)</w:t>
      </w:r>
      <w:r>
        <w:t xml:space="preserve">.</w:t>
      </w:r>
      <w:r>
        <w:t xml:space="preserve"> </w:t>
      </w:r>
      <w:r>
        <w:t xml:space="preserve">In the section on conduct disorder,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w:t>
      </w:r>
      <w:hyperlink w:anchor="ref-APA2022">
        <w:r>
          <w:rPr>
            <w:rStyle w:val="Hyperlink"/>
          </w:rPr>
          <w:t xml:space="preserve">American Psychiatric Association, 2022, p. 534</w:t>
        </w:r>
      </w:hyperlink>
      <w:r>
        <w:t xml:space="preserve">)</w:t>
      </w:r>
      <w:r>
        <w:t xml:space="preserve">.</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attention-deficit/hyperactivity disorder, it is noted that</w:t>
      </w:r>
      <w:r>
        <w:t xml:space="preserve"> </w:t>
      </w:r>
      <w:r>
        <w:t xml:space="preserve">“the symptoms have persisted for at least 6 months to a degree that is inconsistent with developmental level”</w:t>
      </w:r>
      <w:r>
        <w:t xml:space="preserve"> </w:t>
      </w:r>
      <w:r>
        <w:t xml:space="preserve">(</w:t>
      </w:r>
      <w:hyperlink w:anchor="ref-APA2022">
        <w:r>
          <w:rPr>
            <w:rStyle w:val="Hyperlink"/>
          </w:rPr>
          <w:t xml:space="preserve">American Psychiatric Association, 2022, p. 68</w:t>
        </w:r>
      </w:hyperlink>
      <w:r>
        <w:t xml:space="preserve">)</w:t>
      </w:r>
      <w:r>
        <w:t xml:space="preserve">.</w:t>
      </w:r>
      <w:r>
        <w:t xml:space="preserve"> </w:t>
      </w:r>
      <w:r>
        <w:t xml:space="preserve">In the diagnosis of oppositional defiant disorder,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w:t>
      </w:r>
      <w:hyperlink w:anchor="ref-APA2022">
        <w:r>
          <w:rPr>
            <w:rStyle w:val="Hyperlink"/>
          </w:rPr>
          <w:t xml:space="preserve">American Psychiatric Association, 2022, p. 522</w:t>
        </w:r>
      </w:hyperlink>
      <w:r>
        <w:t xml:space="preserve">)</w:t>
      </w:r>
      <w:r>
        <w:t xml:space="preserve">.</w:t>
      </w:r>
      <w:r>
        <w:t xml:space="preserve"> </w:t>
      </w:r>
      <w:r>
        <w:t xml:space="preserve">In addition, some disorders require that some symptoms onset before or after a particular age.</w:t>
      </w:r>
      <w:r>
        <w:t xml:space="preserve"> </w:t>
      </w:r>
      <w:r>
        <w:t xml:space="preserve">For instance, in the diagnosis of attention-deficit/hyperactivity disorder, several symptomers must be present prior to age 12.</w:t>
      </w:r>
      <w:r>
        <w:t xml:space="preserve"> </w:t>
      </w:r>
      <w:r>
        <w:t xml:space="preserve">In the diagnosis of conduct disorder,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w:t>
      </w:r>
      <w:r>
        <w:t xml:space="preserve"> </w:t>
      </w:r>
      <w:r>
        <w:t xml:space="preserve">(</w:t>
      </w:r>
      <w:hyperlink w:anchor="ref-APA2022">
        <w:r>
          <w:rPr>
            <w:rStyle w:val="Hyperlink"/>
          </w:rPr>
          <w:t xml:space="preserve">American Psychiatric Association, 2022, p. 531</w:t>
        </w:r>
      </w:hyperlink>
      <w:r>
        <w:t xml:space="preserve">)</w:t>
      </w:r>
      <w:r>
        <w:t xml:space="preserve">.</w:t>
      </w:r>
      <w:r>
        <w:t xml:space="preserve"> </w:t>
      </w:r>
      <w:r>
        <w:t xml:space="preserve">In the diagnosis of antisocial personality disorder,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8" Target="https://doi.org/10.1080/15374416.2018.1561296" TargetMode="External" /><Relationship Type="http://schemas.openxmlformats.org/officeDocument/2006/relationships/hyperlink" Id="rId66" Target="https://doi.org/10.1176/appi.ajp.2008.08030366" TargetMode="External" /><Relationship Type="http://schemas.openxmlformats.org/officeDocument/2006/relationships/hyperlink" Id="rId7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80/15374416.2018.1561296" TargetMode="External" /><Relationship Type="http://schemas.openxmlformats.org/officeDocument/2006/relationships/hyperlink" Id="rId66" Target="https://doi.org/10.1176/appi.ajp.2008.08030366" TargetMode="External" /><Relationship Type="http://schemas.openxmlformats.org/officeDocument/2006/relationships/hyperlink" Id="rId7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2026-05-28T17:38:29Z</dcterms:created>
  <dcterms:modified xsi:type="dcterms:W3CDTF">2026-05-28T17:38:29Z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1485</vt:lpwstr>
  </property>
  <property fmtid="{D5CDD505-2E9C-101B-9397-08002B2CF9AE}" pid="83" name="zerocitations">
    <vt:lpwstr>False</vt:lpwstr>
  </property>
</Properties>
</file>