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53.png" ContentType="image/png"/>
  <Override PartName="/word/media/rId97.jpg" ContentType="image/jpeg"/>
  <Override PartName="/word/media/rId108.png" ContentType="image/png"/>
  <Override PartName="/word/media/rId57.png" ContentType="image/png"/>
  <Override PartName="/word/media/rId115.png" ContentType="image/png"/>
  <Override PartName="/word/media/rId23.svg" ContentType="image/svg+xml"/>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91"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Ages spanned by various longitudinal studies (as of this writing). Studies that are no longer active are in gray. Dotted lines reflect cross-sectional spans. For instance, if a study recruited 5–10-year-old children and followed each child for 20 years, the study would have dotted lines from ages 5–10 and from ages 20–25.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Age 100 represents that the study has followed individuals into their 90s (or until they decease).</w:t>
      </w:r>
    </w:p>
    <w:p>
      <w:pPr>
        <w:pStyle w:val="FigureWithoutNote"/>
      </w:pPr>
      <w:r>
        <w:drawing>
          <wp:inline>
            <wp:extent cx="5943600" cy="4245428"/>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4245428"/>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89"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X27527483be19a1e40231f5316b6bbe44bed7f49"/>
    <w:p>
      <w:pPr>
        <w:pStyle w:val="Heading3"/>
      </w:pPr>
      <w:r>
        <w:t xml:space="preserve">Minnesota Longitudinal Study of Risk and Adaptation</w:t>
      </w:r>
    </w:p>
    <w:p>
      <w:pPr>
        <w:pStyle w:val="FirstParagraph"/>
      </w:pPr>
      <w:r>
        <w:t xml:space="preserve">The Minnesota Longitudinal Study of Risk and Adaptation</w:t>
      </w:r>
      <w:r>
        <w:t xml:space="preserve"> </w:t>
      </w:r>
      <w:r>
        <w:t xml:space="preserve">(</w:t>
      </w:r>
      <w:hyperlink w:anchor="ref-Sroufe2005">
        <w:r>
          <w:rPr>
            <w:rStyle w:val="Hyperlink"/>
          </w:rPr>
          <w:t xml:space="preserve">Sroufe et al., 2005</w:t>
        </w:r>
      </w:hyperlink>
      <w:r>
        <w:t xml:space="preserve">)</w:t>
      </w:r>
      <w:r>
        <w:t xml:space="preserve"> </w:t>
      </w:r>
      <w:r>
        <w:t xml:space="preserve">started in 1975 and recruited 267 first-time mothers, who were experiencing poverty, in Minneapolis, Minnesota.</w:t>
      </w:r>
      <w:r>
        <w:t xml:space="preserve"> </w:t>
      </w:r>
      <w:r>
        <w:t xml:space="preserve">Mothers were recruited during pregnancy, and their newborns have been followed to age 50.</w:t>
      </w:r>
      <w:r>
        <w:t xml:space="preserve"> </w:t>
      </w:r>
      <w:r>
        <w:t xml:space="preserve">Key findings from the study include that insecure attachment in infancy predicts emotion regulation strategies in adulthood</w:t>
      </w:r>
      <w:r>
        <w:t xml:space="preserve"> </w:t>
      </w:r>
      <w:r>
        <w:t xml:space="preserve">(</w:t>
      </w:r>
      <w:hyperlink w:anchor="ref-Girme2021">
        <w:r>
          <w:rPr>
            <w:rStyle w:val="Hyperlink"/>
          </w:rPr>
          <w:t xml:space="preserve">Girme et al., 2021</w:t>
        </w:r>
      </w:hyperlink>
      <w:r>
        <w:t xml:space="preserve">)</w:t>
      </w:r>
      <w:r>
        <w:t xml:space="preserve">, and the impacts of child abuse and neglect on adulthood outcomes</w:t>
      </w:r>
      <w:r>
        <w:t xml:space="preserve"> </w:t>
      </w:r>
      <w:r>
        <w:t xml:space="preserve">(</w:t>
      </w:r>
      <w:hyperlink w:anchor="ref-Nivison2024">
        <w:r>
          <w:rPr>
            <w:rStyle w:val="Hyperlink"/>
          </w:rPr>
          <w:t xml:space="preserve">Nivison et al., 2024</w:t>
        </w:r>
      </w:hyperlink>
      <w:r>
        <w:t xml:space="preserve">)</w:t>
      </w:r>
      <w:r>
        <w:t xml:space="preserve">.</w:t>
      </w:r>
    </w:p>
    <w:bookmarkEnd w:id="77"/>
    <w:bookmarkStart w:id="78" w:name="X5d38f5090146aa96c328cd1048a742c78fb5d33"/>
    <w:p>
      <w:pPr>
        <w:pStyle w:val="Heading3"/>
      </w:pPr>
      <w:r>
        <w:t xml:space="preserve">National Longitudinal Study of Adolescent to Adult Health (Add Health)</w:t>
      </w:r>
    </w:p>
    <w:p>
      <w:pPr>
        <w:pStyle w:val="FirstParagraph"/>
      </w:pPr>
      <w:r>
        <w:t xml:space="preserve">The National Longitudinal Study of Adolescent to Adult Health</w:t>
      </w:r>
      <w:r>
        <w:t xml:space="preserve"> </w:t>
      </w:r>
      <w:r>
        <w:t xml:space="preserve">(Add Health;</w:t>
      </w:r>
      <w:r>
        <w:t xml:space="preserve"> </w:t>
      </w:r>
      <w:hyperlink w:anchor="ref-Harris2019">
        <w:r>
          <w:rPr>
            <w:rStyle w:val="Hyperlink"/>
          </w:rPr>
          <w:t xml:space="preserve">Harris et al., 2019</w:t>
        </w:r>
      </w:hyperlink>
      <w:r>
        <w:t xml:space="preserve">)</w:t>
      </w:r>
      <w:r>
        <w:t xml:space="preserve"> </w:t>
      </w:r>
      <w:r>
        <w:t xml:space="preserve">recruited 20,745 adolescents who were in grades 7–12 (ages 12–19) during the 1994-95 school year from one of 80 high schools or a paired feeder school across the United States.</w:t>
      </w:r>
      <w:r>
        <w:t xml:space="preserve"> </w:t>
      </w:r>
      <w:r>
        <w:t xml:space="preserve">Participants have been followed to ~age 44.</w:t>
      </w:r>
    </w:p>
    <w:bookmarkEnd w:id="78"/>
    <w:bookmarkStart w:id="79"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of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aggression and that part of that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9"/>
    <w:bookmarkStart w:id="80" w:name="framingham-heart-study"/>
    <w:p>
      <w:pPr>
        <w:pStyle w:val="Heading3"/>
      </w:pPr>
      <w:r>
        <w:t xml:space="preserve">Framingham Heart Study</w:t>
      </w:r>
    </w:p>
    <w:p>
      <w:pPr>
        <w:pStyle w:val="FirstParagraph"/>
      </w:pPr>
      <w:r>
        <w:t xml:space="preserve">The Framingham Heart Study started in 1938 and recruited 5,209 adults aged 30–62 years in Framingham, Massachusetts.</w:t>
      </w:r>
      <w:r>
        <w:t xml:space="preserve"> </w:t>
      </w:r>
      <w:r>
        <w:t xml:space="preserve">Participants have been followed to age 106.</w:t>
      </w:r>
    </w:p>
    <w:bookmarkEnd w:id="80"/>
    <w:bookmarkStart w:id="81" w:name="Xa2c3a7363141b93ab938e7137f484be41f273c6"/>
    <w:p>
      <w:pPr>
        <w:pStyle w:val="Heading3"/>
      </w:pPr>
      <w:r>
        <w:t xml:space="preserve">National Longitudinal Survey of Youth 1979 (NLSY79)</w:t>
      </w:r>
    </w:p>
    <w:p>
      <w:pPr>
        <w:pStyle w:val="FirstParagraph"/>
      </w:pPr>
      <w:r>
        <w:t xml:space="preserve">The National Longitudinal Survey of Youth 1979 recruited 12,686 youths aged 14–22 years.</w:t>
      </w:r>
      <w:r>
        <w:t xml:space="preserve"> </w:t>
      </w:r>
      <w:r>
        <w:t xml:space="preserve">The sample was recruited nationwide across the United States and was nationally representative, with a supplemental oversample of Hispanics, economically disadvantaged nonblacks and non-Hispanics, and youths in the military.</w:t>
      </w:r>
      <w:r>
        <w:t xml:space="preserve"> </w:t>
      </w:r>
      <w:r>
        <w:t xml:space="preserve">Participants have been followed to age 66.</w:t>
      </w:r>
    </w:p>
    <w:bookmarkEnd w:id="81"/>
    <w:bookmarkStart w:id="82" w:name="Xcc441f7992fc7d363ef5188fb9199b644ccadbe"/>
    <w:p>
      <w:pPr>
        <w:pStyle w:val="Heading3"/>
      </w:pPr>
      <w:r>
        <w:t xml:space="preserve">NICHD Study of Early Child Care and Youth Development (SECCYD)</w:t>
      </w:r>
    </w:p>
    <w:p>
      <w:pPr>
        <w:pStyle w:val="FirstParagraph"/>
      </w:pPr>
      <w:r>
        <w:t xml:space="preserve">The NICHD Study of Early Child Care and Youth Development (SECCYD) started in 1991 and recruited 1,364 children at birth from hospitals across the United States and followed them to age 26</w:t>
      </w:r>
      <w:r>
        <w:t xml:space="preserve"> </w:t>
      </w:r>
      <w:r>
        <w:t xml:space="preserve">(</w:t>
      </w:r>
      <w:hyperlink w:anchor="ref-Vandell2023">
        <w:r>
          <w:rPr>
            <w:rStyle w:val="Hyperlink"/>
          </w:rPr>
          <w:t xml:space="preserve">Vandell &amp; Gülseven, 2023</w:t>
        </w:r>
      </w:hyperlink>
      <w:r>
        <w:t xml:space="preserve">)</w:t>
      </w:r>
      <w:r>
        <w:t xml:space="preserve">.</w:t>
      </w:r>
    </w:p>
    <w:bookmarkEnd w:id="82"/>
    <w:bookmarkStart w:id="83" w:name="X0ed08f1e0c117c61304ca7f81e3bdb7b8f62aee"/>
    <w:p>
      <w:pPr>
        <w:pStyle w:val="Heading3"/>
      </w:pPr>
      <w:r>
        <w:t xml:space="preserve">Avon Longitudinal Study of Parents and Children (ALSPAC)</w:t>
      </w:r>
    </w:p>
    <w:p>
      <w:pPr>
        <w:pStyle w:val="FirstParagraph"/>
      </w:pPr>
      <w:r>
        <w:t xml:space="preserve">The Avon Longitudinal Study of Parents and Children (ALSPAC) started in 1991 and recruited 15,247 pregnant mothers in Briston, England, and their newborns have been followed to age 32.</w:t>
      </w:r>
    </w:p>
    <w:bookmarkEnd w:id="83"/>
    <w:bookmarkStart w:id="84" w:name="isle-of-wight-study"/>
    <w:p>
      <w:pPr>
        <w:pStyle w:val="Heading3"/>
      </w:pPr>
      <w:r>
        <w:t xml:space="preserve">Isle of Wight Study</w:t>
      </w:r>
    </w:p>
    <w:p>
      <w:pPr>
        <w:pStyle w:val="FirstParagraph"/>
      </w:pPr>
      <w:r>
        <w:t xml:space="preserve">The Isle of Wight Study started in 1964 and recruited ~3,500 children aged 9–11 from the Isle of Wight, England, and followed them to age 45.</w:t>
      </w:r>
    </w:p>
    <w:bookmarkEnd w:id="84"/>
    <w:bookmarkStart w:id="85" w:name="X05375fcbb9f20c4f6e5f8a806983bea213a19ed"/>
    <w:p>
      <w:pPr>
        <w:pStyle w:val="Heading3"/>
      </w:pPr>
      <w:r>
        <w:t xml:space="preserve">National Survey of Health &amp; Development (NSHD)</w:t>
      </w:r>
    </w:p>
    <w:p>
      <w:pPr>
        <w:pStyle w:val="FirstParagraph"/>
      </w:pPr>
      <w:r>
        <w:t xml:space="preserve">The National Survey of Health &amp; Development (NSHD) started in 1946 and recruited 5,362 singleton babies born to married parents in England, Scotland, and Wales, and followed them to age 80.</w:t>
      </w:r>
    </w:p>
    <w:bookmarkEnd w:id="85"/>
    <w:bookmarkStart w:id="86" w:name="national-child-development-study-ncds"/>
    <w:p>
      <w:pPr>
        <w:pStyle w:val="Heading3"/>
      </w:pPr>
      <w:r>
        <w:t xml:space="preserve">National Child Development Study (NCDS)</w:t>
      </w:r>
    </w:p>
    <w:p>
      <w:pPr>
        <w:pStyle w:val="FirstParagraph"/>
      </w:pPr>
      <w:r>
        <w:t xml:space="preserve">The National Child Development Study (NCDS) started in 1958 and recruited 17,415 babies born in England, Scotland, and Wales, and followed them to age 68.</w:t>
      </w:r>
    </w:p>
    <w:bookmarkEnd w:id="86"/>
    <w:bookmarkStart w:id="87" w:name="british-cohort-study-bcs70"/>
    <w:p>
      <w:pPr>
        <w:pStyle w:val="Heading3"/>
      </w:pPr>
      <w:r>
        <w:t xml:space="preserve">1970 British Cohort Study (BCS70)</w:t>
      </w:r>
    </w:p>
    <w:p>
      <w:pPr>
        <w:pStyle w:val="FirstParagraph"/>
      </w:pPr>
      <w:r>
        <w:t xml:space="preserve">The 1970 British Cohort Study (BCS70) started in 1970 and recruited 17,287 babies born in England, Scotland, and Wales, and followed them to age 56.</w:t>
      </w:r>
    </w:p>
    <w:bookmarkEnd w:id="87"/>
    <w:bookmarkStart w:id="88" w:name="millennium-cohort-study-mcs"/>
    <w:p>
      <w:pPr>
        <w:pStyle w:val="Heading3"/>
      </w:pPr>
      <w:r>
        <w:t xml:space="preserve">Millennium Cohort Study (MCS)</w:t>
      </w:r>
    </w:p>
    <w:p>
      <w:pPr>
        <w:pStyle w:val="FirstParagraph"/>
      </w:pPr>
      <w:r>
        <w:t xml:space="preserve">The Millennium Cohort Study (MCS) started in 2000 and recruited 18,827 babies born across England, Scotland, Wales and Northern Ireland, and followed them to age 23.</w:t>
      </w:r>
    </w:p>
    <w:bookmarkEnd w:id="88"/>
    <w:bookmarkEnd w:id="89"/>
    <w:bookmarkStart w:id="90"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a longitudinal design.</w:t>
      </w:r>
      <w:r>
        <w:t xml:space="preserve"> </w:t>
      </w:r>
      <w:r>
        <w:t xml:space="preserve">Some of these studies have even followed children of those children who were initially recruited.</w:t>
      </w:r>
      <w:r>
        <w:t xml:space="preserve"> </w:t>
      </w:r>
      <w:r>
        <w:t xml:space="preserve">However, relatively few longitudinal studies attempt to assess people’s change in a given construct over a long period.</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externalizing behavior from ages 7–26.</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w:t>
      </w:r>
      <w:r>
        <w:t xml:space="preserve"> </w:t>
      </w: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90"/>
    <w:bookmarkEnd w:id="91"/>
    <w:bookmarkStart w:id="107"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 (</w:t>
      </w:r>
      <w:hyperlink w:anchor="ref-Moffitt1993">
        <w:r>
          <w:rPr>
            <w:rStyle w:val="Hyperlink"/>
          </w:rPr>
          <w:t xml:space="preserve">1993</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 </w:t>
      </w:r>
      <w:r>
        <w:t xml:space="preserve">(p. 679).</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
        <w:r>
          <w:rPr>
            <w:rStyle w:val="Hyperlink"/>
          </w:rPr>
          <w:t xml:space="preserve">Petersen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p>
      <w:pPr>
        <w:pStyle w:val="BodyText"/>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05"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1"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w:t>
      </w:r>
      <w:r>
        <w:t xml:space="preserve"> </w:t>
      </w:r>
      <w:r>
        <w:t xml:space="preserve">Moffitt (</w:t>
      </w:r>
      <w:hyperlink w:anchor="ref-Moffitt1993">
        <w:r>
          <w:rPr>
            <w:rStyle w:val="Hyperlink"/>
          </w:rPr>
          <w:t xml:space="preserve">1993</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r>
        <w:t xml:space="preserve"> </w:t>
      </w:r>
      <w:r>
        <w:t xml:space="preserve">(p. 694).</w:t>
      </w:r>
    </w:p>
    <w:p>
      <w:pPr>
        <w:pStyle w:val="BodyText"/>
      </w:pPr>
      <w:r>
        <w:t xml:space="preserve">However, measures show insufficient differences in which items are assessed at which ages to account for heterotypic continuity.</w:t>
      </w:r>
      <w:r>
        <w:t xml:space="preserve"> </w:t>
      </w:r>
      <w:r>
        <w:t xml:space="preserve">For example, the same version of the Child Behavior Checklist (CBCL) spans ages 6–18.</w:t>
      </w:r>
      <w:r>
        <w:t xml:space="preserve"> </w:t>
      </w:r>
      <w:r>
        <w:t xml:space="preserve">Considerable development occurs during that span.</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4</w:t>
        </w:r>
      </w:hyperlink>
      <w:r>
        <w:t xml:space="preserve">.</w:t>
      </w:r>
      <w:r>
        <w:t xml:space="preserve"> </w:t>
      </w:r>
      <w:r>
        <w:t xml:space="preserve">The</w:t>
      </w:r>
      <w:r>
        <w:t xml:space="preserve"> </w:t>
      </w:r>
      <w:r>
        <w:t xml:space="preserve">“common items”</w:t>
      </w:r>
      <w:r>
        <w:t xml:space="preserve"> </w:t>
      </w:r>
      <w:r>
        <w:t xml:space="preserve">approach removes items that are age specific.</w:t>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 (2008, p. 676) 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 (2013, p. 84) 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0" w:name="fig-approachesToLongitudinalAssessment"/>
    <w:p>
      <w:pPr>
        <w:pStyle w:val="FigureTitle"/>
      </w:pPr>
      <w:r>
        <w:t xml:space="preserve">Figure 4</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et al. (</w:t>
      </w:r>
      <w:hyperlink w:anchor="ref-Petersen2026">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r>
        <w:t xml:space="preserve">)</w:t>
      </w:r>
    </w:p>
    <w:p>
      <w:pPr>
        <w:pStyle w:val="FigureWithoutNote"/>
      </w:pPr>
      <w:r>
        <w:drawing>
          <wp:inline>
            <wp:extent cx="5943600" cy="2351289"/>
            <wp:effectExtent b="0" l="0" r="0" t="0"/>
            <wp:docPr descr="" title="" id="98" name="Picture"/>
            <a:graphic>
              <a:graphicData uri="http://schemas.openxmlformats.org/drawingml/2006/picture">
                <pic:pic>
                  <pic:nvPicPr>
                    <pic:cNvPr descr="Figures/approachesToLongitudinalAssessment.jpg" id="99" name="Picture"/>
                    <pic:cNvPicPr>
                      <a:picLocks noChangeArrowheads="1" noChangeAspect="1"/>
                    </pic:cNvPicPr>
                  </pic:nvPicPr>
                  <pic:blipFill>
                    <a:blip r:embed="rId97"/>
                    <a:stretch>
                      <a:fillRect/>
                    </a:stretch>
                  </pic:blipFill>
                  <pic:spPr bwMode="auto">
                    <a:xfrm>
                      <a:off x="0" y="0"/>
                      <a:ext cx="5943600" cy="2351289"/>
                    </a:xfrm>
                    <a:prstGeom prst="rect">
                      <a:avLst/>
                    </a:prstGeom>
                    <a:noFill/>
                    <a:ln w="9525">
                      <a:noFill/>
                      <a:headEnd/>
                      <a:tailEnd/>
                    </a:ln>
                  </pic:spPr>
                </pic:pic>
              </a:graphicData>
            </a:graphic>
          </wp:inline>
        </w:drawing>
      </w:r>
    </w:p>
    <w:bookmarkEnd w:id="100"/>
    <w:p>
      <w:pPr>
        <w:pStyle w:val="AfterWithoutNote"/>
      </w:pPr>
      <w:r>
        <w:t xml:space="preserve">Forcing use of the same measure across time naturally limits the ages a study can span, which prevents charting wider age spans.</w:t>
      </w:r>
      <w:r>
        <w:t xml:space="preserve"> </w:t>
      </w:r>
      <w:r>
        <w:t xml:space="preserve"> </w:t>
      </w:r>
      <w:r>
        <w:t xml:space="preserve"> </w:t>
      </w: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r>
        <w:t xml:space="preserve"> </w:t>
      </w:r>
      <w:r>
        <w:t xml:space="preserve">Due to these problems, both simulation</w:t>
      </w:r>
      <w:r>
        <w:t xml:space="preserve"> </w:t>
      </w:r>
      <w:r>
        <w:t xml:space="preserve">(</w:t>
      </w:r>
      <w:hyperlink w:anchor="ref-Petersen2021">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
        <w:r>
          <w:rPr>
            <w:rStyle w:val="Hyperlink"/>
          </w:rPr>
          <w:t xml:space="preserve">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bookmarkEnd w:id="101"/>
    <w:bookmarkStart w:id="102"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p>
    <w:bookmarkEnd w:id="102"/>
    <w:bookmarkStart w:id="103"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 and insensitivity to change</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w:t>
      </w:r>
      <w:r>
        <w:t xml:space="preserve"> </w:t>
      </w:r>
      <w:r>
        <w:t xml:space="preserve">Moreover, Likert-type scales tend to focus on frequency of misbehavior and ignore intensity and severity.</w:t>
      </w:r>
    </w:p>
    <w:p>
      <w:pPr>
        <w:pStyle w:val="BodyText"/>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p>
    <w:bookmarkEnd w:id="103"/>
    <w:bookmarkStart w:id="104"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p>
    <w:bookmarkEnd w:id="104"/>
    <w:bookmarkEnd w:id="105"/>
    <w:bookmarkStart w:id="106" w:name="example-externalizing-psychopathology"/>
    <w:p>
      <w:pPr>
        <w:pStyle w:val="Heading2"/>
      </w:pPr>
      <w:r>
        <w:t xml:space="preserve">Example: Externalizing Psychopathology</w:t>
      </w:r>
    </w:p>
    <w:bookmarkEnd w:id="106"/>
    <w:bookmarkEnd w:id="107"/>
    <w:bookmarkStart w:id="112" w:name="X90173f212147643646723f86a6ce6f8ad77bf31"/>
    <w:p>
      <w:pPr>
        <w:pStyle w:val="Heading1"/>
      </w:pPr>
      <w:r>
        <w:t xml:space="preserve">Solution: A Developmental Scaling Framework</w:t>
      </w:r>
    </w:p>
    <w:p>
      <w:pPr>
        <w:pStyle w:val="FirstParagraph"/>
      </w:pPr>
      <w:r>
        <w:t xml:space="preserve">A conceptual depiction of an example construct-valid item design spanning infancy to adulthood is in</w:t>
      </w:r>
      <w:r>
        <w:t xml:space="preserve"> </w:t>
      </w:r>
      <w:hyperlink w:anchor="fig-constructValidItemDesign">
        <w:r>
          <w:rPr>
            <w:rStyle w:val="Hyperlink"/>
          </w:rPr>
          <w:t xml:space="preserve">Figure 5</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5</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1" w:name="fig-constructValidItemDesign"/>
    <w:p>
      <w:pPr>
        <w:pStyle w:val="FigureTitle"/>
      </w:pPr>
      <w:r>
        <w:t xml:space="preserve">Figure 5</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common items between adjacent ages for linking scores across ages.</w:t>
      </w:r>
    </w:p>
    <w:p>
      <w:pPr>
        <w:pStyle w:val="FigureWithoutNote"/>
      </w:pPr>
      <w:r>
        <w:drawing>
          <wp:inline>
            <wp:extent cx="5877848" cy="3260034"/>
            <wp:effectExtent b="0" l="0" r="0" t="0"/>
            <wp:docPr descr="" title="" id="109" name="Picture"/>
            <a:graphic>
              <a:graphicData uri="http://schemas.openxmlformats.org/drawingml/2006/picture">
                <pic:pic>
                  <pic:nvPicPr>
                    <pic:cNvPr descr="Figures/constructValidItemDesign.png" id="110" name="Picture"/>
                    <pic:cNvPicPr>
                      <a:picLocks noChangeArrowheads="1" noChangeAspect="1"/>
                    </pic:cNvPicPr>
                  </pic:nvPicPr>
                  <pic:blipFill>
                    <a:blip r:embed="rId108"/>
                    <a:stretch>
                      <a:fillRect/>
                    </a:stretch>
                  </pic:blipFill>
                  <pic:spPr bwMode="auto">
                    <a:xfrm>
                      <a:off x="0" y="0"/>
                      <a:ext cx="5877848" cy="3260034"/>
                    </a:xfrm>
                    <a:prstGeom prst="rect">
                      <a:avLst/>
                    </a:prstGeom>
                    <a:noFill/>
                    <a:ln w="9525">
                      <a:noFill/>
                      <a:headEnd/>
                      <a:tailEnd/>
                    </a:ln>
                  </pic:spPr>
                </pic:pic>
              </a:graphicData>
            </a:graphic>
          </wp:inline>
        </w:drawing>
      </w:r>
    </w:p>
    <w:bookmarkEnd w:id="111"/>
    <w:bookmarkEnd w:id="112"/>
    <w:bookmarkStart w:id="126" w:name="other-key-challenges-to-address"/>
    <w:p>
      <w:pPr>
        <w:pStyle w:val="Heading1"/>
      </w:pPr>
      <w:r>
        <w:t xml:space="preserve">Other Key Challenges to Address</w:t>
      </w:r>
    </w:p>
    <w:bookmarkStart w:id="122" w:name="sec-potential-confounds-of-change"/>
    <w:p>
      <w:pPr>
        <w:pStyle w:val="Heading2"/>
      </w:pPr>
      <w:r>
        <w:t xml:space="preserve">Potential Confounds of Change</w:t>
      </w:r>
    </w:p>
    <w:bookmarkStart w:id="113" w:name="practiceretest-effects"/>
    <w:p>
      <w:pPr>
        <w:pStyle w:val="Heading3"/>
      </w:pPr>
      <w:r>
        <w:t xml:space="preserve">Practice/Retest Effects</w:t>
      </w:r>
    </w:p>
    <w:bookmarkEnd w:id="113"/>
    <w:bookmarkStart w:id="119"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6</w:t>
        </w:r>
      </w:hyperlink>
      <w:r>
        <w:t xml:space="preserve">.</w:t>
      </w:r>
    </w:p>
    <w:bookmarkStart w:id="118" w:name="fig-longitudinalDesigns"/>
    <w:p>
      <w:pPr>
        <w:pStyle w:val="FigureTitle"/>
      </w:pPr>
      <w:r>
        <w:t xml:space="preserve">Figure 6</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14">
        <w:r>
          <w:rPr>
            <w:rStyle w:val="Hyperlink"/>
          </w:rPr>
          <w:t xml:space="preserve">https://doi.org/10.25820/work.007199</w:t>
        </w:r>
      </w:hyperlink>
      <w:r>
        <w:t xml:space="preserve">)</w:t>
      </w:r>
    </w:p>
    <w:p>
      <w:pPr>
        <w:pStyle w:val="FigureWithoutNote"/>
      </w:pPr>
      <w:r>
        <w:drawing>
          <wp:inline>
            <wp:extent cx="5943600" cy="6619717"/>
            <wp:effectExtent b="0" l="0" r="0" t="0"/>
            <wp:docPr descr="" title="" id="116" name="Picture"/>
            <a:graphic>
              <a:graphicData uri="http://schemas.openxmlformats.org/drawingml/2006/picture">
                <pic:pic>
                  <pic:nvPicPr>
                    <pic:cNvPr descr="Figures/longitudinalDesigns.png" id="117" name="Picture"/>
                    <pic:cNvPicPr>
                      <a:picLocks noChangeArrowheads="1" noChangeAspect="1"/>
                    </pic:cNvPicPr>
                  </pic:nvPicPr>
                  <pic:blipFill>
                    <a:blip r:embed="rId115"/>
                    <a:stretch>
                      <a:fillRect/>
                    </a:stretch>
                  </pic:blipFill>
                  <pic:spPr bwMode="auto">
                    <a:xfrm>
                      <a:off x="0" y="0"/>
                      <a:ext cx="5943600" cy="6619717"/>
                    </a:xfrm>
                    <a:prstGeom prst="rect">
                      <a:avLst/>
                    </a:prstGeom>
                    <a:noFill/>
                    <a:ln w="9525">
                      <a:noFill/>
                      <a:headEnd/>
                      <a:tailEnd/>
                    </a:ln>
                  </pic:spPr>
                </pic:pic>
              </a:graphicData>
            </a:graphic>
          </wp:inline>
        </w:drawing>
      </w:r>
    </w:p>
    <w:bookmarkEnd w:id="118"/>
    <w:bookmarkEnd w:id="119"/>
    <w:bookmarkStart w:id="120" w:name="measurement-error"/>
    <w:p>
      <w:pPr>
        <w:pStyle w:val="Heading3"/>
      </w:pPr>
      <w:r>
        <w:t xml:space="preserve">Measurement Error</w:t>
      </w:r>
    </w:p>
    <w:bookmarkEnd w:id="120"/>
    <w:bookmarkStart w:id="121" w:name="change-in-meaning-of-the-scores"/>
    <w:p>
      <w:pPr>
        <w:pStyle w:val="Heading3"/>
      </w:pPr>
      <w:r>
        <w:t xml:space="preserve">Change in Meaning of the Scores</w:t>
      </w:r>
    </w:p>
    <w:bookmarkEnd w:id="121"/>
    <w:bookmarkEnd w:id="122"/>
    <w:bookmarkStart w:id="123" w:name="factorial-invariance-across-time"/>
    <w:p>
      <w:pPr>
        <w:pStyle w:val="Heading2"/>
      </w:pPr>
      <w:r>
        <w:t xml:space="preserve">Factorial Invariance Across Time</w:t>
      </w:r>
    </w:p>
    <w:bookmarkEnd w:id="123"/>
    <w:bookmarkStart w:id="124" w:name="integration-across-multiple-sources"/>
    <w:p>
      <w:pPr>
        <w:pStyle w:val="Heading2"/>
      </w:pPr>
      <w:r>
        <w:t xml:space="preserve">Integration Across Multiple Sources</w:t>
      </w:r>
    </w:p>
    <w:bookmarkEnd w:id="124"/>
    <w:bookmarkStart w:id="125" w:name="obsolescence-of-items-and-measures"/>
    <w:p>
      <w:pPr>
        <w:pStyle w:val="Heading2"/>
      </w:pPr>
      <w:r>
        <w:t xml:space="preserve">Obsolescence of Items and Measures</w:t>
      </w:r>
    </w:p>
    <w:bookmarkEnd w:id="125"/>
    <w:bookmarkEnd w:id="126"/>
    <w:bookmarkStart w:id="127"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27"/>
    <w:bookmarkStart w:id="291" w:name="references"/>
    <w:p>
      <w:pPr>
        <w:pStyle w:val="Heading1"/>
      </w:pPr>
      <w:r>
        <w:t xml:space="preserve">References</w:t>
      </w:r>
    </w:p>
    <w:bookmarkStart w:id="290" w:name="refs"/>
    <w:bookmarkStart w:id="128"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28"/>
    <w:bookmarkStart w:id="129"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29"/>
    <w:bookmarkStart w:id="130"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30"/>
    <w:bookmarkStart w:id="132"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31">
        <w:r>
          <w:rPr>
            <w:rStyle w:val="Hyperlink"/>
          </w:rPr>
          <w:t xml:space="preserve">https://doi.org/10.1002/jcv2.70043</w:t>
        </w:r>
      </w:hyperlink>
    </w:p>
    <w:bookmarkEnd w:id="132"/>
    <w:bookmarkStart w:id="134"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33">
        <w:r>
          <w:rPr>
            <w:rStyle w:val="Hyperlink"/>
          </w:rPr>
          <w:t xml:space="preserve">https://doi.org/10.1016/j.jpsychires.2013.08.016</w:t>
        </w:r>
      </w:hyperlink>
    </w:p>
    <w:bookmarkEnd w:id="134"/>
    <w:bookmarkStart w:id="136"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35">
        <w:r>
          <w:rPr>
            <w:rStyle w:val="Hyperlink"/>
          </w:rPr>
          <w:t xml:space="preserve">https://doi.org/10.1016/j.jaac.2017.05.019</w:t>
        </w:r>
      </w:hyperlink>
    </w:p>
    <w:bookmarkEnd w:id="136"/>
    <w:bookmarkStart w:id="137"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37"/>
    <w:bookmarkStart w:id="138"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38"/>
    <w:bookmarkStart w:id="140"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39">
        <w:r>
          <w:rPr>
            <w:rStyle w:val="Hyperlink"/>
          </w:rPr>
          <w:t xml:space="preserve">https://doi.org/10.1007/s10802-012-9669-9</w:t>
        </w:r>
      </w:hyperlink>
    </w:p>
    <w:bookmarkEnd w:id="140"/>
    <w:bookmarkStart w:id="142"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41">
        <w:r>
          <w:rPr>
            <w:rStyle w:val="Hyperlink"/>
          </w:rPr>
          <w:t xml:space="preserve">https://doi.org/10.1016/j.cpr.2012.02.006</w:t>
        </w:r>
      </w:hyperlink>
    </w:p>
    <w:bookmarkEnd w:id="142"/>
    <w:bookmarkStart w:id="144"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43">
        <w:r>
          <w:rPr>
            <w:rStyle w:val="Hyperlink"/>
          </w:rPr>
          <w:t xml:space="preserve">https://doi.org/10.1001/jamanetworkopen.2020.3221</w:t>
        </w:r>
      </w:hyperlink>
    </w:p>
    <w:bookmarkEnd w:id="144"/>
    <w:bookmarkStart w:id="146"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45">
        <w:r>
          <w:rPr>
            <w:rStyle w:val="Hyperlink"/>
          </w:rPr>
          <w:t xml:space="preserve">https://doi.org/10.1177/2167702613497473</w:t>
        </w:r>
      </w:hyperlink>
    </w:p>
    <w:bookmarkEnd w:id="146"/>
    <w:bookmarkStart w:id="14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47"/>
    <w:bookmarkStart w:id="14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48">
        <w:r>
          <w:rPr>
            <w:rStyle w:val="Hyperlink"/>
          </w:rPr>
          <w:t xml:space="preserve">https://doi.org/10.1007/s40865-015-0012-3</w:t>
        </w:r>
      </w:hyperlink>
    </w:p>
    <w:bookmarkEnd w:id="149"/>
    <w:bookmarkStart w:id="150"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50"/>
    <w:bookmarkStart w:id="152"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51">
        <w:r>
          <w:rPr>
            <w:rStyle w:val="Hyperlink"/>
          </w:rPr>
          <w:t xml:space="preserve">https://doi.org/10.1037/0022-006X.70.1.6</w:t>
        </w:r>
      </w:hyperlink>
    </w:p>
    <w:bookmarkEnd w:id="152"/>
    <w:bookmarkStart w:id="154"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53">
        <w:r>
          <w:rPr>
            <w:rStyle w:val="Hyperlink"/>
          </w:rPr>
          <w:t xml:space="preserve">https://doi.org/10.1111/j.1469-7610.2011.02511.x</w:t>
        </w:r>
      </w:hyperlink>
    </w:p>
    <w:bookmarkEnd w:id="154"/>
    <w:bookmarkStart w:id="156"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55">
        <w:r>
          <w:rPr>
            <w:rStyle w:val="Hyperlink"/>
          </w:rPr>
          <w:t xml:space="preserve">https://doi.org/10.1037/abn0001084</w:t>
        </w:r>
      </w:hyperlink>
    </w:p>
    <w:bookmarkEnd w:id="156"/>
    <w:bookmarkStart w:id="158"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57">
        <w:r>
          <w:rPr>
            <w:rStyle w:val="Hyperlink"/>
          </w:rPr>
          <w:t xml:space="preserve">https://doi.org/10.1126/science.2270481</w:t>
        </w:r>
      </w:hyperlink>
    </w:p>
    <w:bookmarkEnd w:id="158"/>
    <w:bookmarkStart w:id="160"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59">
        <w:r>
          <w:rPr>
            <w:rStyle w:val="Hyperlink"/>
          </w:rPr>
          <w:t xml:space="preserve">https://doi.org/10.1111/jcpp.12102</w:t>
        </w:r>
      </w:hyperlink>
    </w:p>
    <w:bookmarkEnd w:id="160"/>
    <w:bookmarkStart w:id="162"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61">
        <w:r>
          <w:rPr>
            <w:rStyle w:val="Hyperlink"/>
          </w:rPr>
          <w:t xml:space="preserve">https://doi.org/10.1017/S0954579416000651</w:t>
        </w:r>
      </w:hyperlink>
    </w:p>
    <w:bookmarkEnd w:id="162"/>
    <w:bookmarkStart w:id="164" w:name="ref-Girme2021"/>
    <w:p>
      <w:pPr>
        <w:pStyle w:val="Bibliography"/>
      </w:pPr>
      <w:r>
        <w:t xml:space="preserve">Girme, Y. U., Jones, R. E., Fleck, C., Simpson, J. A., &amp; Overall, N. C. (2021). Infants’ attachment insecurity predicts attachment-relevant emotion regulation strategies in adulthood.</w:t>
      </w:r>
      <w:r>
        <w:t xml:space="preserve"> </w:t>
      </w:r>
      <w:r>
        <w:rPr>
          <w:i/>
          <w:iCs/>
        </w:rPr>
        <w:t xml:space="preserve">Emotion</w:t>
      </w:r>
      <w:r>
        <w:t xml:space="preserve">,</w:t>
      </w:r>
      <w:r>
        <w:t xml:space="preserve"> </w:t>
      </w:r>
      <w:r>
        <w:rPr>
          <w:i/>
          <w:iCs/>
        </w:rPr>
        <w:t xml:space="preserve">21</w:t>
      </w:r>
      <w:r>
        <w:t xml:space="preserve">(2), 260–272.</w:t>
      </w:r>
      <w:r>
        <w:t xml:space="preserve"> </w:t>
      </w:r>
      <w:hyperlink r:id="rId163">
        <w:r>
          <w:rPr>
            <w:rStyle w:val="Hyperlink"/>
          </w:rPr>
          <w:t xml:space="preserve">https://doi.org/10.1037/emo0000721</w:t>
        </w:r>
      </w:hyperlink>
    </w:p>
    <w:bookmarkEnd w:id="164"/>
    <w:bookmarkStart w:id="165"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65"/>
    <w:bookmarkStart w:id="167"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166">
        <w:r>
          <w:rPr>
            <w:rStyle w:val="Hyperlink"/>
          </w:rPr>
          <w:t xml:space="preserve">https://doi.org/10.1007/s00234-020-02562-1</w:t>
        </w:r>
      </w:hyperlink>
    </w:p>
    <w:bookmarkEnd w:id="167"/>
    <w:bookmarkStart w:id="169" w:name="ref-Harris2019"/>
    <w:p>
      <w:pPr>
        <w:pStyle w:val="Bibliography"/>
      </w:pPr>
      <w:r>
        <w:t xml:space="preserve">Harris, K. M., Halpern, C. T., Whitsel, E. A., Hussey, J. M., Killeya-Jones, L. A., Tabor, J., &amp; Dean, S. C. (2019). Cohort profile: The</w:t>
      </w:r>
      <w:r>
        <w:t xml:space="preserve"> </w:t>
      </w:r>
      <w:r>
        <w:t xml:space="preserve">National Longitudinal Study of Adolescent to Adult Health</w:t>
      </w:r>
      <w:r>
        <w:t xml:space="preserve"> </w:t>
      </w:r>
      <w:r>
        <w:t xml:space="preserve">(</w:t>
      </w:r>
      <w:r>
        <w:t xml:space="preserve">Add Health</w:t>
      </w:r>
      <w:r>
        <w:t xml:space="preserve">).</w:t>
      </w:r>
      <w:r>
        <w:t xml:space="preserve"> </w:t>
      </w:r>
      <w:r>
        <w:rPr>
          <w:i/>
          <w:iCs/>
        </w:rPr>
        <w:t xml:space="preserve">International Journal of Epidemiology</w:t>
      </w:r>
      <w:r>
        <w:t xml:space="preserve">,</w:t>
      </w:r>
      <w:r>
        <w:t xml:space="preserve"> </w:t>
      </w:r>
      <w:r>
        <w:rPr>
          <w:i/>
          <w:iCs/>
        </w:rPr>
        <w:t xml:space="preserve">48</w:t>
      </w:r>
      <w:r>
        <w:t xml:space="preserve">(5), 1415–1415k.</w:t>
      </w:r>
      <w:r>
        <w:t xml:space="preserve"> </w:t>
      </w:r>
      <w:hyperlink r:id="rId168">
        <w:r>
          <w:rPr>
            <w:rStyle w:val="Hyperlink"/>
          </w:rPr>
          <w:t xml:space="preserve">https://doi.org/10.1093/ije/dyz115</w:t>
        </w:r>
      </w:hyperlink>
    </w:p>
    <w:bookmarkEnd w:id="169"/>
    <w:bookmarkStart w:id="17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170">
        <w:r>
          <w:rPr>
            <w:rStyle w:val="Hyperlink"/>
          </w:rPr>
          <w:t xml:space="preserve">https://doi.org/10.1017/S0033291711001966</w:t>
        </w:r>
      </w:hyperlink>
    </w:p>
    <w:bookmarkEnd w:id="171"/>
    <w:bookmarkStart w:id="17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172">
        <w:r>
          <w:rPr>
            <w:rStyle w:val="Hyperlink"/>
          </w:rPr>
          <w:t xml:space="preserve">https://doi.org/10.1017/S003329172000183X</w:t>
        </w:r>
      </w:hyperlink>
    </w:p>
    <w:bookmarkEnd w:id="173"/>
    <w:bookmarkStart w:id="17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174">
        <w:r>
          <w:rPr>
            <w:rStyle w:val="Hyperlink"/>
          </w:rPr>
          <w:t xml:space="preserve">https://doi.org/10.1176/appi.ajp.2008.08030366</w:t>
        </w:r>
      </w:hyperlink>
    </w:p>
    <w:bookmarkEnd w:id="175"/>
    <w:bookmarkStart w:id="17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176">
        <w:r>
          <w:rPr>
            <w:rStyle w:val="Hyperlink"/>
          </w:rPr>
          <w:t xml:space="preserve">https://doi.org/10.1007/s10826-018-1272-4</w:t>
        </w:r>
      </w:hyperlink>
    </w:p>
    <w:bookmarkEnd w:id="177"/>
    <w:bookmarkStart w:id="17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178"/>
    <w:bookmarkStart w:id="179" w:name="ref-Kagan1971"/>
    <w:p>
      <w:pPr>
        <w:pStyle w:val="Bibliography"/>
      </w:pPr>
      <w:r>
        <w:t xml:space="preserve">Kagan, J. (1971).</w:t>
      </w:r>
      <w:r>
        <w:t xml:space="preserve"> </w:t>
      </w:r>
      <w:r>
        <w:rPr>
          <w:i/>
          <w:iCs/>
        </w:rPr>
        <w:t xml:space="preserve">Change and continuity in infancy</w:t>
      </w:r>
      <w:r>
        <w:t xml:space="preserve">. Wiley.</w:t>
      </w:r>
    </w:p>
    <w:bookmarkEnd w:id="179"/>
    <w:bookmarkStart w:id="18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180"/>
    <w:bookmarkStart w:id="18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181"/>
    <w:bookmarkStart w:id="18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182">
        <w:r>
          <w:rPr>
            <w:rStyle w:val="Hyperlink"/>
          </w:rPr>
          <w:t xml:space="preserve">https://doi.org/10.1007/s10802-017-0383-5</w:t>
        </w:r>
      </w:hyperlink>
    </w:p>
    <w:bookmarkEnd w:id="183"/>
    <w:bookmarkStart w:id="18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184">
        <w:r>
          <w:rPr>
            <w:rStyle w:val="Hyperlink"/>
          </w:rPr>
          <w:t xml:space="preserve">https://doi.org/10.1007/s10802-021-00885-y</w:t>
        </w:r>
      </w:hyperlink>
    </w:p>
    <w:bookmarkEnd w:id="185"/>
    <w:bookmarkStart w:id="187"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186">
        <w:r>
          <w:rPr>
            <w:rStyle w:val="Hyperlink"/>
          </w:rPr>
          <w:t xml:space="preserve">https://doi.org/10.1037/abn0000258</w:t>
        </w:r>
      </w:hyperlink>
    </w:p>
    <w:bookmarkEnd w:id="187"/>
    <w:bookmarkStart w:id="189"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188">
        <w:r>
          <w:rPr>
            <w:rStyle w:val="Hyperlink"/>
          </w:rPr>
          <w:t xml:space="preserve">https://doi.org/10.1111/psyp.12551</w:t>
        </w:r>
      </w:hyperlink>
    </w:p>
    <w:bookmarkEnd w:id="189"/>
    <w:bookmarkStart w:id="191"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190">
        <w:r>
          <w:rPr>
            <w:rStyle w:val="Hyperlink"/>
          </w:rPr>
          <w:t xml:space="preserve">https://doi.org/10.1002/wps.20844</w:t>
        </w:r>
      </w:hyperlink>
    </w:p>
    <w:bookmarkEnd w:id="191"/>
    <w:bookmarkStart w:id="193"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192">
        <w:r>
          <w:rPr>
            <w:rStyle w:val="Hyperlink"/>
          </w:rPr>
          <w:t xml:space="preserve">https://doi.org/10.1001/archgenpsychiatry.2010.188</w:t>
        </w:r>
      </w:hyperlink>
    </w:p>
    <w:bookmarkEnd w:id="193"/>
    <w:bookmarkStart w:id="195"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194">
        <w:r>
          <w:rPr>
            <w:rStyle w:val="Hyperlink"/>
          </w:rPr>
          <w:t xml:space="preserve">https://doi.org/10.1037/0021-843X.116.4.645</w:t>
        </w:r>
      </w:hyperlink>
    </w:p>
    <w:bookmarkEnd w:id="195"/>
    <w:bookmarkStart w:id="197"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196">
        <w:r>
          <w:rPr>
            <w:rStyle w:val="Hyperlink"/>
          </w:rPr>
          <w:t xml:space="preserve">https://doi.org/10.1037/0021-843x.114.4.537</w:t>
        </w:r>
      </w:hyperlink>
    </w:p>
    <w:bookmarkEnd w:id="197"/>
    <w:bookmarkStart w:id="199"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198">
        <w:r>
          <w:rPr>
            <w:rStyle w:val="Hyperlink"/>
          </w:rPr>
          <w:t xml:space="preserve">https://doi.org/10.1037/1040-3590.16.2.107</w:t>
        </w:r>
      </w:hyperlink>
    </w:p>
    <w:bookmarkEnd w:id="199"/>
    <w:bookmarkStart w:id="201"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00">
        <w:r>
          <w:rPr>
            <w:rStyle w:val="Hyperlink"/>
          </w:rPr>
          <w:t xml:space="preserve">https://doi.org/10.1016/S0005-7967(02)00016-5</w:t>
        </w:r>
      </w:hyperlink>
    </w:p>
    <w:bookmarkEnd w:id="201"/>
    <w:bookmarkStart w:id="203"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02">
        <w:r>
          <w:rPr>
            <w:rStyle w:val="Hyperlink"/>
          </w:rPr>
          <w:t xml:space="preserve">https://doi.org/10.1017/S0954579410000301</w:t>
        </w:r>
      </w:hyperlink>
    </w:p>
    <w:bookmarkEnd w:id="203"/>
    <w:bookmarkStart w:id="205"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04">
        <w:r>
          <w:rPr>
            <w:rStyle w:val="Hyperlink"/>
          </w:rPr>
          <w:t xml:space="preserve">https://doi.org/10.1037/a0023678</w:t>
        </w:r>
      </w:hyperlink>
    </w:p>
    <w:bookmarkEnd w:id="205"/>
    <w:bookmarkStart w:id="207"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06">
        <w:r>
          <w:rPr>
            <w:rStyle w:val="Hyperlink"/>
          </w:rPr>
          <w:t xml:space="preserve">https://doi.org/10.1001/archpsyc.62.12.1352</w:t>
        </w:r>
      </w:hyperlink>
    </w:p>
    <w:bookmarkEnd w:id="207"/>
    <w:bookmarkStart w:id="209"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08">
        <w:r>
          <w:rPr>
            <w:rStyle w:val="Hyperlink"/>
          </w:rPr>
          <w:t xml:space="preserve">https://doi.org/10.1111/j.1467-9507.2008.00480.x</w:t>
        </w:r>
      </w:hyperlink>
    </w:p>
    <w:bookmarkEnd w:id="209"/>
    <w:bookmarkStart w:id="211"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10">
        <w:r>
          <w:rPr>
            <w:rStyle w:val="Hyperlink"/>
          </w:rPr>
          <w:t xml:space="preserve">https://news.harvard.edu/gazette/story/2017/04/over-nearly-80-years-harvard-study-has-been-showing-how-to-live-a-healthy-and-happy-life/</w:t>
        </w:r>
      </w:hyperlink>
    </w:p>
    <w:bookmarkEnd w:id="211"/>
    <w:bookmarkStart w:id="213"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12">
        <w:r>
          <w:rPr>
            <w:rStyle w:val="Hyperlink"/>
          </w:rPr>
          <w:t xml:space="preserve">https://doi.org/10.1037/0033-295X.100.4.674</w:t>
        </w:r>
      </w:hyperlink>
    </w:p>
    <w:bookmarkEnd w:id="213"/>
    <w:bookmarkStart w:id="215"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14">
        <w:r>
          <w:rPr>
            <w:rStyle w:val="Hyperlink"/>
          </w:rPr>
          <w:t xml:space="preserve">https://doi.org/10.1073/pnas.1010076108</w:t>
        </w:r>
      </w:hyperlink>
    </w:p>
    <w:bookmarkEnd w:id="215"/>
    <w:bookmarkStart w:id="217"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16">
        <w:r>
          <w:rPr>
            <w:rStyle w:val="Hyperlink"/>
          </w:rPr>
          <w:t xml:space="preserve">https://doi.org/10.1159/000270073</w:t>
        </w:r>
      </w:hyperlink>
    </w:p>
    <w:bookmarkEnd w:id="217"/>
    <w:bookmarkStart w:id="219" w:name="ref-Nivison2024"/>
    <w:p>
      <w:pPr>
        <w:pStyle w:val="Bibliography"/>
      </w:pPr>
      <w:r>
        <w:t xml:space="preserve">Nivison, M. D., Labella, M. H., Raby, K. L., Doom, J. R., Martin, J., Johnson, W. F., Zamir, O., Englund, M. M., Simpson, J. A., Carlson, E. A., &amp; Roisman, G. I. (2024). Insights into child abuse and neglect: Findings from the</w:t>
      </w:r>
      <w:r>
        <w:t xml:space="preserve"> </w:t>
      </w:r>
      <w:r>
        <w:t xml:space="preserve">Minnesota Longitudinal Study of Risk and Adaptation</w:t>
      </w:r>
      <w:r>
        <w:t xml:space="preserve">.</w:t>
      </w:r>
      <w:r>
        <w:t xml:space="preserve"> </w:t>
      </w:r>
      <w:r>
        <w:rPr>
          <w:i/>
          <w:iCs/>
        </w:rPr>
        <w:t xml:space="preserve">Development and Psychopathology</w:t>
      </w:r>
      <w:r>
        <w:t xml:space="preserve">,</w:t>
      </w:r>
      <w:r>
        <w:t xml:space="preserve"> </w:t>
      </w:r>
      <w:r>
        <w:rPr>
          <w:i/>
          <w:iCs/>
        </w:rPr>
        <w:t xml:space="preserve">36</w:t>
      </w:r>
      <w:r>
        <w:t xml:space="preserve">(5), 2499–2511.</w:t>
      </w:r>
      <w:r>
        <w:t xml:space="preserve"> </w:t>
      </w:r>
      <w:hyperlink r:id="rId218">
        <w:r>
          <w:rPr>
            <w:rStyle w:val="Hyperlink"/>
          </w:rPr>
          <w:t xml:space="preserve">https://doi.org/10.1017/S0954579424000865</w:t>
        </w:r>
      </w:hyperlink>
    </w:p>
    <w:bookmarkEnd w:id="219"/>
    <w:bookmarkStart w:id="22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20">
        <w:r>
          <w:rPr>
            <w:rStyle w:val="Hyperlink"/>
          </w:rPr>
          <w:t xml:space="preserve">https://doi.org/10.1017/S0954579408000333</w:t>
        </w:r>
      </w:hyperlink>
    </w:p>
    <w:bookmarkEnd w:id="221"/>
    <w:bookmarkStart w:id="22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22">
        <w:r>
          <w:rPr>
            <w:rStyle w:val="Hyperlink"/>
          </w:rPr>
          <w:t xml:space="preserve">https://doi.org/10.1371/journal.pone.0063109</w:t>
        </w:r>
      </w:hyperlink>
    </w:p>
    <w:bookmarkEnd w:id="223"/>
    <w:bookmarkStart w:id="22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24">
        <w:r>
          <w:rPr>
            <w:rStyle w:val="Hyperlink"/>
          </w:rPr>
          <w:t xml:space="preserve">https://doi.org/10.1037/0022-006X.61.6.911</w:t>
        </w:r>
      </w:hyperlink>
    </w:p>
    <w:bookmarkEnd w:id="225"/>
    <w:bookmarkStart w:id="22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26">
        <w:r>
          <w:rPr>
            <w:rStyle w:val="Hyperlink"/>
          </w:rPr>
          <w:t xml:space="preserve">https://doi.org/10.1111/desc.70216</w:t>
        </w:r>
      </w:hyperlink>
    </w:p>
    <w:bookmarkEnd w:id="227"/>
    <w:bookmarkStart w:id="22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28">
        <w:r>
          <w:rPr>
            <w:rStyle w:val="Hyperlink"/>
          </w:rPr>
          <w:t xml:space="preserve">https://doi.org/10.1037/dev0001657</w:t>
        </w:r>
      </w:hyperlink>
    </w:p>
    <w:bookmarkEnd w:id="229"/>
    <w:bookmarkStart w:id="23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14">
        <w:r>
          <w:rPr>
            <w:rStyle w:val="Hyperlink"/>
          </w:rPr>
          <w:t xml:space="preserve">https://doi.org/10.25820/work.007199</w:t>
        </w:r>
      </w:hyperlink>
    </w:p>
    <w:bookmarkEnd w:id="230"/>
    <w:bookmarkStart w:id="23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31"/>
    <w:bookmarkStart w:id="23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32">
        <w:r>
          <w:rPr>
            <w:rStyle w:val="Hyperlink"/>
          </w:rPr>
          <w:t xml:space="preserve">https://doi.org/10.1016/j.dr.2020.100935</w:t>
        </w:r>
      </w:hyperlink>
    </w:p>
    <w:bookmarkEnd w:id="233"/>
    <w:bookmarkStart w:id="234" w:name="ref-Petersen2026"/>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6">
        <w:r>
          <w:rPr>
            <w:rStyle w:val="Hyperlink"/>
          </w:rPr>
          <w:t xml:space="preserve">https://doi.org/10.1016/j.jaacop.2025.10.008</w:t>
        </w:r>
      </w:hyperlink>
    </w:p>
    <w:bookmarkEnd w:id="234"/>
    <w:bookmarkStart w:id="236" w:name="ref-Petersen2021"/>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35">
        <w:r>
          <w:rPr>
            <w:rStyle w:val="Hyperlink"/>
          </w:rPr>
          <w:t xml:space="preserve">https://doi.org/10.1111/cdev.13433</w:t>
        </w:r>
      </w:hyperlink>
    </w:p>
    <w:bookmarkEnd w:id="236"/>
    <w:bookmarkStart w:id="238"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37">
        <w:r>
          <w:rPr>
            <w:rStyle w:val="Hyperlink"/>
          </w:rPr>
          <w:t xml:space="preserve">https://doi.org/10.1037/dev0000449</w:t>
        </w:r>
      </w:hyperlink>
    </w:p>
    <w:bookmarkEnd w:id="238"/>
    <w:bookmarkStart w:id="240"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39">
        <w:r>
          <w:rPr>
            <w:rStyle w:val="Hyperlink"/>
          </w:rPr>
          <w:t xml:space="preserve">https://doi.org/10.1007/s00127-015-1048-8</w:t>
        </w:r>
      </w:hyperlink>
    </w:p>
    <w:bookmarkEnd w:id="240"/>
    <w:bookmarkStart w:id="241"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41"/>
    <w:bookmarkStart w:id="243"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42">
        <w:r>
          <w:rPr>
            <w:rStyle w:val="Hyperlink"/>
          </w:rPr>
          <w:t xml:space="preserve">https://doi.org/10.1111/j.1469-7610.2006.01614.x</w:t>
        </w:r>
      </w:hyperlink>
    </w:p>
    <w:bookmarkEnd w:id="243"/>
    <w:bookmarkStart w:id="245"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44">
        <w:r>
          <w:rPr>
            <w:rStyle w:val="Hyperlink"/>
          </w:rPr>
          <w:t xml:space="preserve">https://doi.org/10.1037/abn0000232</w:t>
        </w:r>
      </w:hyperlink>
    </w:p>
    <w:bookmarkEnd w:id="245"/>
    <w:bookmarkStart w:id="247"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246">
        <w:r>
          <w:rPr>
            <w:rStyle w:val="Hyperlink"/>
          </w:rPr>
          <w:t xml:space="preserve">https://doi.org/10.1086/269270</w:t>
        </w:r>
      </w:hyperlink>
    </w:p>
    <w:bookmarkEnd w:id="247"/>
    <w:bookmarkStart w:id="249"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248">
        <w:r>
          <w:rPr>
            <w:rStyle w:val="Hyperlink"/>
          </w:rPr>
          <w:t xml:space="preserve">https://doi.org/10.1037/0003-066X.54.2.93</w:t>
        </w:r>
      </w:hyperlink>
    </w:p>
    <w:bookmarkEnd w:id="249"/>
    <w:bookmarkStart w:id="251"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250">
        <w:r>
          <w:rPr>
            <w:rStyle w:val="Hyperlink"/>
          </w:rPr>
          <w:t xml:space="preserve">https://doi.org/10.1037/abn0000171</w:t>
        </w:r>
      </w:hyperlink>
    </w:p>
    <w:bookmarkEnd w:id="251"/>
    <w:bookmarkStart w:id="252"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252"/>
    <w:bookmarkStart w:id="25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253"/>
    <w:bookmarkStart w:id="254" w:name="ref-Sroufe2005"/>
    <w:p>
      <w:pPr>
        <w:pStyle w:val="Bibliography"/>
      </w:pPr>
      <w:r>
        <w:t xml:space="preserve">Sroufe, L. A., Egeland, B., Carlson, E. A., &amp; Collins, W. A. (2005).</w:t>
      </w:r>
      <w:r>
        <w:t xml:space="preserve"> </w:t>
      </w:r>
      <w:r>
        <w:rPr>
          <w:i/>
          <w:iCs/>
        </w:rPr>
        <w:t xml:space="preserve">The development of the person: The</w:t>
      </w:r>
      <w:r>
        <w:rPr>
          <w:i/>
          <w:iCs/>
        </w:rPr>
        <w:t xml:space="preserve"> </w:t>
      </w:r>
      <w:r>
        <w:rPr>
          <w:i/>
          <w:iCs/>
        </w:rPr>
        <w:t xml:space="preserve">Minnesota</w:t>
      </w:r>
      <w:r>
        <w:rPr>
          <w:i/>
          <w:iCs/>
        </w:rPr>
        <w:t xml:space="preserve"> </w:t>
      </w:r>
      <w:r>
        <w:rPr>
          <w:i/>
          <w:iCs/>
        </w:rPr>
        <w:t xml:space="preserve">study of risk and adaptation from birth to adulthood</w:t>
      </w:r>
      <w:r>
        <w:t xml:space="preserve">. Guilford Publications.</w:t>
      </w:r>
    </w:p>
    <w:bookmarkEnd w:id="254"/>
    <w:bookmarkStart w:id="256"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255">
        <w:r>
          <w:rPr>
            <w:rStyle w:val="Hyperlink"/>
          </w:rPr>
          <w:t xml:space="preserve">https://doi.org/10.1146/annurev-criminol-111523-122451</w:t>
        </w:r>
      </w:hyperlink>
    </w:p>
    <w:bookmarkEnd w:id="256"/>
    <w:bookmarkStart w:id="258"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257">
        <w:r>
          <w:rPr>
            <w:rStyle w:val="Hyperlink"/>
          </w:rPr>
          <w:t xml:space="preserve">https://doi.org/10.1017/S0954579407070174</w:t>
        </w:r>
      </w:hyperlink>
    </w:p>
    <w:bookmarkEnd w:id="258"/>
    <w:bookmarkStart w:id="260"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259">
        <w:r>
          <w:rPr>
            <w:rStyle w:val="Hyperlink"/>
          </w:rPr>
          <w:t xml:space="preserve">https://doi.org/10.1037/abn0000751</w:t>
        </w:r>
      </w:hyperlink>
    </w:p>
    <w:bookmarkEnd w:id="260"/>
    <w:bookmarkStart w:id="262"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261">
        <w:r>
          <w:rPr>
            <w:rStyle w:val="Hyperlink"/>
          </w:rPr>
          <w:t xml:space="preserve">https://doi.org/10.1038/s44220-023-00057-5</w:t>
        </w:r>
      </w:hyperlink>
    </w:p>
    <w:bookmarkEnd w:id="262"/>
    <w:bookmarkStart w:id="263"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263"/>
    <w:bookmarkStart w:id="265" w:name="ref-Vandell2023"/>
    <w:p>
      <w:pPr>
        <w:pStyle w:val="Bibliography"/>
      </w:pPr>
      <w:r>
        <w:t xml:space="preserve">Vandell, D. L., &amp; Gülseven, Z. (2023). The study of early child care and youth development (SECCYD): Studying development from infancy to adulthood.</w:t>
      </w:r>
      <w:r>
        <w:t xml:space="preserve"> </w:t>
      </w:r>
      <w:r>
        <w:rPr>
          <w:i/>
          <w:iCs/>
        </w:rPr>
        <w:t xml:space="preserve">Annual Review of Developmental Psychology</w:t>
      </w:r>
      <w:r>
        <w:t xml:space="preserve">,</w:t>
      </w:r>
      <w:r>
        <w:t xml:space="preserve"> </w:t>
      </w:r>
      <w:r>
        <w:rPr>
          <w:i/>
          <w:iCs/>
        </w:rPr>
        <w:t xml:space="preserve">5</w:t>
      </w:r>
      <w:r>
        <w:t xml:space="preserve">, 331–354.</w:t>
      </w:r>
      <w:r>
        <w:t xml:space="preserve"> </w:t>
      </w:r>
      <w:hyperlink r:id="rId264">
        <w:r>
          <w:rPr>
            <w:rStyle w:val="Hyperlink"/>
          </w:rPr>
          <w:t xml:space="preserve">https://doi.org/10.1146/annurev-devpsych-120621-035345</w:t>
        </w:r>
      </w:hyperlink>
    </w:p>
    <w:bookmarkEnd w:id="265"/>
    <w:bookmarkStart w:id="267"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266">
        <w:r>
          <w:rPr>
            <w:rStyle w:val="Hyperlink"/>
          </w:rPr>
          <w:t xml:space="preserve">https://doi.org/10.1016/j.jaac.2013.10.011</w:t>
        </w:r>
      </w:hyperlink>
    </w:p>
    <w:bookmarkEnd w:id="267"/>
    <w:bookmarkStart w:id="269"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268">
        <w:r>
          <w:rPr>
            <w:rStyle w:val="Hyperlink"/>
          </w:rPr>
          <w:t xml:space="preserve">https://doi.org/10.1080/15374416.2018.1561296</w:t>
        </w:r>
      </w:hyperlink>
    </w:p>
    <w:bookmarkEnd w:id="269"/>
    <w:bookmarkStart w:id="271"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270">
        <w:r>
          <w:rPr>
            <w:rStyle w:val="Hyperlink"/>
          </w:rPr>
          <w:t xml:space="preserve">https://doi.org/10.1037/a0021519</w:t>
        </w:r>
      </w:hyperlink>
    </w:p>
    <w:bookmarkEnd w:id="271"/>
    <w:bookmarkStart w:id="273"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272">
        <w:r>
          <w:rPr>
            <w:rStyle w:val="Hyperlink"/>
          </w:rPr>
          <w:t xml:space="preserve">https://doi.org/10.1177/0093854812443645</w:t>
        </w:r>
      </w:hyperlink>
    </w:p>
    <w:bookmarkEnd w:id="273"/>
    <w:bookmarkStart w:id="275"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274">
        <w:r>
          <w:rPr>
            <w:rStyle w:val="Hyperlink"/>
          </w:rPr>
          <w:t xml:space="preserve">https://doi.org/10.1007/s12103-013-9235-1</w:t>
        </w:r>
      </w:hyperlink>
    </w:p>
    <w:bookmarkEnd w:id="275"/>
    <w:bookmarkStart w:id="277"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276">
        <w:r>
          <w:rPr>
            <w:rStyle w:val="Hyperlink"/>
          </w:rPr>
          <w:t xml:space="preserve">https://doi.org/10.1007/s12103-014-9272-4</w:t>
        </w:r>
      </w:hyperlink>
    </w:p>
    <w:bookmarkEnd w:id="277"/>
    <w:bookmarkStart w:id="279"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278">
        <w:r>
          <w:rPr>
            <w:rStyle w:val="Hyperlink"/>
          </w:rPr>
          <w:t xml:space="preserve">https://doi.org/10.1007/s10802-012-9700-1</w:t>
        </w:r>
      </w:hyperlink>
    </w:p>
    <w:bookmarkEnd w:id="279"/>
    <w:bookmarkStart w:id="281"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280">
        <w:r>
          <w:rPr>
            <w:rStyle w:val="Hyperlink"/>
          </w:rPr>
          <w:t xml:space="preserve">https://doi.org/10.1007/s10802-010-9478-y</w:t>
        </w:r>
      </w:hyperlink>
    </w:p>
    <w:bookmarkEnd w:id="281"/>
    <w:bookmarkStart w:id="283"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282">
        <w:r>
          <w:rPr>
            <w:rStyle w:val="Hyperlink"/>
          </w:rPr>
          <w:t xml:space="preserve">https://doi.org/10.1016/j.dr.2008.01.001</w:t>
        </w:r>
      </w:hyperlink>
    </w:p>
    <w:bookmarkEnd w:id="283"/>
    <w:bookmarkStart w:id="285"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284">
        <w:r>
          <w:rPr>
            <w:rStyle w:val="Hyperlink"/>
          </w:rPr>
          <w:t xml:space="preserve">https://doi.org/10.1017/S0954579403000221</w:t>
        </w:r>
      </w:hyperlink>
    </w:p>
    <w:bookmarkEnd w:id="285"/>
    <w:bookmarkStart w:id="287"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286">
        <w:r>
          <w:rPr>
            <w:rStyle w:val="Hyperlink"/>
          </w:rPr>
          <w:t xml:space="preserve">https://icd.who.int</w:t>
        </w:r>
      </w:hyperlink>
    </w:p>
    <w:bookmarkEnd w:id="287"/>
    <w:bookmarkStart w:id="289"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288">
        <w:r>
          <w:rPr>
            <w:rStyle w:val="Hyperlink"/>
          </w:rPr>
          <w:t xml:space="preserve">https://doi.org/10.1037/a0030133</w:t>
        </w:r>
      </w:hyperlink>
    </w:p>
    <w:bookmarkEnd w:id="289"/>
    <w:bookmarkEnd w:id="290"/>
    <w:p>
      <w:r>
        <w:br w:type="page"/>
      </w:r>
    </w:p>
    <w:bookmarkEnd w:id="291"/>
    <w:p>
      <w:pPr>
        <w:pStyle w:val="Heading1"/>
      </w:pPr>
      <w:r>
        <w:t xml:space="preserve">Appendix A</w:t>
      </w:r>
    </w:p>
    <w:bookmarkStart w:id="292" w:name="apx-a"/>
    <w:p>
      <w:pPr>
        <w:pStyle w:val="Heading1"/>
      </w:pPr>
      <w:r>
        <w:t xml:space="preserve">This Section Is an Appendix</w:t>
      </w:r>
    </w:p>
    <w:p>
      <w:r>
        <w:br w:type="page"/>
      </w:r>
    </w:p>
    <w:bookmarkEnd w:id="292"/>
    <w:p>
      <w:pPr>
        <w:pStyle w:val="Heading1"/>
      </w:pPr>
      <w:r>
        <w:t xml:space="preserve">Appendix B</w:t>
      </w:r>
    </w:p>
    <w:bookmarkStart w:id="293" w:name="apx-b"/>
    <w:p>
      <w:pPr>
        <w:pStyle w:val="Heading1"/>
      </w:pPr>
      <w:r>
        <w:t xml:space="preserve">Another Appendix</w:t>
      </w:r>
    </w:p>
    <w:bookmarkEnd w:id="293"/>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53" Target="media/rId53.png" /><Relationship Type="http://schemas.openxmlformats.org/officeDocument/2006/relationships/image" Id="rId97" Target="media/rId97.jpg" /><Relationship Type="http://schemas.openxmlformats.org/officeDocument/2006/relationships/image" Id="rId108" Target="media/rId108.png" /><Relationship Type="http://schemas.openxmlformats.org/officeDocument/2006/relationships/image" Id="rId57" Target="media/rId57.png" /><Relationship Type="http://schemas.openxmlformats.org/officeDocument/2006/relationships/image" Id="rId115" Target="media/rId115.png" /><Relationship Type="http://schemas.openxmlformats.org/officeDocument/2006/relationships/image" Id="rId23" Target="media/rId23.sv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92" Target="https://doi.org/10.1001/archgenpsychiatry.2010.188" TargetMode="External" /><Relationship Type="http://schemas.openxmlformats.org/officeDocument/2006/relationships/hyperlink" Id="rId206" Target="https://doi.org/10.1001/archpsyc.62.12.1352" TargetMode="External" /><Relationship Type="http://schemas.openxmlformats.org/officeDocument/2006/relationships/hyperlink" Id="rId143" Target="https://doi.org/10.1001/jamanetworkopen.2020.3221" TargetMode="External" /><Relationship Type="http://schemas.openxmlformats.org/officeDocument/2006/relationships/hyperlink" Id="rId131" Target="https://doi.org/10.1002/jcv2.70043" TargetMode="External" /><Relationship Type="http://schemas.openxmlformats.org/officeDocument/2006/relationships/hyperlink" Id="rId190" Target="https://doi.org/10.1002/wps.20844" TargetMode="External" /><Relationship Type="http://schemas.openxmlformats.org/officeDocument/2006/relationships/hyperlink" Id="rId239" Target="https://doi.org/10.1007/s00127-015-1048-8" TargetMode="External" /><Relationship Type="http://schemas.openxmlformats.org/officeDocument/2006/relationships/hyperlink" Id="rId166" Target="https://doi.org/10.1007/s00234-020-02562-1" TargetMode="External" /><Relationship Type="http://schemas.openxmlformats.org/officeDocument/2006/relationships/hyperlink" Id="rId280" Target="https://doi.org/10.1007/s10802-010-9478-y" TargetMode="External" /><Relationship Type="http://schemas.openxmlformats.org/officeDocument/2006/relationships/hyperlink" Id="rId139" Target="https://doi.org/10.1007/s10802-012-9669-9" TargetMode="External" /><Relationship Type="http://schemas.openxmlformats.org/officeDocument/2006/relationships/hyperlink" Id="rId278" Target="https://doi.org/10.1007/s10802-012-9700-1" TargetMode="External" /><Relationship Type="http://schemas.openxmlformats.org/officeDocument/2006/relationships/hyperlink" Id="rId182" Target="https://doi.org/10.1007/s10802-017-0383-5" TargetMode="External" /><Relationship Type="http://schemas.openxmlformats.org/officeDocument/2006/relationships/hyperlink" Id="rId184" Target="https://doi.org/10.1007/s10802-021-00885-y" TargetMode="External" /><Relationship Type="http://schemas.openxmlformats.org/officeDocument/2006/relationships/hyperlink" Id="rId176" Target="https://doi.org/10.1007/s10826-018-1272-4" TargetMode="External" /><Relationship Type="http://schemas.openxmlformats.org/officeDocument/2006/relationships/hyperlink" Id="rId274" Target="https://doi.org/10.1007/s12103-013-9235-1" TargetMode="External" /><Relationship Type="http://schemas.openxmlformats.org/officeDocument/2006/relationships/hyperlink" Id="rId276" Target="https://doi.org/10.1007/s12103-014-9272-4" TargetMode="External" /><Relationship Type="http://schemas.openxmlformats.org/officeDocument/2006/relationships/hyperlink" Id="rId148" Target="https://doi.org/10.1007/s40865-015-0012-3" TargetMode="External" /><Relationship Type="http://schemas.openxmlformats.org/officeDocument/2006/relationships/hyperlink" Id="rId200"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41" Target="https://doi.org/10.1016/j.cpr.2012.02.006" TargetMode="External" /><Relationship Type="http://schemas.openxmlformats.org/officeDocument/2006/relationships/hyperlink" Id="rId282" Target="https://doi.org/10.1016/j.dr.2008.01.001" TargetMode="External" /><Relationship Type="http://schemas.openxmlformats.org/officeDocument/2006/relationships/hyperlink" Id="rId232" Target="https://doi.org/10.1016/j.dr.2020.100935" TargetMode="External" /><Relationship Type="http://schemas.openxmlformats.org/officeDocument/2006/relationships/hyperlink" Id="rId266" Target="https://doi.org/10.1016/j.jaac.2013.10.011" TargetMode="External" /><Relationship Type="http://schemas.openxmlformats.org/officeDocument/2006/relationships/hyperlink" Id="rId135" Target="https://doi.org/10.1016/j.jaac.2017.05.019" TargetMode="External" /><Relationship Type="http://schemas.openxmlformats.org/officeDocument/2006/relationships/hyperlink" Id="rId96" Target="https://doi.org/10.1016/j.jaacop.2025.10.008" TargetMode="External" /><Relationship Type="http://schemas.openxmlformats.org/officeDocument/2006/relationships/hyperlink" Id="rId65" Target="https://doi.org/10.1016/j.jcrimjus.2024.102155" TargetMode="External" /><Relationship Type="http://schemas.openxmlformats.org/officeDocument/2006/relationships/hyperlink" Id="rId133" Target="https://doi.org/10.1016/j.jpsychires.2013.08.016" TargetMode="External" /><Relationship Type="http://schemas.openxmlformats.org/officeDocument/2006/relationships/hyperlink" Id="rId170" Target="https://doi.org/10.1017/S0033291711001966" TargetMode="External" /><Relationship Type="http://schemas.openxmlformats.org/officeDocument/2006/relationships/hyperlink" Id="rId172" Target="https://doi.org/10.1017/S003329172000183X" TargetMode="External" /><Relationship Type="http://schemas.openxmlformats.org/officeDocument/2006/relationships/hyperlink" Id="rId284" Target="https://doi.org/10.1017/S0954579403000221" TargetMode="External" /><Relationship Type="http://schemas.openxmlformats.org/officeDocument/2006/relationships/hyperlink" Id="rId257" Target="https://doi.org/10.1017/S0954579407070174" TargetMode="External" /><Relationship Type="http://schemas.openxmlformats.org/officeDocument/2006/relationships/hyperlink" Id="rId220" Target="https://doi.org/10.1017/S0954579408000333" TargetMode="External" /><Relationship Type="http://schemas.openxmlformats.org/officeDocument/2006/relationships/hyperlink" Id="rId202"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61" Target="https://doi.org/10.1017/S0954579416000651" TargetMode="External" /><Relationship Type="http://schemas.openxmlformats.org/officeDocument/2006/relationships/hyperlink" Id="rId218" Target="https://doi.org/10.1017/S0954579424000865" TargetMode="External" /><Relationship Type="http://schemas.openxmlformats.org/officeDocument/2006/relationships/hyperlink" Id="rId248" Target="https://doi.org/10.1037/0003-066X.54.2.93" TargetMode="External" /><Relationship Type="http://schemas.openxmlformats.org/officeDocument/2006/relationships/hyperlink" Id="rId194" Target="https://doi.org/10.1037/0021-843X.116.4.645" TargetMode="External" /><Relationship Type="http://schemas.openxmlformats.org/officeDocument/2006/relationships/hyperlink" Id="rId196" Target="https://doi.org/10.1037/0021-843x.114.4.537" TargetMode="External" /><Relationship Type="http://schemas.openxmlformats.org/officeDocument/2006/relationships/hyperlink" Id="rId224" Target="https://doi.org/10.1037/0022-006X.61.6.911" TargetMode="External" /><Relationship Type="http://schemas.openxmlformats.org/officeDocument/2006/relationships/hyperlink" Id="rId151" Target="https://doi.org/10.1037/0022-006X.70.1.6" TargetMode="External" /><Relationship Type="http://schemas.openxmlformats.org/officeDocument/2006/relationships/hyperlink" Id="rId212" Target="https://doi.org/10.1037/0033-295X.100.4.674" TargetMode="External" /><Relationship Type="http://schemas.openxmlformats.org/officeDocument/2006/relationships/hyperlink" Id="rId198" Target="https://doi.org/10.1037/1040-3590.16.2.107" TargetMode="External" /><Relationship Type="http://schemas.openxmlformats.org/officeDocument/2006/relationships/hyperlink" Id="rId270" Target="https://doi.org/10.1037/a0021519" TargetMode="External" /><Relationship Type="http://schemas.openxmlformats.org/officeDocument/2006/relationships/hyperlink" Id="rId204" Target="https://doi.org/10.1037/a0023678" TargetMode="External" /><Relationship Type="http://schemas.openxmlformats.org/officeDocument/2006/relationships/hyperlink" Id="rId288" Target="https://doi.org/10.1037/a0030133" TargetMode="External" /><Relationship Type="http://schemas.openxmlformats.org/officeDocument/2006/relationships/hyperlink" Id="rId250" Target="https://doi.org/10.1037/abn0000171" TargetMode="External" /><Relationship Type="http://schemas.openxmlformats.org/officeDocument/2006/relationships/hyperlink" Id="rId244" Target="https://doi.org/10.1037/abn0000232" TargetMode="External" /><Relationship Type="http://schemas.openxmlformats.org/officeDocument/2006/relationships/hyperlink" Id="rId186" Target="https://doi.org/10.1037/abn0000258" TargetMode="External" /><Relationship Type="http://schemas.openxmlformats.org/officeDocument/2006/relationships/hyperlink" Id="rId259" Target="https://doi.org/10.1037/abn0000751" TargetMode="External" /><Relationship Type="http://schemas.openxmlformats.org/officeDocument/2006/relationships/hyperlink" Id="rId155" Target="https://doi.org/10.1037/abn0001084" TargetMode="External" /><Relationship Type="http://schemas.openxmlformats.org/officeDocument/2006/relationships/hyperlink" Id="rId237" Target="https://doi.org/10.1037/dev0000449" TargetMode="External" /><Relationship Type="http://schemas.openxmlformats.org/officeDocument/2006/relationships/hyperlink" Id="rId228" Target="https://doi.org/10.1037/dev0001657" TargetMode="External" /><Relationship Type="http://schemas.openxmlformats.org/officeDocument/2006/relationships/hyperlink" Id="rId163" Target="https://doi.org/10.1037/emo0000721" TargetMode="External" /><Relationship Type="http://schemas.openxmlformats.org/officeDocument/2006/relationships/hyperlink" Id="rId261" Target="https://doi.org/10.1038/s44220-023-00057-5" TargetMode="External" /><Relationship Type="http://schemas.openxmlformats.org/officeDocument/2006/relationships/hyperlink" Id="rId214" Target="https://doi.org/10.1073/pnas.1010076108" TargetMode="External" /><Relationship Type="http://schemas.openxmlformats.org/officeDocument/2006/relationships/hyperlink" Id="rId268" Target="https://doi.org/10.1080/15374416.2018.1561296" TargetMode="External" /><Relationship Type="http://schemas.openxmlformats.org/officeDocument/2006/relationships/hyperlink" Id="rId246" Target="https://doi.org/10.1086/269270" TargetMode="External" /><Relationship Type="http://schemas.openxmlformats.org/officeDocument/2006/relationships/hyperlink" Id="rId168" Target="https://doi.org/10.1093/ije/dyz115" TargetMode="External" /><Relationship Type="http://schemas.openxmlformats.org/officeDocument/2006/relationships/hyperlink" Id="rId235" Target="https://doi.org/10.1111/cdev.13433" TargetMode="External" /><Relationship Type="http://schemas.openxmlformats.org/officeDocument/2006/relationships/hyperlink" Id="rId226" Target="https://doi.org/10.1111/desc.70216" TargetMode="External" /><Relationship Type="http://schemas.openxmlformats.org/officeDocument/2006/relationships/hyperlink" Id="rId208" Target="https://doi.org/10.1111/j.1467-9507.2008.00480.x" TargetMode="External" /><Relationship Type="http://schemas.openxmlformats.org/officeDocument/2006/relationships/hyperlink" Id="rId242" Target="https://doi.org/10.1111/j.1469-7610.2006.01614.x" TargetMode="External" /><Relationship Type="http://schemas.openxmlformats.org/officeDocument/2006/relationships/hyperlink" Id="rId153" Target="https://doi.org/10.1111/j.1469-7610.2011.02511.x" TargetMode="External" /><Relationship Type="http://schemas.openxmlformats.org/officeDocument/2006/relationships/hyperlink" Id="rId159" Target="https://doi.org/10.1111/jcpp.12102" TargetMode="External" /><Relationship Type="http://schemas.openxmlformats.org/officeDocument/2006/relationships/hyperlink" Id="rId188" Target="https://doi.org/10.1111/psyp.12551" TargetMode="External" /><Relationship Type="http://schemas.openxmlformats.org/officeDocument/2006/relationships/hyperlink" Id="rId157" Target="https://doi.org/10.1126/science.2270481" TargetMode="External" /><Relationship Type="http://schemas.openxmlformats.org/officeDocument/2006/relationships/hyperlink" Id="rId255" Target="https://doi.org/10.1146/annurev-criminol-111523-122451" TargetMode="External" /><Relationship Type="http://schemas.openxmlformats.org/officeDocument/2006/relationships/hyperlink" Id="rId264" Target="https://doi.org/10.1146/annurev-devpsych-120621-035345" TargetMode="External" /><Relationship Type="http://schemas.openxmlformats.org/officeDocument/2006/relationships/hyperlink" Id="rId216" Target="https://doi.org/10.1159/000270073" TargetMode="External" /><Relationship Type="http://schemas.openxmlformats.org/officeDocument/2006/relationships/hyperlink" Id="rId174" Target="https://doi.org/10.1176/appi.ajp.2008.08030366" TargetMode="External" /><Relationship Type="http://schemas.openxmlformats.org/officeDocument/2006/relationships/hyperlink" Id="rId272" Target="https://doi.org/10.1177/0093854812443645" TargetMode="External" /><Relationship Type="http://schemas.openxmlformats.org/officeDocument/2006/relationships/hyperlink" Id="rId145" Target="https://doi.org/10.1177/2167702613497473" TargetMode="External" /><Relationship Type="http://schemas.openxmlformats.org/officeDocument/2006/relationships/hyperlink" Id="rId222" Target="https://doi.org/10.1371/journal.pone.0063109" TargetMode="External" /><Relationship Type="http://schemas.openxmlformats.org/officeDocument/2006/relationships/hyperlink" Id="rId50" Target="https://doi.org/10.1590/1980-57642018dn12-030001" TargetMode="External" /><Relationship Type="http://schemas.openxmlformats.org/officeDocument/2006/relationships/hyperlink" Id="rId114" Target="https://doi.org/10.25820/work.007199" TargetMode="External" /><Relationship Type="http://schemas.openxmlformats.org/officeDocument/2006/relationships/hyperlink" Id="rId286" Target="https://icd.who.int" TargetMode="External" /><Relationship Type="http://schemas.openxmlformats.org/officeDocument/2006/relationships/hyperlink" Id="rId210"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2026-06-11T13:09:30Z</dcterms:created>
  <dcterms:modified xsi:type="dcterms:W3CDTF">2026-06-11T13:09:30Z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2026-06-11</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6416</vt:lpwstr>
  </property>
  <property fmtid="{D5CDD505-2E9C-101B-9397-08002B2CF9AE}" pid="83" name="zerocitations">
    <vt:lpwstr>False</vt:lpwstr>
  </property>
</Properties>
</file>