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Ages spanned by various longitudinal studies (as of this writing). Studies that are no longer active are in gray.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2026-06-11T12:57:04Z</dcterms:created>
  <dcterms:modified xsi:type="dcterms:W3CDTF">2026-06-11T12:57:04Z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2026-06-11</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6416</vt:lpwstr>
  </property>
  <property fmtid="{D5CDD505-2E9C-101B-9397-08002B2CF9AE}" pid="83" name="zerocitations">
    <vt:lpwstr>False</vt:lpwstr>
  </property>
</Properties>
</file>