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480" w:lineRule="exact"/>
        <w:jc w:val="center"/>
      </w:pPr>
      <w:r>
        <w:rPr>
          <w:rFonts w:ascii="Times New Roman" w:hAnsi="Times New Roman"/>
          <w:b/>
          <w:i w:val="0"/>
          <w:sz w:val="32"/>
        </w:rPr>
        <w:t>MINI PROJECT SYNOPSIS</w:t>
      </w:r>
    </w:p>
    <w:p>
      <w:pPr>
        <w:spacing w:before="80" w:after="40" w:line="330" w:lineRule="exact"/>
        <w:jc w:val="center"/>
      </w:pPr>
      <w:r>
        <w:rPr>
          <w:rFonts w:ascii="Times New Roman" w:hAnsi="Times New Roman"/>
          <w:b w:val="0"/>
          <w:i w:val="0"/>
          <w:sz w:val="22"/>
        </w:rPr>
        <w:t>Submitted in partial fulfilment of the requirement for the award of the degree of</w:t>
      </w:r>
    </w:p>
    <w:p>
      <w:pPr>
        <w:spacing w:before="40" w:after="40" w:line="390" w:lineRule="exact"/>
        <w:jc w:val="center"/>
      </w:pPr>
      <w:r>
        <w:rPr>
          <w:rFonts w:ascii="Times New Roman" w:hAnsi="Times New Roman"/>
          <w:b/>
          <w:i w:val="0"/>
          <w:sz w:val="26"/>
        </w:rPr>
        <w:t>Bachelor of Technology</w:t>
      </w:r>
    </w:p>
    <w:p>
      <w:pPr>
        <w:spacing w:before="40" w:after="40" w:line="330" w:lineRule="exact"/>
        <w:jc w:val="center"/>
      </w:pPr>
      <w:r>
        <w:rPr>
          <w:rFonts w:ascii="Times New Roman" w:hAnsi="Times New Roman"/>
          <w:b w:val="0"/>
          <w:i w:val="0"/>
          <w:sz w:val="22"/>
        </w:rPr>
        <w:t>in</w:t>
      </w:r>
    </w:p>
    <w:p>
      <w:pPr>
        <w:spacing w:before="40" w:after="240" w:line="390" w:lineRule="exact"/>
        <w:jc w:val="center"/>
      </w:pPr>
      <w:r>
        <w:rPr>
          <w:rFonts w:ascii="Times New Roman" w:hAnsi="Times New Roman"/>
          <w:b/>
          <w:i w:val="0"/>
          <w:sz w:val="26"/>
        </w:rPr>
        <w:t>Computer Science &amp; Engineering — Artificial Intelligence &amp; Machine Learning</w:t>
      </w:r>
    </w:p>
    <w:p>
      <w:pPr>
        <w:spacing w:before="80" w:after="40" w:line="330" w:lineRule="exact"/>
        <w:jc w:val="center"/>
      </w:pPr>
      <w:r>
        <w:rPr>
          <w:rFonts w:ascii="Times New Roman" w:hAnsi="Times New Roman"/>
          <w:b w:val="0"/>
          <w:i/>
          <w:sz w:val="22"/>
        </w:rPr>
        <w:t>Submitted to</w:t>
      </w:r>
    </w:p>
    <w:p>
      <w:pPr>
        <w:spacing w:before="40" w:after="240" w:line="360" w:lineRule="exact"/>
        <w:jc w:val="center"/>
      </w:pPr>
      <w:r>
        <w:rPr>
          <w:rFonts w:ascii="Times New Roman" w:hAnsi="Times New Roman"/>
          <w:b/>
          <w:i w:val="0"/>
          <w:sz w:val="24"/>
        </w:rPr>
        <w:t>DR. A.P.J. ABDUL KALAM TECHNICAL UNIVERSITY, UTTAR PRADESH, LUCKNOW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80"/>
      </w:tblGrid>
      <w:tr>
        <w:tc>
          <w:tcPr>
            <w:tcW w:type="dxa" w:w="9071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160" w:after="16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Project Title: Dual-Stream Spatial and Frequency-Domain Deepfake Video Detection using EfficientNet-B4 and Discrete Cosine Transform (DCT)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890"/>
        <w:gridCol w:w="4890"/>
      </w:tblGrid>
      <w:tr>
        <w:tc>
          <w:tcPr>
            <w:tcW w:type="dxa" w:w="4890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Submitted by:</w:t>
              <w:br/>
              <w:t>Student Name: Dev Rana Kaila</w:t>
              <w:br/>
              <w:t>Roll No.: 2301531530023</w:t>
              <w:br/>
              <w:t>Section: A</w:t>
              <w:br/>
              <w:t>Semester: VII</w:t>
            </w:r>
          </w:p>
        </w:tc>
        <w:tc>
          <w:tcPr>
            <w:tcW w:type="dxa" w:w="4890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Under the Supervision of:</w:t>
              <w:br/>
              <w:t>Dr. Devendra Gautam</w:t>
              <w:br/>
              <w:t>Associate Professor</w:t>
              <w:br/>
              <w:t>Dept. of CSE, LIET</w:t>
            </w:r>
          </w:p>
        </w:tc>
      </w:tr>
    </w:tbl>
    <w:p/>
    <w:p>
      <w:pPr>
        <w:spacing w:before="160" w:after="40" w:line="360" w:lineRule="exact"/>
        <w:jc w:val="center"/>
      </w:pPr>
      <w:r>
        <w:rPr>
          <w:rFonts w:ascii="Times New Roman" w:hAnsi="Times New Roman"/>
          <w:b/>
          <w:i w:val="0"/>
          <w:sz w:val="24"/>
        </w:rPr>
        <w:t>Department of Computer Science &amp; Engineering</w:t>
      </w:r>
    </w:p>
    <w:p>
      <w:pPr>
        <w:spacing w:before="40" w:after="40" w:line="390" w:lineRule="exact"/>
        <w:jc w:val="center"/>
      </w:pPr>
      <w:r>
        <w:rPr>
          <w:rFonts w:ascii="Times New Roman" w:hAnsi="Times New Roman"/>
          <w:b/>
          <w:i w:val="0"/>
          <w:sz w:val="26"/>
        </w:rPr>
        <w:t>Lloyd Institute of Engineering &amp; Technology</w:t>
      </w:r>
    </w:p>
    <w:p>
      <w:pPr>
        <w:spacing w:before="40" w:after="80" w:line="330" w:lineRule="exact"/>
        <w:jc w:val="center"/>
      </w:pPr>
      <w:r>
        <w:rPr>
          <w:rFonts w:ascii="Times New Roman" w:hAnsi="Times New Roman"/>
          <w:b w:val="0"/>
          <w:i w:val="0"/>
          <w:sz w:val="22"/>
        </w:rPr>
        <w:t>Plot No. 3, Knowledge Park II, Greater Noida, Uttar Pradesh – 201306</w:t>
      </w:r>
    </w:p>
    <w:p>
      <w:pPr>
        <w:spacing w:before="80" w:after="0" w:line="360" w:lineRule="exact"/>
        <w:jc w:val="center"/>
      </w:pPr>
      <w:r>
        <w:rPr>
          <w:rFonts w:ascii="Times New Roman" w:hAnsi="Times New Roman"/>
          <w:b/>
          <w:i w:val="0"/>
          <w:sz w:val="24"/>
        </w:rPr>
        <w:t>Session: 2026–27</w:t>
      </w:r>
    </w:p>
    <w:p>
      <w:r>
        <w:br w:type="page"/>
      </w:r>
    </w:p>
    <w:p>
      <w:pPr>
        <w:spacing w:before="0" w:after="240" w:line="450" w:lineRule="exact"/>
        <w:jc w:val="center"/>
      </w:pPr>
      <w:r>
        <w:rPr>
          <w:rFonts w:ascii="Times New Roman" w:hAnsi="Times New Roman"/>
          <w:b/>
          <w:i w:val="0"/>
          <w:sz w:val="30"/>
        </w:rPr>
        <w:t>INDEX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0"/>
        <w:gridCol w:w="3260"/>
        <w:gridCol w:w="3260"/>
      </w:tblGrid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Sr. No.</w:t>
            </w:r>
          </w:p>
        </w:tc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Topic</w:t>
            </w:r>
          </w:p>
        </w:tc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Page No.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01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Introduction</w:t>
            </w:r>
          </w:p>
        </w:tc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1–2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02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Statement of Problem with Objectives</w:t>
            </w:r>
          </w:p>
        </w:tc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03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Literature Survey</w:t>
            </w:r>
          </w:p>
        </w:tc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04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Expected Outcome / Scope of the Project</w:t>
            </w:r>
          </w:p>
        </w:tc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05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Tentative Work Plan (10-Week Timeline)</w:t>
            </w:r>
          </w:p>
        </w:tc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6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06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Software / Hardware Required</w:t>
            </w:r>
          </w:p>
        </w:tc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07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References</w:t>
            </w:r>
          </w:p>
        </w:tc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sz w:val="22"/>
        </w:rPr>
        <w:t>Student's Signature: ____________________________</w:t>
      </w:r>
      <w:r>
        <w:t xml:space="preserve">          </w:t>
      </w:r>
      <w:r>
        <w:rPr>
          <w:rFonts w:ascii="Times New Roman" w:hAnsi="Times New Roman"/>
          <w:sz w:val="22"/>
        </w:rPr>
        <w:t>Guide's Signature: ____________________________</w:t>
      </w:r>
    </w:p>
    <w:p>
      <w:r>
        <w:br w:type="page"/>
      </w:r>
    </w:p>
    <w:p>
      <w:pPr>
        <w:spacing w:before="240" w:after="120" w:line="450" w:lineRule="exact"/>
        <w:jc w:val="left"/>
      </w:pPr>
      <w:r>
        <w:rPr>
          <w:rFonts w:ascii="Times New Roman" w:hAnsi="Times New Roman"/>
          <w:b/>
          <w:i w:val="0"/>
          <w:sz w:val="30"/>
        </w:rPr>
        <w:t>1. Introduction</w:t>
      </w:r>
    </w:p>
    <w:p>
      <w:pPr>
        <w:spacing w:before="40" w:after="80" w:line="330" w:lineRule="exact"/>
        <w:jc w:val="both"/>
      </w:pPr>
      <w:r>
        <w:rPr>
          <w:rFonts w:ascii="Times New Roman" w:hAnsi="Times New Roman"/>
          <w:b w:val="0"/>
          <w:i w:val="0"/>
          <w:sz w:val="22"/>
        </w:rPr>
        <w:t>Deepfake technology refers to the use of deep learning — particularly Generative Adversarial Networks (GANs) and Variational Autoencoders (VAEs) — to synthesize hyper-realistic video content in which a person's face is digitally replaced or manipulated. The term "deepfake" combines "deep learning" and "fake," and these AI-generated videos have become increasingly indistinguishable from authentic recordings, posing severe threats to digital identity verification, political integrity, and financial security.</w:t>
      </w:r>
    </w:p>
    <w:p>
      <w:pPr>
        <w:spacing w:before="40" w:after="80" w:line="330" w:lineRule="exact"/>
        <w:jc w:val="both"/>
      </w:pPr>
      <w:r>
        <w:rPr>
          <w:rFonts w:ascii="Times New Roman" w:hAnsi="Times New Roman"/>
          <w:b w:val="0"/>
          <w:i w:val="0"/>
          <w:sz w:val="22"/>
        </w:rPr>
        <w:t>The proposed project, DeepGuard AI, addresses this problem by developing a Dual-Stream Spatial and Frequency-Domain Deepfake Video Detection System. Unlike conventional detectors that rely solely on pixel-level (spatial) analysis, our system simultaneously analyzes facial images in two complementary domains: (1) the spatial domain using an EfficientNet-B4 convolutional backbone, and (2) the frequency domain using a 2D Discrete Cosine Transform (DCT) spectral pipeline. The outputs of both streams are fused using an attention-gated mechanism to produce a final authenticity verdict, accompanied by Grad-CAM visual explanations and an interactive Streamlit web dashboard.</w:t>
      </w:r>
    </w:p>
    <w:p>
      <w:pPr>
        <w:spacing w:before="200" w:after="80" w:line="390" w:lineRule="exact"/>
        <w:jc w:val="left"/>
      </w:pPr>
      <w:r>
        <w:rPr>
          <w:rFonts w:ascii="Times New Roman" w:hAnsi="Times New Roman"/>
          <w:b/>
          <w:i w:val="0"/>
          <w:sz w:val="26"/>
        </w:rPr>
        <w:t>Technology Domain</w:t>
      </w:r>
    </w:p>
    <w:p>
      <w:pPr>
        <w:spacing w:before="40" w:after="80" w:line="330" w:lineRule="exact"/>
        <w:jc w:val="both"/>
      </w:pPr>
      <w:r>
        <w:rPr>
          <w:rFonts w:ascii="Times New Roman" w:hAnsi="Times New Roman"/>
          <w:b w:val="0"/>
          <w:i w:val="0"/>
          <w:sz w:val="22"/>
        </w:rPr>
        <w:t>This project falls under the domains of Computer Vision, Deep Learning, and Digital Forensics. It leverages state-of-the-art neural network architectures, signal processing mathematics, and explainable AI to address a real-world cybersecurity problem.</w:t>
      </w:r>
    </w:p>
    <w:p>
      <w:pPr>
        <w:spacing w:before="200" w:after="80" w:line="390" w:lineRule="exact"/>
        <w:jc w:val="left"/>
      </w:pPr>
      <w:r>
        <w:rPr>
          <w:rFonts w:ascii="Times New Roman" w:hAnsi="Times New Roman"/>
          <w:b/>
          <w:i w:val="0"/>
          <w:sz w:val="26"/>
        </w:rPr>
        <w:t>Key Technical Terms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Deepfake: An AI-generated video in which a person's facial appearance is manipulated or replaced using neural network models.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GAN (Generative Adversarial Network): A neural network framework consisting of a generator (that creates fake images) and a discriminator (that identifies fakes), trained adversarially.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2D-DCT (Discrete Cosine Transform): A mathematical transformation that converts an image from the spatial pixel domain into frequency components, revealing hidden periodic artifacts left by GAN upsampling.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EfficientNet-B4: A compact, high-accuracy convolutional neural network by Google that uses compound scaling of depth, width, and resolution for optimal performance-to-size ratio.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Grad-CAM (Gradient-weighted Class Activation Map): An explainability technique that generates a visual heatmap showing which facial regions the neural network focused on when making its classification decision.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Attention-Gated Fusion: A learnable mechanism that dynamically assigns weights to spatial and frequency features based on their discriminative relevance for a given input.</w:t>
      </w:r>
    </w:p>
    <w:p>
      <w:pPr>
        <w:spacing w:before="40" w:after="80" w:line="330" w:lineRule="exact"/>
        <w:jc w:val="both"/>
      </w:pPr>
      <w:r>
        <w:rPr>
          <w:rFonts w:ascii="Times New Roman" w:hAnsi="Times New Roman"/>
          <w:b w:val="0"/>
          <w:i w:val="0"/>
          <w:sz w:val="22"/>
        </w:rPr>
        <w:t>The system is trained and evaluated on standard benchmark datasets — FaceForensics++ (FF++) and Celeb-DF v2 — and deployed via a Streamlit web interface, enabling forensic examiners, security researchers, and verification platforms to upload videos and receive real-time detection results with visual evidence.</w:t>
      </w:r>
    </w:p>
    <w:p>
      <w:r>
        <w:br w:type="page"/>
      </w:r>
    </w:p>
    <w:p>
      <w:pPr>
        <w:spacing w:before="240" w:after="120" w:line="450" w:lineRule="exact"/>
        <w:jc w:val="left"/>
      </w:pPr>
      <w:r>
        <w:rPr>
          <w:rFonts w:ascii="Times New Roman" w:hAnsi="Times New Roman"/>
          <w:b/>
          <w:i w:val="0"/>
          <w:sz w:val="30"/>
        </w:rPr>
        <w:t>2. Statement of Problem and Objectives</w:t>
      </w:r>
    </w:p>
    <w:p>
      <w:pPr>
        <w:spacing w:before="200" w:after="80" w:line="390" w:lineRule="exact"/>
        <w:jc w:val="left"/>
      </w:pPr>
      <w:r>
        <w:rPr>
          <w:rFonts w:ascii="Times New Roman" w:hAnsi="Times New Roman"/>
          <w:b/>
          <w:i w:val="0"/>
          <w:sz w:val="26"/>
        </w:rPr>
        <w:t>2.1 Statement of Problem</w:t>
      </w:r>
    </w:p>
    <w:p>
      <w:pPr>
        <w:spacing w:before="40" w:after="80" w:line="330" w:lineRule="exact"/>
        <w:jc w:val="both"/>
      </w:pPr>
      <w:r>
        <w:rPr>
          <w:rFonts w:ascii="Times New Roman" w:hAnsi="Times New Roman"/>
          <w:b w:val="0"/>
          <w:i w:val="0"/>
          <w:sz w:val="22"/>
        </w:rPr>
        <w:t>The exponential proliferation of AI-generated deepfake videos poses critical threats across multiple sectors: digital banking KYC bypass, political disinformation, and judicial evidence manipulation. Existing deepfake detection systems exhibit the following major limitations: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Spatial-Only Vulnerability: Conventional RGB-based CNN detectors (e.g., XceptionNet, MesoNet) achieve high accuracy on uncompressed videos but lose 20–35% accuracy when videos are compressed by platforms like WhatsApp or YouTube (H.264 codec), because compression destroys subtle pixel-level manipulation artifacts.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Lack of Frequency-Domain Analysis: No mainstream detection system exploits the systematic spectral fingerprints that GAN upsampling operations leave in the frequency domain — fingerprints that remain detectable even after heavy compression.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Forensic Opacity: Most deployed systems output only a probability score without any explanation of which facial regions triggered the detection, making them inadmissible in legal and regulatory contexts.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Deployment Gap: Research-grade detection systems exist only as command-line scripts with no user-friendly interface for non-expert forensic examiners or banking officers.</w:t>
      </w:r>
    </w:p>
    <w:p>
      <w:pPr>
        <w:spacing w:before="200" w:after="80" w:line="390" w:lineRule="exact"/>
        <w:jc w:val="left"/>
      </w:pPr>
      <w:r>
        <w:rPr>
          <w:rFonts w:ascii="Times New Roman" w:hAnsi="Times New Roman"/>
          <w:b/>
          <w:i w:val="0"/>
          <w:sz w:val="26"/>
        </w:rPr>
        <w:t>2.2 Objectives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1. To implement automated facial region extraction from continuous video streams using MTCNN face detection with 15% contextual boundary margins.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2. To design and implement a dual-stream deep learning architecture that processes facial images concurrently in the spatial domain (EfficientNet-B4) and the frequency domain (2D-DCT + Spectral CNN).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3. To formulate and implement the Radial Azimuthal DCT Spectrum A(r) = (1/|S_r|) Σ|F(u,v)| to extract rotationally invariant GAN upsampling fingerprints from frequency maps.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4. To train and rigorously evaluate the dual-stream model on FaceForensics++ (c23 and c40 compression tiers) and Celeb-DF v2 datasets, targeting AUC-ROC ≥ 0.968 and detection accuracy ≥ 94% under compression.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5. To implement Gradient-weighted Class Activation Mapping (Grad-CAM) for forensic explainability, generating spatial heatmaps that visually indicate which facial regions triggered the detection verdict.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6. To develop and deploy an interactive forensic web dashboard using Streamlit with real-time video upload, frame-by-frame analysis, confidence gauge visualization, and DCT spectrum display.</w:t>
      </w:r>
    </w:p>
    <w:p>
      <w:r>
        <w:br w:type="page"/>
      </w:r>
    </w:p>
    <w:p>
      <w:pPr>
        <w:spacing w:before="240" w:after="120" w:line="450" w:lineRule="exact"/>
        <w:jc w:val="left"/>
      </w:pPr>
      <w:r>
        <w:rPr>
          <w:rFonts w:ascii="Times New Roman" w:hAnsi="Times New Roman"/>
          <w:b/>
          <w:i w:val="0"/>
          <w:sz w:val="30"/>
        </w:rPr>
        <w:t>3. Literature Survey</w:t>
      </w:r>
    </w:p>
    <w:p>
      <w:pPr>
        <w:spacing w:before="40" w:after="80" w:line="330" w:lineRule="exact"/>
        <w:jc w:val="both"/>
      </w:pPr>
      <w:r>
        <w:rPr>
          <w:rFonts w:ascii="Times New Roman" w:hAnsi="Times New Roman"/>
          <w:b w:val="0"/>
          <w:i w:val="0"/>
          <w:sz w:val="22"/>
        </w:rPr>
        <w:t>A systematic review of prior work identifies both the progress and critical gaps in deepfake detection research: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Rossler et al. (2019) — FaceForensics++: Introduced the FaceForensics++ benchmark with 5,000 videos across four manipulation methods. Evaluated XceptionNet as baseline, achieving 98.5% on raw but only 89.3% on c23-compressed videos, demonstrating the compression vulnerability of spatial-only detectors.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Frank et al. (2020) — Frequency Analysis: Demonstrated that GAN-generated images exhibit systematic spectral discrepancies in the Fourier domain. This foundational work established that frequency-domain fingerprints of GAN upsampling persist even after compression — the core theoretical basis of our frequency stream.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Qian et al. (2020) — F3-Net: Proposed the Frequency in Face Forgery Network using DCT-based frequency-aware clues. Achieved 90.4% on c23-compressed FF++, outperforming spatial-only methods, but lacks spatial semantic features and explainability.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Afchar et al. (2018) — MesoNet: Designed a compact mesoscopic CNN (MesoNet-4) for real-time detection. Lightweight but limited representational capacity, failing on modern high-resolution deepfakes (70.5% on c23).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Li et al. (2020) — Celeb-DF: Introduced the Celeb-DF v2 dataset with 5,639 high-quality celebrity deepfakes exhibiting minimal visual artifacts. Revealed that models trained on FF++ generalize poorly to cross-dataset evaluation.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Tan &amp; Le (2019) — EfficientNet: Proposed compound scaling of CNN depth, width, and resolution. EfficientNet-B4 achieves ImageNet accuracy competitive with larger models at 3× fewer parameters, making it ideal as our spatial backbone.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Selvaraju et al. (2020) — Grad-CAM: Introduced gradient-weighted class activation mapping for visual explanations from CNNs. Applied in our system to identify facial regions that trigger deepfake classification, enabling forensic transparency.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Durall et al. (2020) — Spectral Analysis of GANs: Showed that CNN-based generative models fail to reproduce natural image spectral distributions, with upsampling operations introducing periodic checkerboard artifacts in DCT spectra — directly exploited in our frequency stream.</w:t>
      </w:r>
    </w:p>
    <w:p>
      <w:r>
        <w:br w:type="page"/>
      </w:r>
    </w:p>
    <w:p>
      <w:pPr>
        <w:spacing w:before="240" w:after="120" w:line="450" w:lineRule="exact"/>
        <w:jc w:val="left"/>
      </w:pPr>
      <w:r>
        <w:rPr>
          <w:rFonts w:ascii="Times New Roman" w:hAnsi="Times New Roman"/>
          <w:b/>
          <w:i w:val="0"/>
          <w:sz w:val="30"/>
        </w:rPr>
        <w:t>4. Expected Outcome / Scope of the Project</w:t>
      </w:r>
    </w:p>
    <w:p>
      <w:pPr>
        <w:spacing w:before="200" w:after="80" w:line="390" w:lineRule="exact"/>
        <w:jc w:val="left"/>
      </w:pPr>
      <w:r>
        <w:rPr>
          <w:rFonts w:ascii="Times New Roman" w:hAnsi="Times New Roman"/>
          <w:b/>
          <w:i w:val="0"/>
          <w:sz w:val="26"/>
        </w:rPr>
        <w:t>4.1 Expected Outcomes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1. A trained PyTorch model (DualStreamNet) achieving ≥ 98.9% detection accuracy on uncompressed FaceForensics++ and ≥ 94.2% on c23-compressed videos, significantly outperforming spatial-only baselines.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2. A functional Streamlit web dashboard allowing upload of video files, automatic face extraction, real-time per-frame classification with confidence scores, DCT spectrum visualization, and Grad-CAM heatmap generation.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3. Grad-CAM explainability heatmaps that visually identify the specific facial regions (eyes, jaw boundary, skin texture) that the model flags as manipulated — suitable for forensic report generation.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4. A complete modular Python codebase covering preprocessing, dual-stream inference, training pipeline, and evaluation scripts, uploaded to a public GitHub repository.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5. Full academic documentation: 60+ page project report, AKTU-compliant synopsis, and viva presentation slides.</w:t>
      </w:r>
    </w:p>
    <w:p>
      <w:pPr>
        <w:spacing w:before="200" w:after="80" w:line="390" w:lineRule="exact"/>
        <w:jc w:val="left"/>
      </w:pPr>
      <w:r>
        <w:rPr>
          <w:rFonts w:ascii="Times New Roman" w:hAnsi="Times New Roman"/>
          <w:b/>
          <w:i w:val="0"/>
          <w:sz w:val="26"/>
        </w:rPr>
        <w:t>4.2 Intended Users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Digital forensic investigators and law enforcement agencies verifying video evidence.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Banking and fintech platforms defending against deepfake-based KYC bypass attacks.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Social media content moderation teams identifying and flagging manipulated media.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Journalists and news organizations verifying the authenticity of political video content.</w:t>
      </w:r>
    </w:p>
    <w:p>
      <w:pPr>
        <w:spacing w:before="200" w:after="80" w:line="390" w:lineRule="exact"/>
        <w:jc w:val="left"/>
      </w:pPr>
      <w:r>
        <w:rPr>
          <w:rFonts w:ascii="Times New Roman" w:hAnsi="Times New Roman"/>
          <w:b/>
          <w:i w:val="0"/>
          <w:sz w:val="26"/>
        </w:rPr>
        <w:t>4.3 Future Scope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Audio-visual synchronization analysis using lip-motion correlation and speech prosody features.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Temporal inter-frame analysis using Video Transformers (TimeSformer) to detect blinking cadence anomalies.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Mobile deployment via TensorRT quantization and ONNX Runtime for edge security cameras.</w:t>
      </w:r>
    </w:p>
    <w:p>
      <w:pPr>
        <w:spacing w:before="40" w:after="60" w:line="330" w:lineRule="exact"/>
        <w:ind w:left="454"/>
        <w:jc w:val="both"/>
      </w:pPr>
      <w:r>
        <w:rPr>
          <w:rFonts w:ascii="Times New Roman" w:hAnsi="Times New Roman"/>
          <w:b w:val="0"/>
          <w:i w:val="0"/>
          <w:sz w:val="22"/>
        </w:rPr>
        <w:t>• Extension to detect diffusion-model generated content (Sora, Gen-2) and text-to-video synthesis.</w:t>
      </w:r>
    </w:p>
    <w:p>
      <w:r>
        <w:br w:type="page"/>
      </w:r>
    </w:p>
    <w:p>
      <w:pPr>
        <w:spacing w:before="240" w:after="120" w:line="450" w:lineRule="exact"/>
        <w:jc w:val="left"/>
      </w:pPr>
      <w:r>
        <w:rPr>
          <w:rFonts w:ascii="Times New Roman" w:hAnsi="Times New Roman"/>
          <w:b/>
          <w:i w:val="0"/>
          <w:sz w:val="30"/>
        </w:rPr>
        <w:t>5. Tentative Work Plan (10-Week Timeline)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0"/>
        <w:gridCol w:w="3260"/>
        <w:gridCol w:w="3260"/>
      </w:tblGrid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Week / Timeline</w:t>
            </w:r>
          </w:p>
        </w:tc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Phase &amp; Milestone</w:t>
            </w:r>
          </w:p>
        </w:tc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Key Activities &amp; Deliverables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Week 1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Domain Finalisation &amp; Problem Definition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Topic selection, mentor allotment (Dr. Devendra Gautam), preliminary literature search, dataset identification, problem formulation.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Week 2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Synopsis Preparation &amp; Submission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Preparation of formal project synopsis in LIET-prescribed format. Submission for mentor review and approval.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Week 3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Synopsis Review &amp; System Design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Mentor review and title approval. UML use-case design, DFD creation, finalization of dual-stream architecture diagram.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Week 4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Dataset Curation &amp; Preprocessing Pipeline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FaceForensics++ dataset setup. Video frame extraction, MTCNN face detection, canonical 256×256 crop generation.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Week 5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Spatial Stream Implementation — Phase I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EfficientNet-B4 backbone integration via timm library. Training spatial-only baseline. Initial accuracy benchmarking.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Week 6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Mid-Term Review (≥30% Completion)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Formal mid-term evaluation: spatial pipeline demonstration, DCT spectral analysis prototype, progress log sign-off.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Week 7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Frequency Stream &amp; Fusion Implementation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Full 2D-DCT transform + Spectral-CNN implementation. Attention-gated bilinear fusion module. Full DualStreamNet training.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Week 8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Integration, Testing &amp; Dashboard Development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End-to-end pipeline integration. Grad-CAM implementation. Streamlit dashboard development. Cross-dataset testing on Celeb-DF v2.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Week 9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Report Writing &amp; Code Cleanup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Complete project report drafting (60+ pages). GitHub repository finalization. Plagiarism check (Turnitin &lt; 20%). Mentor corrections.</w:t>
            </w:r>
          </w:p>
        </w:tc>
      </w:tr>
      <w:tr>
        <w:tc>
          <w:tcPr>
            <w:tcW w:type="dxa" w:w="3260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Week 10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Final Submission &amp; Viva-Voce Defense</w:t>
            </w:r>
          </w:p>
        </w:tc>
        <w:tc>
          <w:tcPr>
            <w:tcW w:type="dxa" w:w="326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Spiral-bound report submission. Live demo of Streamlit dashboard. PowerPoint presentation. Panel question-and-answer defense.</w:t>
            </w:r>
          </w:p>
        </w:tc>
      </w:tr>
    </w:tbl>
    <w:p>
      <w:r>
        <w:br w:type="page"/>
      </w:r>
    </w:p>
    <w:p>
      <w:pPr>
        <w:spacing w:before="240" w:after="120" w:line="450" w:lineRule="exact"/>
        <w:jc w:val="left"/>
      </w:pPr>
      <w:r>
        <w:rPr>
          <w:rFonts w:ascii="Times New Roman" w:hAnsi="Times New Roman"/>
          <w:b/>
          <w:i w:val="0"/>
          <w:sz w:val="30"/>
        </w:rPr>
        <w:t>6. Software / Hardware Required</w:t>
      </w:r>
    </w:p>
    <w:p>
      <w:pPr>
        <w:spacing w:before="200" w:after="80" w:line="390" w:lineRule="exact"/>
        <w:jc w:val="left"/>
      </w:pPr>
      <w:r>
        <w:rPr>
          <w:rFonts w:ascii="Times New Roman" w:hAnsi="Times New Roman"/>
          <w:b/>
          <w:i w:val="0"/>
          <w:sz w:val="26"/>
        </w:rPr>
        <w:t>6.1 Software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0"/>
        <w:gridCol w:w="4890"/>
      </w:tblGrid>
      <w:tr>
        <w:tc>
          <w:tcPr>
            <w:tcW w:type="dxa" w:w="48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Software / Framework</w:t>
            </w:r>
          </w:p>
        </w:tc>
        <w:tc>
          <w:tcPr>
            <w:tcW w:type="dxa" w:w="48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Purpose / Version</w:t>
            </w:r>
          </w:p>
        </w:tc>
      </w:tr>
      <w:tr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Operating System</w:t>
            </w:r>
          </w:p>
        </w:tc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Windows 10/11 or Ubuntu 20.04 LTS</w:t>
            </w:r>
          </w:p>
        </w:tc>
      </w:tr>
      <w:tr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Programming Language</w:t>
            </w:r>
          </w:p>
        </w:tc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Python 3.10+</w:t>
            </w:r>
          </w:p>
        </w:tc>
      </w:tr>
      <w:tr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Deep Learning Framework</w:t>
            </w:r>
          </w:p>
        </w:tc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PyTorch 2.0+ with CUDA 11.8 (GPU) / CPU fallback</w:t>
            </w:r>
          </w:p>
        </w:tc>
      </w:tr>
      <w:tr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Model Library</w:t>
            </w:r>
          </w:p>
        </w:tc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timm (PyTorch Image Models) for EfficientNet-B4 pretrained weights</w:t>
            </w:r>
          </w:p>
        </w:tc>
      </w:tr>
      <w:tr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Signal Processing</w:t>
            </w:r>
          </w:p>
        </w:tc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SciPy (2D-DCT), NumPy (array operations)</w:t>
            </w:r>
          </w:p>
        </w:tc>
      </w:tr>
      <w:tr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Computer Vision</w:t>
            </w:r>
          </w:p>
        </w:tc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OpenCV 4.8+ (video decoding, frame extraction), MTCNN (face detection)</w:t>
            </w:r>
          </w:p>
        </w:tc>
      </w:tr>
      <w:tr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Web Dashboard</w:t>
            </w:r>
          </w:p>
        </w:tc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Streamlit 1.28+, Plotly 5.17+ (interactive gauges and charts)</w:t>
            </w:r>
          </w:p>
        </w:tc>
      </w:tr>
      <w:tr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Development IDE</w:t>
            </w:r>
          </w:p>
        </w:tc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VS Code / Jupyter Notebook</w:t>
            </w:r>
          </w:p>
        </w:tc>
      </w:tr>
      <w:tr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Version Control</w:t>
            </w:r>
          </w:p>
        </w:tc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Git + GitHub (repository: github.com/DevRanaKaila/DeepGuard-AI)</w:t>
            </w:r>
          </w:p>
        </w:tc>
      </w:tr>
    </w:tbl>
    <w:p>
      <w:pPr>
        <w:spacing w:before="200" w:after="80" w:line="390" w:lineRule="exact"/>
        <w:jc w:val="left"/>
      </w:pPr>
      <w:r>
        <w:rPr>
          <w:rFonts w:ascii="Times New Roman" w:hAnsi="Times New Roman"/>
          <w:b/>
          <w:i w:val="0"/>
          <w:sz w:val="26"/>
        </w:rPr>
        <w:t>6.2 Hardware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0"/>
        <w:gridCol w:w="4890"/>
      </w:tblGrid>
      <w:tr>
        <w:tc>
          <w:tcPr>
            <w:tcW w:type="dxa" w:w="48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Hardware Component</w:t>
            </w:r>
          </w:p>
        </w:tc>
        <w:tc>
          <w:tcPr>
            <w:tcW w:type="dxa" w:w="489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Minimum Specification</w:t>
            </w:r>
          </w:p>
        </w:tc>
      </w:tr>
      <w:tr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Processor</w:t>
            </w:r>
          </w:p>
        </w:tc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Intel Core i5 (8th Gen+) or AMD Ryzen 5 3500U or above</w:t>
            </w:r>
          </w:p>
        </w:tc>
      </w:tr>
      <w:tr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RAM</w:t>
            </w:r>
          </w:p>
        </w:tc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Minimum 8 GB DDR4 (16 GB recommended for training)</w:t>
            </w:r>
          </w:p>
        </w:tc>
      </w:tr>
      <w:tr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Storage</w:t>
            </w:r>
          </w:p>
        </w:tc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50 GB free SSD space (for datasets, models, and code)</w:t>
            </w:r>
          </w:p>
        </w:tc>
      </w:tr>
      <w:tr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GPU (Optional)</w:t>
            </w:r>
          </w:p>
        </w:tc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NVIDIA GPU with 4 GB VRAM+ for accelerated training (CUDA 11.8)</w:t>
            </w:r>
          </w:p>
        </w:tc>
      </w:tr>
      <w:tr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Network</w:t>
            </w:r>
          </w:p>
        </w:tc>
        <w:tc>
          <w:tcPr>
            <w:tcW w:type="dxa" w:w="4890"/>
          </w:tcPr>
          <w:p>
            <w:r>
              <w:rPr>
                <w:rFonts w:ascii="Times New Roman" w:hAnsi="Times New Roman"/>
                <w:sz w:val="22"/>
              </w:rPr>
              <w:t>Internet access for dataset download and package installation</w:t>
            </w:r>
          </w:p>
        </w:tc>
      </w:tr>
    </w:tbl>
    <w:p>
      <w:r>
        <w:br w:type="page"/>
      </w:r>
    </w:p>
    <w:p>
      <w:pPr>
        <w:spacing w:before="240" w:after="120" w:line="450" w:lineRule="exact"/>
        <w:jc w:val="left"/>
      </w:pPr>
      <w:r>
        <w:rPr>
          <w:rFonts w:ascii="Times New Roman" w:hAnsi="Times New Roman"/>
          <w:b/>
          <w:i w:val="0"/>
          <w:sz w:val="30"/>
        </w:rPr>
        <w:t>7. References</w:t>
      </w:r>
    </w:p>
    <w:p>
      <w:pPr>
        <w:spacing w:before="40" w:after="60" w:line="330" w:lineRule="exact"/>
        <w:ind w:left="283" w:hanging="283"/>
        <w:jc w:val="both"/>
      </w:pPr>
      <w:r>
        <w:rPr>
          <w:rFonts w:ascii="Times New Roman" w:hAnsi="Times New Roman"/>
          <w:b w:val="0"/>
          <w:i w:val="0"/>
          <w:sz w:val="22"/>
        </w:rPr>
        <w:t>1. Rossler, A., Cozzolino, D., Verdoliva, L., Riess, C., Thies, J., and Niessner, M., "FaceForensics++: Learning to Detect Manipulated Facial Images," Proceedings of the IEEE/CVF International Conference on Computer Vision (ICCV), pp. 1–11, 2019.</w:t>
      </w:r>
    </w:p>
    <w:p>
      <w:pPr>
        <w:spacing w:before="40" w:after="60" w:line="330" w:lineRule="exact"/>
        <w:ind w:left="283" w:hanging="283"/>
        <w:jc w:val="both"/>
      </w:pPr>
      <w:r>
        <w:rPr>
          <w:rFonts w:ascii="Times New Roman" w:hAnsi="Times New Roman"/>
          <w:b w:val="0"/>
          <w:i w:val="0"/>
          <w:sz w:val="22"/>
        </w:rPr>
        <w:t>2. Frank, J., Eisenhofer, T., Schonherr, L., Fischer, A., Kolossa, D., and Holz, T., "Leveraging Frequency Analysis for Deep Fake Image Recognition," Proceedings of the 37th International Conference on Machine Learning (ICML), vol. 119, pp. 3247–3258, 2020.</w:t>
      </w:r>
    </w:p>
    <w:p>
      <w:pPr>
        <w:spacing w:before="40" w:after="60" w:line="330" w:lineRule="exact"/>
        <w:ind w:left="283" w:hanging="283"/>
        <w:jc w:val="both"/>
      </w:pPr>
      <w:r>
        <w:rPr>
          <w:rFonts w:ascii="Times New Roman" w:hAnsi="Times New Roman"/>
          <w:b w:val="0"/>
          <w:i w:val="0"/>
          <w:sz w:val="22"/>
        </w:rPr>
        <w:t>3. Qian, Y., Yin, G., Sheng, L., Chen, Z., and Shao, J., "Thinking in Frequency: Face Forgery Detection by Mining Frequency-aware Clues," Proceedings of the European Conference on Computer Vision (ECCV), pp. 86–103, 2020.</w:t>
      </w:r>
    </w:p>
    <w:p>
      <w:pPr>
        <w:spacing w:before="40" w:after="60" w:line="330" w:lineRule="exact"/>
        <w:ind w:left="283" w:hanging="283"/>
        <w:jc w:val="both"/>
      </w:pPr>
      <w:r>
        <w:rPr>
          <w:rFonts w:ascii="Times New Roman" w:hAnsi="Times New Roman"/>
          <w:b w:val="0"/>
          <w:i w:val="0"/>
          <w:sz w:val="22"/>
        </w:rPr>
        <w:t>4. Tan, M. and Le, Q. V., "EfficientNet: Rethinking Model Scaling for Convolutional Neural Networks," Proceedings of the 36th International Conference on Machine Learning (ICML), vol. 97, pp. 6105–6114, 2019.</w:t>
      </w:r>
    </w:p>
    <w:p>
      <w:pPr>
        <w:spacing w:before="40" w:after="60" w:line="330" w:lineRule="exact"/>
        <w:ind w:left="283" w:hanging="283"/>
        <w:jc w:val="both"/>
      </w:pPr>
      <w:r>
        <w:rPr>
          <w:rFonts w:ascii="Times New Roman" w:hAnsi="Times New Roman"/>
          <w:b w:val="0"/>
          <w:i w:val="0"/>
          <w:sz w:val="22"/>
        </w:rPr>
        <w:t>5. Afchar, D., Nozick, V., Yamagishi, J., and Echizen, I., "MesoNet: A Compact Facial Video Forgery Detection Network," IEEE International Workshop on Information Forensics and Security (WIFS), pp. 1–7, 2018.</w:t>
      </w:r>
    </w:p>
    <w:p>
      <w:pPr>
        <w:spacing w:before="40" w:after="60" w:line="330" w:lineRule="exact"/>
        <w:ind w:left="283" w:hanging="283"/>
        <w:jc w:val="both"/>
      </w:pPr>
      <w:r>
        <w:rPr>
          <w:rFonts w:ascii="Times New Roman" w:hAnsi="Times New Roman"/>
          <w:b w:val="0"/>
          <w:i w:val="0"/>
          <w:sz w:val="22"/>
        </w:rPr>
        <w:t>6. Li, Y., Yang, X., Sun, P., Qi, H., and Lyu, S., "Celeb-DF: A Large-scale Challenging Dataset for DeepFake Forensics," Proceedings of the IEEE/CVF Conference on Computer Vision and Pattern Recognition (CVPR), pp. 3207–3216, 2020.</w:t>
      </w:r>
    </w:p>
    <w:p>
      <w:pPr>
        <w:spacing w:before="40" w:after="60" w:line="330" w:lineRule="exact"/>
        <w:ind w:left="283" w:hanging="283"/>
        <w:jc w:val="both"/>
      </w:pPr>
      <w:r>
        <w:rPr>
          <w:rFonts w:ascii="Times New Roman" w:hAnsi="Times New Roman"/>
          <w:b w:val="0"/>
          <w:i w:val="0"/>
          <w:sz w:val="22"/>
        </w:rPr>
        <w:t>7. Durall, R., Keuper, M., and Keuper, J., "Watch Your Up-Convolution: CNN Based Generative Deep Neural Networks Are Failing to Reproduce Spectral Distributions," Proceedings of the IEEE/CVF CVPR, pp. 7890–7899, 2020.</w:t>
      </w:r>
    </w:p>
    <w:p>
      <w:pPr>
        <w:spacing w:before="40" w:after="60" w:line="330" w:lineRule="exact"/>
        <w:ind w:left="283" w:hanging="283"/>
        <w:jc w:val="both"/>
      </w:pPr>
      <w:r>
        <w:rPr>
          <w:rFonts w:ascii="Times New Roman" w:hAnsi="Times New Roman"/>
          <w:b w:val="0"/>
          <w:i w:val="0"/>
          <w:sz w:val="22"/>
        </w:rPr>
        <w:t>8. Selvaraju, R. R., Cogswell, M., Das, A., Vedaldi, A., Parikh, D., and Batra, D., "Grad-CAM: Visual Explanations from Deep Networks via Gradient-Based Localization," International Journal of Computer Vision, vol. 128, pp. 336–359, 2020.</w:t>
      </w:r>
    </w:p>
    <w:p>
      <w:pPr>
        <w:spacing w:before="40" w:after="60" w:line="330" w:lineRule="exact"/>
        <w:ind w:left="283" w:hanging="283"/>
        <w:jc w:val="both"/>
      </w:pPr>
      <w:r>
        <w:rPr>
          <w:rFonts w:ascii="Times New Roman" w:hAnsi="Times New Roman"/>
          <w:b w:val="0"/>
          <w:i w:val="0"/>
          <w:sz w:val="22"/>
        </w:rPr>
        <w:t>9. Zhang, K., Zhang, Z., Li, Z., and Qiao, Y., "Joint Face Detection and Alignment Using Multitask Cascaded Convolutional Networks," IEEE Signal Processing Letters, vol. 23, no. 10, pp. 1499–1503, 2016.</w:t>
      </w:r>
    </w:p>
    <w:p>
      <w:pPr>
        <w:spacing w:before="40" w:after="60" w:line="330" w:lineRule="exact"/>
        <w:ind w:left="283" w:hanging="283"/>
        <w:jc w:val="both"/>
      </w:pPr>
      <w:r>
        <w:rPr>
          <w:rFonts w:ascii="Times New Roman" w:hAnsi="Times New Roman"/>
          <w:b w:val="0"/>
          <w:i w:val="0"/>
          <w:sz w:val="22"/>
        </w:rPr>
        <w:t>10. Loshchilov, I. and Hutter, F., "Decoupled Weight Decay Regularization," International Conference on Learning Representations (ICLR), pp. 1–10, 2019.</w:t>
      </w:r>
    </w:p>
    <w:sectPr w:rsidR="00FC693F" w:rsidRPr="0006063C" w:rsidSect="00034616">
      <w:pgSz w:w="11906" w:h="16838"/>
      <w:pgMar w:top="1417" w:right="709" w:bottom="709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