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02C57"/>
          <w:sz w:val="30"/>
        </w:rPr>
        <w:t>LLOYD INSTITUTE OF ENGINEERING &amp; TECHNOLOGY</w:t>
        <w:br/>
      </w:r>
      <w:r>
        <w:rPr>
          <w:rFonts w:ascii="Times New Roman" w:hAnsi="Times New Roman"/>
          <w:color w:val="505050"/>
          <w:sz w:val="19"/>
        </w:rPr>
        <w:t>(Affiliated to Dr. A.P.J. Abdul Kalam Technical University &amp; Approved by AICTE, New Delhi)</w:t>
        <w:br/>
        <w:t>Plot No. 3, Knowledge Park II, Greater Noida, Uttar Pradesh – 201306</w:t>
        <w:br/>
      </w:r>
    </w:p>
    <w:p>
      <w:pPr>
        <w:spacing w:before="80" w:after="360"/>
        <w:jc w:val="center"/>
      </w:pPr>
      <w:r>
        <w:rPr>
          <w:rFonts w:ascii="Times New Roman" w:hAnsi="Times New Roman"/>
          <w:b/>
          <w:color w:val="1E1E1E"/>
          <w:sz w:val="22"/>
        </w:rPr>
        <w:t>DEPARTMENT OF COMPUTER SCIENCE &amp; ENGINEERING &amp; ALLIED BRANCHES</w:t>
        <w:br/>
        <w:t>ARTIFICIAL INTELLIGENCE &amp; MACHINE LEARNING</w:t>
      </w:r>
    </w:p>
    <w:p>
      <w:pPr>
        <w:spacing w:after="320"/>
        <w:jc w:val="center"/>
      </w:pPr>
      <w:r>
        <w:rPr>
          <w:color w:val="B4B4B4"/>
        </w:rPr>
        <w:t>____________________________________________________________________</w:t>
      </w:r>
    </w:p>
    <w:p>
      <w:pPr>
        <w:spacing w:after="80"/>
        <w:jc w:val="center"/>
      </w:pPr>
      <w:r>
        <w:rPr>
          <w:rFonts w:ascii="Times New Roman" w:hAnsi="Times New Roman"/>
          <w:b/>
          <w:color w:val="102C57"/>
          <w:sz w:val="32"/>
        </w:rPr>
        <w:t>SYNOPSIS</w:t>
        <w:br/>
      </w:r>
      <w:r>
        <w:rPr>
          <w:rFonts w:ascii="Times New Roman" w:hAnsi="Times New Roman"/>
          <w:b/>
          <w:color w:val="3C3C3C"/>
          <w:sz w:val="23"/>
        </w:rPr>
        <w:t>MINI PROJECT / MAJOR PROJECT–I (B.TECH SEMESTER VII)</w:t>
      </w:r>
    </w:p>
    <w:p>
      <w:pPr>
        <w:spacing w:before="160" w:after="160"/>
      </w:pPr>
    </w:p>
    <w:tbl>
      <w:tblPr>
        <w:tblW w:type="auto" w:w="0"/>
        <w:jc w:val="center"/>
        <w:tblLook w:firstColumn="1" w:firstRow="1" w:lastColumn="0" w:lastRow="0" w:noHBand="0" w:noVBand="1" w:val="04A0"/>
      </w:tblPr>
      <w:tblGrid>
        <w:gridCol w:w="8309"/>
      </w:tblGrid>
      <w:tr>
        <w:tc>
          <w:tcPr>
            <w:tcW w:type="dxa" w:w="8309"/>
            <w:shd w:fill="F0F4F8"/>
            <w:tcMar>
              <w:top w:w="200" w:type="dxa"/>
              <w:bottom w:w="200" w:type="dxa"/>
              <w:left w:w="300" w:type="dxa"/>
              <w:right w:w="300" w:type="dxa"/>
            </w:tcMar>
          </w:tcPr>
          <w:p>
            <w:pPr>
              <w:jc w:val="center"/>
            </w:pPr>
            <w:r>
              <w:rPr>
                <w:rFonts w:ascii="Times New Roman" w:hAnsi="Times New Roman"/>
                <w:b/>
                <w:color w:val="102C57"/>
                <w:sz w:val="27"/>
              </w:rPr>
              <w:t>Dual-Stream Spatial and Frequency-Domain Deepfake Video Detection using EfficientNet and Discrete Cosine Transform (DCT)</w:t>
            </w:r>
          </w:p>
        </w:tc>
      </w:tr>
    </w:tbl>
    <w:p>
      <w:pPr>
        <w:spacing w:before="640" w:after="40"/>
        <w:jc w:val="center"/>
      </w:pPr>
      <w:r>
        <w:rPr>
          <w:rFonts w:ascii="Times New Roman" w:hAnsi="Times New Roman"/>
          <w:i/>
          <w:sz w:val="22"/>
        </w:rPr>
        <w:t>Submitted By</w:t>
        <w:br/>
      </w:r>
      <w:r>
        <w:rPr>
          <w:rFonts w:ascii="Times New Roman" w:hAnsi="Times New Roman"/>
          <w:b/>
          <w:sz w:val="26"/>
        </w:rPr>
        <w:t>DEV RANA KAILA</w:t>
        <w:br/>
      </w:r>
      <w:r>
        <w:rPr>
          <w:rFonts w:ascii="Times New Roman" w:hAnsi="Times New Roman"/>
          <w:sz w:val="22"/>
        </w:rPr>
        <w:t>University Roll / Enrollment No.: 2301531530023</w:t>
        <w:br/>
        <w:t>Branch: Computer Science &amp; Engineering (AIML)</w:t>
        <w:br/>
        <w:t>Semester: VII (Final Year)</w:t>
      </w:r>
    </w:p>
    <w:p>
      <w:pPr>
        <w:spacing w:before="400" w:after="400"/>
        <w:jc w:val="center"/>
      </w:pPr>
      <w:r>
        <w:rPr>
          <w:rFonts w:ascii="Times New Roman" w:hAnsi="Times New Roman"/>
          <w:i/>
          <w:sz w:val="22"/>
        </w:rPr>
        <w:t>Under the Supervision of</w:t>
        <w:br/>
      </w:r>
      <w:r>
        <w:rPr>
          <w:rFonts w:ascii="Times New Roman" w:hAnsi="Times New Roman"/>
          <w:b/>
          <w:sz w:val="26"/>
        </w:rPr>
        <w:t>Dr. Devendra Gautam</w:t>
        <w:br/>
      </w:r>
      <w:r>
        <w:rPr>
          <w:rFonts w:ascii="Times New Roman" w:hAnsi="Times New Roman"/>
          <w:sz w:val="21"/>
        </w:rPr>
        <w:t>Associate Professor &amp; Mini Project / Internship Coordinator</w:t>
        <w:br/>
        <w:t>Department of Computer Science &amp; Engineering</w:t>
      </w:r>
    </w:p>
    <w:p>
      <w:pPr>
        <w:spacing w:before="360"/>
        <w:jc w:val="center"/>
      </w:pPr>
      <w:r>
        <w:rPr>
          <w:rFonts w:ascii="Times New Roman" w:hAnsi="Times New Roman"/>
          <w:b/>
          <w:sz w:val="22"/>
        </w:rPr>
        <w:t>Academic Session 2026–2027</w:t>
        <w:br/>
      </w:r>
      <w:r>
        <w:rPr>
          <w:rFonts w:ascii="Times New Roman" w:hAnsi="Times New Roman"/>
          <w:i/>
          <w:color w:val="5A5A5A"/>
          <w:sz w:val="19"/>
        </w:rPr>
        <w:t>Submitted in partial fulfillment of the requirements for the degree of Bachelor of Technology in Computer Science &amp; Engineering (AIML)</w:t>
      </w:r>
    </w:p>
    <w:p>
      <w:r>
        <w:br w:type="page"/>
      </w:r>
    </w:p>
    <w:p>
      <w:pPr>
        <w:spacing w:after="360"/>
        <w:jc w:val="center"/>
      </w:pPr>
      <w:r>
        <w:rPr>
          <w:rFonts w:ascii="Times New Roman" w:hAnsi="Times New Roman"/>
          <w:b/>
          <w:sz w:val="32"/>
        </w:rPr>
        <w:t>Certificate</w:t>
      </w:r>
    </w:p>
    <w:p>
      <w:pPr>
        <w:spacing w:line="360" w:lineRule="auto" w:after="320"/>
      </w:pPr>
      <w:r>
        <w:rPr>
          <w:rFonts w:ascii="Times New Roman" w:hAnsi="Times New Roman"/>
          <w:sz w:val="22"/>
        </w:rPr>
        <w:t>This is to certify that the project synopsis entitled “Dual-Stream Spatial and Frequency-Domain Deepfake Video Detection using EfficientNet and Discrete Cosine Transform (DCT)” is a bonafide proposal submitted by Dev Rana Kaila, University Roll / Enrollment No. 2301531530023, student of Bachelor of Technology in Computer Science &amp; Engineering (Artificial Intelligence &amp; Machine Learning), 7th Semester, at Lloyd Institute of Engineering &amp; Technology, Greater Noida, for the academic session 2026–2027.</w:t>
        <w:br/>
        <w:br/>
        <w:t>The proposed research work investigates deep learning methodologies for facial manipulation forensics, utilizing a dual-branch spatial convolutional network and frequency-domain artifact extraction via 2D Discrete Cosine Transform (DCT) to distinguish authentic video frames from synthetic and face-swapped deepfakes. The synopsis fulfills the requirements prescribed under the AKTU B.Tech Project Evaluation Guidelines.</w:t>
      </w:r>
    </w:p>
    <w:p>
      <w:pPr>
        <w:spacing w:before="2800"/>
      </w:pPr>
    </w:p>
    <w:tbl>
      <w:tblPr>
        <w:tblW w:type="auto" w:w="0"/>
        <w:jc w:val="center"/>
        <w:tblLayout w:type="fixed"/>
        <w:tblLook w:firstColumn="1" w:firstRow="1" w:lastColumn="0" w:lastRow="0" w:noHBand="0" w:noVBand="1" w:val="04A0"/>
      </w:tblPr>
      <w:tblGrid>
        <w:gridCol w:w="4608"/>
        <w:gridCol w:w="4608"/>
      </w:tblGrid>
      <w:tr>
        <w:tc>
          <w:tcPr>
            <w:tcW w:type="dxa" w:w="4154"/>
          </w:tcPr>
          <w:p>
            <w:r>
              <w:rPr>
                <w:b/>
              </w:rPr>
              <w:t>_____________________________</w:t>
              <w:br/>
            </w:r>
            <w:r>
              <w:rPr>
                <w:b/>
              </w:rPr>
              <w:t>Dr. Devendra Gautam</w:t>
              <w:br/>
            </w:r>
            <w:r>
              <w:t>Project Guide &amp; Coordinator</w:t>
              <w:br/>
              <w:t>Associate Professor, Dept. of CSE</w:t>
            </w:r>
          </w:p>
        </w:tc>
        <w:tc>
          <w:tcPr>
            <w:tcW w:type="dxa" w:w="4154"/>
          </w:tcPr>
          <w:p>
            <w:pPr>
              <w:jc w:val="right"/>
            </w:pPr>
            <w:r>
              <w:rPr>
                <w:b/>
              </w:rPr>
              <w:t>_____________________________</w:t>
              <w:br/>
            </w:r>
            <w:r>
              <w:rPr>
                <w:b/>
              </w:rPr>
              <w:t>Head of Department</w:t>
              <w:br/>
            </w:r>
            <w:r>
              <w:t>Dept. of Computer Science &amp; Engineering</w:t>
              <w:br/>
              <w:t>Lloyd Institute of Engg. &amp; Tech.</w:t>
            </w:r>
          </w:p>
        </w:tc>
      </w:tr>
      <w:tr>
        <w:tc>
          <w:tcPr>
            <w:tcW w:type="dxa" w:w="4154"/>
          </w:tcPr>
          <w:p>
            <w:pPr>
              <w:spacing w:before="600"/>
            </w:pPr>
            <w:r>
              <w:t>Date: ______________</w:t>
              <w:br/>
              <w:t>Place: Greater Noida</w:t>
            </w:r>
          </w:p>
        </w:tc>
        <w:tc>
          <w:tcPr>
            <w:tcW w:type="dxa" w:w="4154"/>
          </w:tcPr>
          <w:p>
            <w:pPr>
              <w:spacing w:before="600"/>
              <w:jc w:val="right"/>
            </w:pPr>
            <w:r>
              <w:t>Department Seal / Stamp</w:t>
            </w:r>
          </w:p>
        </w:tc>
      </w:tr>
    </w:tbl>
    <w:p>
      <w:r>
        <w:br w:type="page"/>
      </w:r>
    </w:p>
    <w:p>
      <w:pPr>
        <w:spacing w:after="360"/>
        <w:jc w:val="center"/>
      </w:pPr>
      <w:r>
        <w:rPr>
          <w:rFonts w:ascii="Times New Roman" w:hAnsi="Times New Roman"/>
          <w:b/>
          <w:sz w:val="32"/>
        </w:rPr>
        <w:t>Declaration</w:t>
      </w:r>
    </w:p>
    <w:p>
      <w:pPr>
        <w:spacing w:line="360" w:lineRule="auto" w:after="320"/>
      </w:pPr>
      <w:r>
        <w:rPr>
          <w:rFonts w:ascii="Times New Roman" w:hAnsi="Times New Roman"/>
          <w:sz w:val="22"/>
        </w:rPr>
        <w:t>I, Dev Rana Kaila, University Roll / Enrollment No. 2301531530023, student of Bachelor of Technology in Computer Science &amp; Engineering (Artificial Intelligence &amp; Machine Learning), 7th Semester, hereby declare that this project synopsis entitled “Dual-Stream Spatial and Frequency-Domain Deepfake Video Detection using EfficientNet and Discrete Cosine Transform (DCT)” has been prepared by me for academic project evaluation at Lloyd Institute of Engineering &amp; Technology, Greater Noida.</w:t>
        <w:br/>
        <w:br/>
        <w:t>I affirm that the work described in this synopsis represents my original proposal and thorough review of existing literature. The proposed methodology, architectural formulations, experimental setup, and anticipated outcomes have been designed in accordance with AKTU guidelines and academic integrity standards. Any literature, datasets, or software tools referenced have been properly credited and cited.</w:t>
      </w:r>
    </w:p>
    <w:p>
      <w:pPr>
        <w:spacing w:before="2200"/>
      </w:pPr>
      <w:r>
        <w:rPr>
          <w:b/>
        </w:rPr>
        <w:t>Signature: ___________________________</w:t>
        <w:br/>
        <w:br/>
      </w:r>
      <w:r>
        <w:rPr>
          <w:b/>
        </w:rPr>
        <w:t>Student Name: Dev Rana Kaila</w:t>
        <w:br/>
      </w:r>
      <w:r>
        <w:t>Enrollment / Roll No.: 2301531530023</w:t>
        <w:br/>
      </w:r>
      <w:r>
        <w:t>Branch: B.Tech CSE (AIML), Semester VII</w:t>
        <w:br/>
      </w:r>
      <w:r>
        <w:t>Date: ______________</w:t>
        <w:br/>
      </w:r>
      <w:r>
        <w:t>Place: Greater Noida</w:t>
      </w:r>
    </w:p>
    <w:p>
      <w:r>
        <w:br w:type="page"/>
      </w:r>
    </w:p>
    <w:p>
      <w:pPr>
        <w:spacing w:after="360"/>
        <w:jc w:val="center"/>
      </w:pPr>
      <w:r>
        <w:rPr>
          <w:rFonts w:ascii="Times New Roman" w:hAnsi="Times New Roman"/>
          <w:b/>
          <w:sz w:val="32"/>
        </w:rPr>
        <w:t>Abstract</w:t>
      </w:r>
    </w:p>
    <w:p>
      <w:pPr>
        <w:spacing w:line="348" w:lineRule="auto" w:after="240"/>
      </w:pPr>
      <w:r>
        <w:rPr>
          <w:rFonts w:ascii="Times New Roman" w:hAnsi="Times New Roman"/>
          <w:sz w:val="22"/>
        </w:rPr>
        <w:t>The rapid emergence of deep generative modeling, including Generative Adversarial Networks (GANs) and Diffusion Models, has made the synthesis of hyper-realistic facial media (deepfakes) ubiquitous. While offering novel utilities in creative entertainment, deepfakes present grave threats to biometric identity systems, automated financial KYC pipelines, executive communications, and democratic integrity. Conventional detection models rely predominantly on RGB spatial convolutional neural networks, which attempt to localize visible visual flaws like warping or boundary blending. However, spatial detectors suffer devastating accuracy degradation when subjected to real-world social media video compression (e.g., H.264/H.265 codecs) and downsampling.</w:t>
        <w:br/>
        <w:br/>
        <w:t>To overcome this bottleneck, this project proposes a novel Dual-Stream Spatial and Frequency-Domain Deepfake Video Detection Framework. The architecture bifurcates each extracted facial frame into two complementary processing branches: (1) a Spatial Stream utilizing a pre-trained EfficientNet-B4 backbone with Squeeze-and-Excitation attention to extract high-level semantic texture anomalies, and (2) a Frequency Stream employing 2D Discrete Cosine Transform (DCT) combined with radial azimuthal spectral pooling to detect periodic high-frequency grid artifacts left behind by generative upsampling layers. The spatial and spectral feature vectors are dynamically integrated via an attention-gated bilinear fusion mechanism to predict frame-level and temporal video authenticity.</w:t>
        <w:br/>
        <w:br/>
        <w:t>The system will be evaluated across standard benchmark datasets: FaceForensics++ (c23 and c40 compression tiers) and Celeb-DF v2. Performance will be assessed using AUC-ROC, F1-Score, Detection Accuracy, and Equal Error Rate (EER). Furthermore, an interactive forensic dashboard built with FastAPI and Streamlit is developed to provide examiners with real-time video inference, probability gauges, and Grad-CAM spatial-spectral explainability heatmaps.</w:t>
      </w:r>
    </w:p>
    <w:p>
      <w:pPr>
        <w:spacing w:before="160"/>
      </w:pPr>
      <w:r>
        <w:rPr>
          <w:b/>
          <w:sz w:val="21"/>
        </w:rPr>
        <w:t xml:space="preserve">Keywords: </w:t>
      </w:r>
      <w:r>
        <w:rPr>
          <w:i/>
          <w:sz w:val="21"/>
        </w:rPr>
        <w:t>Deepfake Detection, Computer Vision, EfficientNet-B4, 2D Discrete Cosine Transform (DCT), Frequency Analysis, Spatial-Frequency Fusion, FaceForensics++, Explainable AI.</w:t>
      </w:r>
    </w:p>
    <w:p>
      <w:r>
        <w:br w:type="page"/>
      </w:r>
    </w:p>
    <w:p>
      <w:pPr>
        <w:spacing w:after="36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7488"/>
        <w:gridCol w:w="1728"/>
      </w:tblGrid>
      <w:tr>
        <w:tc>
          <w:tcPr>
            <w:tcW w:type="dxa" w:w="7488"/>
          </w:tcPr>
          <w:p>
            <w:pPr>
              <w:spacing w:after="40"/>
            </w:pPr>
            <w:r>
              <w:rPr>
                <w:b/>
                <w:sz w:val="20"/>
              </w:rPr>
              <w:t>Certificate</w:t>
            </w:r>
          </w:p>
        </w:tc>
        <w:tc>
          <w:tcPr>
            <w:tcW w:type="dxa" w:w="1728"/>
          </w:tcPr>
          <w:p>
            <w:pPr>
              <w:spacing w:after="40"/>
              <w:jc w:val="right"/>
            </w:pPr>
            <w:r>
              <w:rPr>
                <w:b/>
                <w:sz w:val="20"/>
              </w:rPr>
              <w:t>1</w:t>
            </w:r>
          </w:p>
        </w:tc>
      </w:tr>
      <w:tr>
        <w:tc>
          <w:tcPr>
            <w:tcW w:type="dxa" w:w="7488"/>
          </w:tcPr>
          <w:p>
            <w:pPr>
              <w:spacing w:after="40"/>
            </w:pPr>
            <w:r>
              <w:rPr>
                <w:b/>
                <w:sz w:val="20"/>
              </w:rPr>
              <w:t>Declaration</w:t>
            </w:r>
          </w:p>
        </w:tc>
        <w:tc>
          <w:tcPr>
            <w:tcW w:type="dxa" w:w="1728"/>
          </w:tcPr>
          <w:p>
            <w:pPr>
              <w:spacing w:after="40"/>
              <w:jc w:val="right"/>
            </w:pPr>
            <w:r>
              <w:rPr>
                <w:b/>
                <w:sz w:val="20"/>
              </w:rPr>
              <w:t>2</w:t>
            </w:r>
          </w:p>
        </w:tc>
      </w:tr>
      <w:tr>
        <w:tc>
          <w:tcPr>
            <w:tcW w:type="dxa" w:w="7488"/>
          </w:tcPr>
          <w:p>
            <w:pPr>
              <w:spacing w:after="40"/>
            </w:pPr>
            <w:r>
              <w:rPr>
                <w:b/>
                <w:sz w:val="20"/>
              </w:rPr>
              <w:t>Abstract</w:t>
            </w:r>
          </w:p>
        </w:tc>
        <w:tc>
          <w:tcPr>
            <w:tcW w:type="dxa" w:w="1728"/>
          </w:tcPr>
          <w:p>
            <w:pPr>
              <w:spacing w:after="40"/>
              <w:jc w:val="right"/>
            </w:pPr>
            <w:r>
              <w:rPr>
                <w:b/>
                <w:sz w:val="20"/>
              </w:rPr>
              <w:t>3</w:t>
            </w:r>
          </w:p>
        </w:tc>
      </w:tr>
      <w:tr>
        <w:tc>
          <w:tcPr>
            <w:tcW w:type="dxa" w:w="7488"/>
          </w:tcPr>
          <w:p>
            <w:pPr>
              <w:spacing w:after="40"/>
            </w:pPr>
            <w:r>
              <w:rPr>
                <w:b/>
                <w:sz w:val="20"/>
              </w:rPr>
              <w:t>1. Introduction</w:t>
            </w:r>
          </w:p>
        </w:tc>
        <w:tc>
          <w:tcPr>
            <w:tcW w:type="dxa" w:w="1728"/>
          </w:tcPr>
          <w:p>
            <w:pPr>
              <w:spacing w:after="40"/>
              <w:jc w:val="right"/>
            </w:pPr>
            <w:r>
              <w:rPr>
                <w:b/>
                <w:sz w:val="20"/>
              </w:rPr>
              <w:t>5</w:t>
            </w:r>
          </w:p>
        </w:tc>
      </w:tr>
      <w:tr>
        <w:tc>
          <w:tcPr>
            <w:tcW w:type="dxa" w:w="7488"/>
          </w:tcPr>
          <w:p>
            <w:pPr>
              <w:spacing w:after="40"/>
            </w:pPr>
            <w:r>
              <w:rPr>
                <w:sz w:val="20"/>
              </w:rPr>
              <w:t xml:space="preserve">    1.1 Background &amp; Societal Context</w:t>
            </w:r>
          </w:p>
        </w:tc>
        <w:tc>
          <w:tcPr>
            <w:tcW w:type="dxa" w:w="1728"/>
          </w:tcPr>
          <w:p>
            <w:pPr>
              <w:spacing w:after="40"/>
              <w:jc w:val="right"/>
            </w:pPr>
            <w:r>
              <w:rPr>
                <w:sz w:val="20"/>
              </w:rPr>
              <w:t>5</w:t>
            </w:r>
          </w:p>
        </w:tc>
      </w:tr>
      <w:tr>
        <w:tc>
          <w:tcPr>
            <w:tcW w:type="dxa" w:w="7488"/>
          </w:tcPr>
          <w:p>
            <w:pPr>
              <w:spacing w:after="40"/>
            </w:pPr>
            <w:r>
              <w:rPr>
                <w:sz w:val="20"/>
              </w:rPr>
              <w:t xml:space="preserve">    1.2 Project Overview</w:t>
            </w:r>
          </w:p>
        </w:tc>
        <w:tc>
          <w:tcPr>
            <w:tcW w:type="dxa" w:w="1728"/>
          </w:tcPr>
          <w:p>
            <w:pPr>
              <w:spacing w:after="40"/>
              <w:jc w:val="right"/>
            </w:pPr>
            <w:r>
              <w:rPr>
                <w:sz w:val="20"/>
              </w:rPr>
              <w:t>5</w:t>
            </w:r>
          </w:p>
        </w:tc>
      </w:tr>
      <w:tr>
        <w:tc>
          <w:tcPr>
            <w:tcW w:type="dxa" w:w="7488"/>
          </w:tcPr>
          <w:p>
            <w:pPr>
              <w:spacing w:after="40"/>
            </w:pPr>
            <w:r>
              <w:rPr>
                <w:sz w:val="20"/>
              </w:rPr>
              <w:t xml:space="preserve">    1.3 Motivation &amp; Research Justification</w:t>
            </w:r>
          </w:p>
        </w:tc>
        <w:tc>
          <w:tcPr>
            <w:tcW w:type="dxa" w:w="1728"/>
          </w:tcPr>
          <w:p>
            <w:pPr>
              <w:spacing w:after="40"/>
              <w:jc w:val="right"/>
            </w:pPr>
            <w:r>
              <w:rPr>
                <w:sz w:val="20"/>
              </w:rPr>
              <w:t>6</w:t>
            </w:r>
          </w:p>
        </w:tc>
      </w:tr>
      <w:tr>
        <w:tc>
          <w:tcPr>
            <w:tcW w:type="dxa" w:w="7488"/>
          </w:tcPr>
          <w:p>
            <w:pPr>
              <w:spacing w:after="40"/>
            </w:pPr>
            <w:r>
              <w:rPr>
                <w:b/>
                <w:sz w:val="20"/>
              </w:rPr>
              <w:t>2. Problem Statement and Objectives</w:t>
            </w:r>
          </w:p>
        </w:tc>
        <w:tc>
          <w:tcPr>
            <w:tcW w:type="dxa" w:w="1728"/>
          </w:tcPr>
          <w:p>
            <w:pPr>
              <w:spacing w:after="40"/>
              <w:jc w:val="right"/>
            </w:pPr>
            <w:r>
              <w:rPr>
                <w:b/>
                <w:sz w:val="20"/>
              </w:rPr>
              <w:t>7</w:t>
            </w:r>
          </w:p>
        </w:tc>
      </w:tr>
      <w:tr>
        <w:tc>
          <w:tcPr>
            <w:tcW w:type="dxa" w:w="7488"/>
          </w:tcPr>
          <w:p>
            <w:pPr>
              <w:spacing w:after="40"/>
            </w:pPr>
            <w:r>
              <w:rPr>
                <w:sz w:val="20"/>
              </w:rPr>
              <w:t xml:space="preserve">    2.1 Problem Statement</w:t>
            </w:r>
          </w:p>
        </w:tc>
        <w:tc>
          <w:tcPr>
            <w:tcW w:type="dxa" w:w="1728"/>
          </w:tcPr>
          <w:p>
            <w:pPr>
              <w:spacing w:after="40"/>
              <w:jc w:val="right"/>
            </w:pPr>
            <w:r>
              <w:rPr>
                <w:sz w:val="20"/>
              </w:rPr>
              <w:t>7</w:t>
            </w:r>
          </w:p>
        </w:tc>
      </w:tr>
      <w:tr>
        <w:tc>
          <w:tcPr>
            <w:tcW w:type="dxa" w:w="7488"/>
          </w:tcPr>
          <w:p>
            <w:pPr>
              <w:spacing w:after="40"/>
            </w:pPr>
            <w:r>
              <w:rPr>
                <w:sz w:val="20"/>
              </w:rPr>
              <w:t xml:space="preserve">    2.2 Objectives</w:t>
            </w:r>
          </w:p>
        </w:tc>
        <w:tc>
          <w:tcPr>
            <w:tcW w:type="dxa" w:w="1728"/>
          </w:tcPr>
          <w:p>
            <w:pPr>
              <w:spacing w:after="40"/>
              <w:jc w:val="right"/>
            </w:pPr>
            <w:r>
              <w:rPr>
                <w:sz w:val="20"/>
              </w:rPr>
              <w:t>7</w:t>
            </w:r>
          </w:p>
        </w:tc>
      </w:tr>
      <w:tr>
        <w:tc>
          <w:tcPr>
            <w:tcW w:type="dxa" w:w="7488"/>
          </w:tcPr>
          <w:p>
            <w:pPr>
              <w:spacing w:after="40"/>
            </w:pPr>
            <w:r>
              <w:rPr>
                <w:sz w:val="20"/>
              </w:rPr>
              <w:t xml:space="preserve">    2.3 Scope and Boundary of the Project</w:t>
            </w:r>
          </w:p>
        </w:tc>
        <w:tc>
          <w:tcPr>
            <w:tcW w:type="dxa" w:w="1728"/>
          </w:tcPr>
          <w:p>
            <w:pPr>
              <w:spacing w:after="40"/>
              <w:jc w:val="right"/>
            </w:pPr>
            <w:r>
              <w:rPr>
                <w:sz w:val="20"/>
              </w:rPr>
              <w:t>7</w:t>
            </w:r>
          </w:p>
        </w:tc>
      </w:tr>
      <w:tr>
        <w:tc>
          <w:tcPr>
            <w:tcW w:type="dxa" w:w="7488"/>
          </w:tcPr>
          <w:p>
            <w:pPr>
              <w:spacing w:after="40"/>
            </w:pPr>
            <w:r>
              <w:rPr>
                <w:b/>
                <w:sz w:val="20"/>
              </w:rPr>
              <w:t>3. Literature Background &amp; Comparative Analysis</w:t>
            </w:r>
          </w:p>
        </w:tc>
        <w:tc>
          <w:tcPr>
            <w:tcW w:type="dxa" w:w="1728"/>
          </w:tcPr>
          <w:p>
            <w:pPr>
              <w:spacing w:after="40"/>
              <w:jc w:val="right"/>
            </w:pPr>
            <w:r>
              <w:rPr>
                <w:b/>
                <w:sz w:val="20"/>
              </w:rPr>
              <w:t>8</w:t>
            </w:r>
          </w:p>
        </w:tc>
      </w:tr>
      <w:tr>
        <w:tc>
          <w:tcPr>
            <w:tcW w:type="dxa" w:w="7488"/>
          </w:tcPr>
          <w:p>
            <w:pPr>
              <w:spacing w:after="40"/>
            </w:pPr>
            <w:r>
              <w:rPr>
                <w:sz w:val="20"/>
              </w:rPr>
              <w:t xml:space="preserve">    3.1 Overview of Deepfake Generation Mechanisms</w:t>
            </w:r>
          </w:p>
        </w:tc>
        <w:tc>
          <w:tcPr>
            <w:tcW w:type="dxa" w:w="1728"/>
          </w:tcPr>
          <w:p>
            <w:pPr>
              <w:spacing w:after="40"/>
              <w:jc w:val="right"/>
            </w:pPr>
            <w:r>
              <w:rPr>
                <w:sz w:val="20"/>
              </w:rPr>
              <w:t>8</w:t>
            </w:r>
          </w:p>
        </w:tc>
      </w:tr>
      <w:tr>
        <w:tc>
          <w:tcPr>
            <w:tcW w:type="dxa" w:w="7488"/>
          </w:tcPr>
          <w:p>
            <w:pPr>
              <w:spacing w:after="40"/>
            </w:pPr>
            <w:r>
              <w:rPr>
                <w:sz w:val="20"/>
              </w:rPr>
              <w:t xml:space="preserve">    3.2 Related Detection Architectures</w:t>
            </w:r>
          </w:p>
        </w:tc>
        <w:tc>
          <w:tcPr>
            <w:tcW w:type="dxa" w:w="1728"/>
          </w:tcPr>
          <w:p>
            <w:pPr>
              <w:spacing w:after="40"/>
              <w:jc w:val="right"/>
            </w:pPr>
            <w:r>
              <w:rPr>
                <w:sz w:val="20"/>
              </w:rPr>
              <w:t>8</w:t>
            </w:r>
          </w:p>
        </w:tc>
      </w:tr>
      <w:tr>
        <w:tc>
          <w:tcPr>
            <w:tcW w:type="dxa" w:w="7488"/>
          </w:tcPr>
          <w:p>
            <w:pPr>
              <w:spacing w:after="40"/>
            </w:pPr>
            <w:r>
              <w:rPr>
                <w:sz w:val="20"/>
              </w:rPr>
              <w:t xml:space="preserve">    3.3 Positioning of the Present Work &amp; Comparative Matrix</w:t>
            </w:r>
          </w:p>
        </w:tc>
        <w:tc>
          <w:tcPr>
            <w:tcW w:type="dxa" w:w="1728"/>
          </w:tcPr>
          <w:p>
            <w:pPr>
              <w:spacing w:after="40"/>
              <w:jc w:val="right"/>
            </w:pPr>
            <w:r>
              <w:rPr>
                <w:sz w:val="20"/>
              </w:rPr>
              <w:t>9</w:t>
            </w:r>
          </w:p>
        </w:tc>
      </w:tr>
      <w:tr>
        <w:tc>
          <w:tcPr>
            <w:tcW w:type="dxa" w:w="7488"/>
          </w:tcPr>
          <w:p>
            <w:pPr>
              <w:spacing w:after="40"/>
            </w:pPr>
            <w:r>
              <w:rPr>
                <w:b/>
                <w:sz w:val="20"/>
              </w:rPr>
              <w:t>4. Proposed Methodology &amp; System Pipeline</w:t>
            </w:r>
          </w:p>
        </w:tc>
        <w:tc>
          <w:tcPr>
            <w:tcW w:type="dxa" w:w="1728"/>
          </w:tcPr>
          <w:p>
            <w:pPr>
              <w:spacing w:after="40"/>
              <w:jc w:val="right"/>
            </w:pPr>
            <w:r>
              <w:rPr>
                <w:b/>
                <w:sz w:val="20"/>
              </w:rPr>
              <w:t>10</w:t>
            </w:r>
          </w:p>
        </w:tc>
      </w:tr>
      <w:tr>
        <w:tc>
          <w:tcPr>
            <w:tcW w:type="dxa" w:w="7488"/>
          </w:tcPr>
          <w:p>
            <w:pPr>
              <w:spacing w:after="40"/>
            </w:pPr>
            <w:r>
              <w:rPr>
                <w:sz w:val="20"/>
              </w:rPr>
              <w:t xml:space="preserve">    4.1 Overall Architectural Workflow</w:t>
            </w:r>
          </w:p>
        </w:tc>
        <w:tc>
          <w:tcPr>
            <w:tcW w:type="dxa" w:w="1728"/>
          </w:tcPr>
          <w:p>
            <w:pPr>
              <w:spacing w:after="40"/>
              <w:jc w:val="right"/>
            </w:pPr>
            <w:r>
              <w:rPr>
                <w:sz w:val="20"/>
              </w:rPr>
              <w:t>10</w:t>
            </w:r>
          </w:p>
        </w:tc>
      </w:tr>
      <w:tr>
        <w:tc>
          <w:tcPr>
            <w:tcW w:type="dxa" w:w="7488"/>
          </w:tcPr>
          <w:p>
            <w:pPr>
              <w:spacing w:after="40"/>
            </w:pPr>
            <w:r>
              <w:rPr>
                <w:sz w:val="20"/>
              </w:rPr>
              <w:t xml:space="preserve">    4.2 End-to-End System Pipeline</w:t>
            </w:r>
          </w:p>
        </w:tc>
        <w:tc>
          <w:tcPr>
            <w:tcW w:type="dxa" w:w="1728"/>
          </w:tcPr>
          <w:p>
            <w:pPr>
              <w:spacing w:after="40"/>
              <w:jc w:val="right"/>
            </w:pPr>
            <w:r>
              <w:rPr>
                <w:sz w:val="20"/>
              </w:rPr>
              <w:t>10</w:t>
            </w:r>
          </w:p>
        </w:tc>
      </w:tr>
      <w:tr>
        <w:tc>
          <w:tcPr>
            <w:tcW w:type="dxa" w:w="7488"/>
          </w:tcPr>
          <w:p>
            <w:pPr>
              <w:spacing w:after="40"/>
            </w:pPr>
            <w:r>
              <w:rPr>
                <w:sz w:val="20"/>
              </w:rPr>
              <w:t xml:space="preserve">    4.3 Dataset Selection &amp; Benchmark Repositories</w:t>
            </w:r>
          </w:p>
        </w:tc>
        <w:tc>
          <w:tcPr>
            <w:tcW w:type="dxa" w:w="1728"/>
          </w:tcPr>
          <w:p>
            <w:pPr>
              <w:spacing w:after="40"/>
              <w:jc w:val="right"/>
            </w:pPr>
            <w:r>
              <w:rPr>
                <w:sz w:val="20"/>
              </w:rPr>
              <w:t>11</w:t>
            </w:r>
          </w:p>
        </w:tc>
      </w:tr>
      <w:tr>
        <w:tc>
          <w:tcPr>
            <w:tcW w:type="dxa" w:w="7488"/>
          </w:tcPr>
          <w:p>
            <w:pPr>
              <w:spacing w:after="40"/>
            </w:pPr>
            <w:r>
              <w:rPr>
                <w:sz w:val="20"/>
              </w:rPr>
              <w:t xml:space="preserve">    4.4 Preprocessing, Face Alignment &amp; Data Augmentation</w:t>
            </w:r>
          </w:p>
        </w:tc>
        <w:tc>
          <w:tcPr>
            <w:tcW w:type="dxa" w:w="1728"/>
          </w:tcPr>
          <w:p>
            <w:pPr>
              <w:spacing w:after="40"/>
              <w:jc w:val="right"/>
            </w:pPr>
            <w:r>
              <w:rPr>
                <w:sz w:val="20"/>
              </w:rPr>
              <w:t>11</w:t>
            </w:r>
          </w:p>
        </w:tc>
      </w:tr>
      <w:tr>
        <w:tc>
          <w:tcPr>
            <w:tcW w:type="dxa" w:w="7488"/>
          </w:tcPr>
          <w:p>
            <w:pPr>
              <w:spacing w:after="40"/>
            </w:pPr>
            <w:r>
              <w:rPr>
                <w:b/>
                <w:sz w:val="20"/>
              </w:rPr>
              <w:t>5. Model Design &amp; Mathematical Formulation</w:t>
            </w:r>
          </w:p>
        </w:tc>
        <w:tc>
          <w:tcPr>
            <w:tcW w:type="dxa" w:w="1728"/>
          </w:tcPr>
          <w:p>
            <w:pPr>
              <w:spacing w:after="40"/>
              <w:jc w:val="right"/>
            </w:pPr>
            <w:r>
              <w:rPr>
                <w:b/>
                <w:sz w:val="20"/>
              </w:rPr>
              <w:t>12</w:t>
            </w:r>
          </w:p>
        </w:tc>
      </w:tr>
      <w:tr>
        <w:tc>
          <w:tcPr>
            <w:tcW w:type="dxa" w:w="7488"/>
          </w:tcPr>
          <w:p>
            <w:pPr>
              <w:spacing w:after="40"/>
            </w:pPr>
            <w:r>
              <w:rPr>
                <w:sz w:val="20"/>
              </w:rPr>
              <w:t xml:space="preserve">    5.1 Dual-Stream Spatial-Frequency Architecture</w:t>
            </w:r>
          </w:p>
        </w:tc>
        <w:tc>
          <w:tcPr>
            <w:tcW w:type="dxa" w:w="1728"/>
          </w:tcPr>
          <w:p>
            <w:pPr>
              <w:spacing w:after="40"/>
              <w:jc w:val="right"/>
            </w:pPr>
            <w:r>
              <w:rPr>
                <w:sz w:val="20"/>
              </w:rPr>
              <w:t>12</w:t>
            </w:r>
          </w:p>
        </w:tc>
      </w:tr>
      <w:tr>
        <w:tc>
          <w:tcPr>
            <w:tcW w:type="dxa" w:w="7488"/>
          </w:tcPr>
          <w:p>
            <w:pPr>
              <w:spacing w:after="40"/>
            </w:pPr>
            <w:r>
              <w:rPr>
                <w:sz w:val="20"/>
              </w:rPr>
              <w:t xml:space="preserve">    5.2 Stream I: Spatial Feature Extraction (EfficientNet-B4)</w:t>
            </w:r>
          </w:p>
        </w:tc>
        <w:tc>
          <w:tcPr>
            <w:tcW w:type="dxa" w:w="1728"/>
          </w:tcPr>
          <w:p>
            <w:pPr>
              <w:spacing w:after="40"/>
              <w:jc w:val="right"/>
            </w:pPr>
            <w:r>
              <w:rPr>
                <w:sz w:val="20"/>
              </w:rPr>
              <w:t>12</w:t>
            </w:r>
          </w:p>
        </w:tc>
      </w:tr>
      <w:tr>
        <w:tc>
          <w:tcPr>
            <w:tcW w:type="dxa" w:w="7488"/>
          </w:tcPr>
          <w:p>
            <w:pPr>
              <w:spacing w:after="40"/>
            </w:pPr>
            <w:r>
              <w:rPr>
                <w:sz w:val="20"/>
              </w:rPr>
              <w:t xml:space="preserve">    5.3 Stream II: Frequency-Domain Artifact Extraction (2D-DCT)</w:t>
            </w:r>
          </w:p>
        </w:tc>
        <w:tc>
          <w:tcPr>
            <w:tcW w:type="dxa" w:w="1728"/>
          </w:tcPr>
          <w:p>
            <w:pPr>
              <w:spacing w:after="40"/>
              <w:jc w:val="right"/>
            </w:pPr>
            <w:r>
              <w:rPr>
                <w:sz w:val="20"/>
              </w:rPr>
              <w:t>13</w:t>
            </w:r>
          </w:p>
        </w:tc>
      </w:tr>
      <w:tr>
        <w:tc>
          <w:tcPr>
            <w:tcW w:type="dxa" w:w="7488"/>
          </w:tcPr>
          <w:p>
            <w:pPr>
              <w:spacing w:after="40"/>
            </w:pPr>
            <w:r>
              <w:rPr>
                <w:sz w:val="20"/>
              </w:rPr>
              <w:t xml:space="preserve">    5.4 Feature Fusion Mechanism &amp; Classification Head</w:t>
            </w:r>
          </w:p>
        </w:tc>
        <w:tc>
          <w:tcPr>
            <w:tcW w:type="dxa" w:w="1728"/>
          </w:tcPr>
          <w:p>
            <w:pPr>
              <w:spacing w:after="40"/>
              <w:jc w:val="right"/>
            </w:pPr>
            <w:r>
              <w:rPr>
                <w:sz w:val="20"/>
              </w:rPr>
              <w:t>14</w:t>
            </w:r>
          </w:p>
        </w:tc>
      </w:tr>
      <w:tr>
        <w:tc>
          <w:tcPr>
            <w:tcW w:type="dxa" w:w="7488"/>
          </w:tcPr>
          <w:p>
            <w:pPr>
              <w:spacing w:after="40"/>
            </w:pPr>
            <w:r>
              <w:rPr>
                <w:sz w:val="20"/>
              </w:rPr>
              <w:t xml:space="preserve">    5.5 Architectural Hyperparameter Configuration</w:t>
            </w:r>
          </w:p>
        </w:tc>
        <w:tc>
          <w:tcPr>
            <w:tcW w:type="dxa" w:w="1728"/>
          </w:tcPr>
          <w:p>
            <w:pPr>
              <w:spacing w:after="40"/>
              <w:jc w:val="right"/>
            </w:pPr>
            <w:r>
              <w:rPr>
                <w:sz w:val="20"/>
              </w:rPr>
              <w:t>14</w:t>
            </w:r>
          </w:p>
        </w:tc>
      </w:tr>
      <w:tr>
        <w:tc>
          <w:tcPr>
            <w:tcW w:type="dxa" w:w="7488"/>
          </w:tcPr>
          <w:p>
            <w:pPr>
              <w:spacing w:after="40"/>
            </w:pPr>
            <w:r>
              <w:rPr>
                <w:b/>
                <w:sz w:val="20"/>
              </w:rPr>
              <w:t>6. Training and Evaluation Framework</w:t>
            </w:r>
          </w:p>
        </w:tc>
        <w:tc>
          <w:tcPr>
            <w:tcW w:type="dxa" w:w="1728"/>
          </w:tcPr>
          <w:p>
            <w:pPr>
              <w:spacing w:after="40"/>
              <w:jc w:val="right"/>
            </w:pPr>
            <w:r>
              <w:rPr>
                <w:b/>
                <w:sz w:val="20"/>
              </w:rPr>
              <w:t>15</w:t>
            </w:r>
          </w:p>
        </w:tc>
      </w:tr>
      <w:tr>
        <w:tc>
          <w:tcPr>
            <w:tcW w:type="dxa" w:w="7488"/>
          </w:tcPr>
          <w:p>
            <w:pPr>
              <w:spacing w:after="40"/>
            </w:pPr>
            <w:r>
              <w:rPr>
                <w:sz w:val="20"/>
              </w:rPr>
              <w:t xml:space="preserve">    6.1 Training Configuration &amp; Hyperparameters</w:t>
            </w:r>
          </w:p>
        </w:tc>
        <w:tc>
          <w:tcPr>
            <w:tcW w:type="dxa" w:w="1728"/>
          </w:tcPr>
          <w:p>
            <w:pPr>
              <w:spacing w:after="40"/>
              <w:jc w:val="right"/>
            </w:pPr>
            <w:r>
              <w:rPr>
                <w:sz w:val="20"/>
              </w:rPr>
              <w:t>15</w:t>
            </w:r>
          </w:p>
        </w:tc>
      </w:tr>
      <w:tr>
        <w:tc>
          <w:tcPr>
            <w:tcW w:type="dxa" w:w="7488"/>
          </w:tcPr>
          <w:p>
            <w:pPr>
              <w:spacing w:after="40"/>
            </w:pPr>
            <w:r>
              <w:rPr>
                <w:sz w:val="20"/>
              </w:rPr>
              <w:t xml:space="preserve">    6.2 Loss Function Formulation</w:t>
            </w:r>
          </w:p>
        </w:tc>
        <w:tc>
          <w:tcPr>
            <w:tcW w:type="dxa" w:w="1728"/>
          </w:tcPr>
          <w:p>
            <w:pPr>
              <w:spacing w:after="40"/>
              <w:jc w:val="right"/>
            </w:pPr>
            <w:r>
              <w:rPr>
                <w:sz w:val="20"/>
              </w:rPr>
              <w:t>15</w:t>
            </w:r>
          </w:p>
        </w:tc>
      </w:tr>
      <w:tr>
        <w:tc>
          <w:tcPr>
            <w:tcW w:type="dxa" w:w="7488"/>
          </w:tcPr>
          <w:p>
            <w:pPr>
              <w:spacing w:after="40"/>
            </w:pPr>
            <w:r>
              <w:rPr>
                <w:sz w:val="20"/>
              </w:rPr>
              <w:t xml:space="preserve">    6.3 Quantitative Evaluation Metrics</w:t>
            </w:r>
          </w:p>
        </w:tc>
        <w:tc>
          <w:tcPr>
            <w:tcW w:type="dxa" w:w="1728"/>
          </w:tcPr>
          <w:p>
            <w:pPr>
              <w:spacing w:after="40"/>
              <w:jc w:val="right"/>
            </w:pPr>
            <w:r>
              <w:rPr>
                <w:sz w:val="20"/>
              </w:rPr>
              <w:t>16</w:t>
            </w:r>
          </w:p>
        </w:tc>
      </w:tr>
      <w:tr>
        <w:tc>
          <w:tcPr>
            <w:tcW w:type="dxa" w:w="7488"/>
          </w:tcPr>
          <w:p>
            <w:pPr>
              <w:spacing w:after="40"/>
            </w:pPr>
            <w:r>
              <w:rPr>
                <w:sz w:val="20"/>
              </w:rPr>
              <w:t xml:space="preserve">    6.4 Benchmark Performance Targets</w:t>
            </w:r>
          </w:p>
        </w:tc>
        <w:tc>
          <w:tcPr>
            <w:tcW w:type="dxa" w:w="1728"/>
          </w:tcPr>
          <w:p>
            <w:pPr>
              <w:spacing w:after="40"/>
              <w:jc w:val="right"/>
            </w:pPr>
            <w:r>
              <w:rPr>
                <w:sz w:val="20"/>
              </w:rPr>
              <w:t>17</w:t>
            </w:r>
          </w:p>
        </w:tc>
      </w:tr>
      <w:tr>
        <w:tc>
          <w:tcPr>
            <w:tcW w:type="dxa" w:w="7488"/>
          </w:tcPr>
          <w:p>
            <w:pPr>
              <w:spacing w:after="40"/>
            </w:pPr>
            <w:r>
              <w:rPr>
                <w:sz w:val="20"/>
              </w:rPr>
              <w:t xml:space="preserve">    6.5 Inference Pipeline &amp; Web-Based Forensic Dashboard</w:t>
            </w:r>
          </w:p>
        </w:tc>
        <w:tc>
          <w:tcPr>
            <w:tcW w:type="dxa" w:w="1728"/>
          </w:tcPr>
          <w:p>
            <w:pPr>
              <w:spacing w:after="40"/>
              <w:jc w:val="right"/>
            </w:pPr>
            <w:r>
              <w:rPr>
                <w:sz w:val="20"/>
              </w:rPr>
              <w:t>17</w:t>
            </w:r>
          </w:p>
        </w:tc>
      </w:tr>
      <w:tr>
        <w:tc>
          <w:tcPr>
            <w:tcW w:type="dxa" w:w="7488"/>
          </w:tcPr>
          <w:p>
            <w:pPr>
              <w:spacing w:after="40"/>
            </w:pPr>
            <w:r>
              <w:rPr>
                <w:b/>
                <w:sz w:val="20"/>
              </w:rPr>
              <w:t>7. Expected Outcomes and Real-World Applications</w:t>
            </w:r>
          </w:p>
        </w:tc>
        <w:tc>
          <w:tcPr>
            <w:tcW w:type="dxa" w:w="1728"/>
          </w:tcPr>
          <w:p>
            <w:pPr>
              <w:spacing w:after="40"/>
              <w:jc w:val="right"/>
            </w:pPr>
            <w:r>
              <w:rPr>
                <w:b/>
                <w:sz w:val="20"/>
              </w:rPr>
              <w:t>18</w:t>
            </w:r>
          </w:p>
        </w:tc>
      </w:tr>
      <w:tr>
        <w:tc>
          <w:tcPr>
            <w:tcW w:type="dxa" w:w="7488"/>
          </w:tcPr>
          <w:p>
            <w:pPr>
              <w:spacing w:after="40"/>
            </w:pPr>
            <w:r>
              <w:rPr>
                <w:sz w:val="20"/>
              </w:rPr>
              <w:t xml:space="preserve">    7.1 Expected Project Deliverables</w:t>
            </w:r>
          </w:p>
        </w:tc>
        <w:tc>
          <w:tcPr>
            <w:tcW w:type="dxa" w:w="1728"/>
          </w:tcPr>
          <w:p>
            <w:pPr>
              <w:spacing w:after="40"/>
              <w:jc w:val="right"/>
            </w:pPr>
            <w:r>
              <w:rPr>
                <w:sz w:val="20"/>
              </w:rPr>
              <w:t>18</w:t>
            </w:r>
          </w:p>
        </w:tc>
      </w:tr>
      <w:tr>
        <w:tc>
          <w:tcPr>
            <w:tcW w:type="dxa" w:w="7488"/>
          </w:tcPr>
          <w:p>
            <w:pPr>
              <w:spacing w:after="40"/>
            </w:pPr>
            <w:r>
              <w:rPr>
                <w:sz w:val="20"/>
              </w:rPr>
              <w:t xml:space="preserve">    7.2 Real-World Industrial &amp; Forensic Applications</w:t>
            </w:r>
          </w:p>
        </w:tc>
        <w:tc>
          <w:tcPr>
            <w:tcW w:type="dxa" w:w="1728"/>
          </w:tcPr>
          <w:p>
            <w:pPr>
              <w:spacing w:after="40"/>
              <w:jc w:val="right"/>
            </w:pPr>
            <w:r>
              <w:rPr>
                <w:sz w:val="20"/>
              </w:rPr>
              <w:t>18</w:t>
            </w:r>
          </w:p>
        </w:tc>
      </w:tr>
      <w:tr>
        <w:tc>
          <w:tcPr>
            <w:tcW w:type="dxa" w:w="7488"/>
          </w:tcPr>
          <w:p>
            <w:pPr>
              <w:spacing w:after="40"/>
            </w:pPr>
            <w:r>
              <w:rPr>
                <w:b/>
                <w:sz w:val="20"/>
              </w:rPr>
              <w:t>8. Tentative 10-Week Work Plan (AKTU Timeline)</w:t>
            </w:r>
          </w:p>
        </w:tc>
        <w:tc>
          <w:tcPr>
            <w:tcW w:type="dxa" w:w="1728"/>
          </w:tcPr>
          <w:p>
            <w:pPr>
              <w:spacing w:after="40"/>
              <w:jc w:val="right"/>
            </w:pPr>
            <w:r>
              <w:rPr>
                <w:b/>
                <w:sz w:val="20"/>
              </w:rPr>
              <w:t>19</w:t>
            </w:r>
          </w:p>
        </w:tc>
      </w:tr>
      <w:tr>
        <w:tc>
          <w:tcPr>
            <w:tcW w:type="dxa" w:w="7488"/>
          </w:tcPr>
          <w:p>
            <w:pPr>
              <w:spacing w:after="40"/>
            </w:pPr>
            <w:r>
              <w:rPr>
                <w:b/>
                <w:sz w:val="20"/>
              </w:rPr>
              <w:t>9. Conclusion and Future Scope</w:t>
            </w:r>
          </w:p>
        </w:tc>
        <w:tc>
          <w:tcPr>
            <w:tcW w:type="dxa" w:w="1728"/>
          </w:tcPr>
          <w:p>
            <w:pPr>
              <w:spacing w:after="40"/>
              <w:jc w:val="right"/>
            </w:pPr>
            <w:r>
              <w:rPr>
                <w:b/>
                <w:sz w:val="20"/>
              </w:rPr>
              <w:t>20</w:t>
            </w:r>
          </w:p>
        </w:tc>
      </w:tr>
      <w:tr>
        <w:tc>
          <w:tcPr>
            <w:tcW w:type="dxa" w:w="7488"/>
          </w:tcPr>
          <w:p>
            <w:pPr>
              <w:spacing w:after="40"/>
            </w:pPr>
            <w:r>
              <w:rPr>
                <w:sz w:val="20"/>
              </w:rPr>
              <w:t xml:space="preserve">    9.1 Conclusion</w:t>
            </w:r>
          </w:p>
        </w:tc>
        <w:tc>
          <w:tcPr>
            <w:tcW w:type="dxa" w:w="1728"/>
          </w:tcPr>
          <w:p>
            <w:pPr>
              <w:spacing w:after="40"/>
              <w:jc w:val="right"/>
            </w:pPr>
            <w:r>
              <w:rPr>
                <w:sz w:val="20"/>
              </w:rPr>
              <w:t>20</w:t>
            </w:r>
          </w:p>
        </w:tc>
      </w:tr>
      <w:tr>
        <w:tc>
          <w:tcPr>
            <w:tcW w:type="dxa" w:w="7488"/>
          </w:tcPr>
          <w:p>
            <w:pPr>
              <w:spacing w:after="40"/>
            </w:pPr>
            <w:r>
              <w:rPr>
                <w:sz w:val="20"/>
              </w:rPr>
              <w:t xml:space="preserve">    9.2 Future Scope</w:t>
            </w:r>
          </w:p>
        </w:tc>
        <w:tc>
          <w:tcPr>
            <w:tcW w:type="dxa" w:w="1728"/>
          </w:tcPr>
          <w:p>
            <w:pPr>
              <w:spacing w:after="40"/>
              <w:jc w:val="right"/>
            </w:pPr>
            <w:r>
              <w:rPr>
                <w:sz w:val="20"/>
              </w:rPr>
              <w:t>20</w:t>
            </w:r>
          </w:p>
        </w:tc>
      </w:tr>
      <w:tr>
        <w:tc>
          <w:tcPr>
            <w:tcW w:type="dxa" w:w="7488"/>
          </w:tcPr>
          <w:p>
            <w:pPr>
              <w:spacing w:after="40"/>
            </w:pPr>
            <w:r>
              <w:rPr>
                <w:b/>
                <w:sz w:val="20"/>
              </w:rPr>
              <w:t>References</w:t>
            </w:r>
          </w:p>
        </w:tc>
        <w:tc>
          <w:tcPr>
            <w:tcW w:type="dxa" w:w="1728"/>
          </w:tcPr>
          <w:p>
            <w:pPr>
              <w:spacing w:after="40"/>
              <w:jc w:val="right"/>
            </w:pPr>
            <w:r>
              <w:rPr>
                <w:b/>
                <w:sz w:val="20"/>
              </w:rPr>
              <w:t>21</w:t>
            </w:r>
          </w:p>
        </w:tc>
      </w:tr>
      <w:tr>
        <w:tc>
          <w:tcPr>
            <w:tcW w:type="dxa" w:w="7488"/>
          </w:tcPr>
          <w:p>
            <w:pPr>
              <w:spacing w:after="40"/>
            </w:pPr>
            <w:r>
              <w:rPr>
                <w:b/>
                <w:sz w:val="20"/>
              </w:rPr>
              <w:t>Student &amp; Guide Information Summary</w:t>
            </w:r>
          </w:p>
        </w:tc>
        <w:tc>
          <w:tcPr>
            <w:tcW w:type="dxa" w:w="1728"/>
          </w:tcPr>
          <w:p>
            <w:pPr>
              <w:spacing w:after="40"/>
              <w:jc w:val="right"/>
            </w:pPr>
            <w:r>
              <w:rPr>
                <w:b/>
                <w:sz w:val="20"/>
              </w:rPr>
              <w:t>22</w:t>
            </w:r>
          </w:p>
        </w:tc>
      </w:tr>
    </w:tbl>
    <w:p>
      <w:r>
        <w:br w:type="page"/>
      </w:r>
    </w:p>
    <w:p>
      <w:r>
        <w:rPr>
          <w:b/>
          <w:color w:val="646464"/>
          <w:sz w:val="26"/>
        </w:rPr>
        <w:t>Chapter 1</w:t>
      </w:r>
    </w:p>
    <w:p>
      <w:pPr>
        <w:spacing w:after="280"/>
      </w:pPr>
      <w:r>
        <w:rPr>
          <w:b/>
          <w:color w:val="102C57"/>
          <w:sz w:val="32"/>
        </w:rPr>
        <w:t>Introduction</w:t>
      </w:r>
    </w:p>
    <w:p>
      <w:r>
        <w:rPr>
          <w:b/>
        </w:rPr>
        <w:t>1.1 Background &amp; Societal Context</w:t>
        <w:br/>
      </w:r>
      <w:r>
        <w:t>Recent breakthroughs in deep generative modeling, specifically Generative Adversarial Networks (GANs), Variational Autoencoders (VAEs), and Latent Diffusion Models (LDMs), have dramatically lowered the barrier to synthesizing and altering realistic human media. Deepfake generation algorithms—popularized by tools such as DeepFaceLab, FaceSwap, SimSwap, and modern text-to-video diffusion frameworks—can alter facial expressions, replace identities, and synchronize lip movements with fabricated speech in high definition. While these capabilities offer creative utilities in film production, digital avatars, and computer graphics, their unauthorized weaponization represents one of the most acute threats to societal trust and cybersecurity.</w:t>
        <w:br/>
        <w:br/>
        <w:t>The proliferation of hyper-realistic manipulated video content has directly catalyzed high-stakes security incidents, including executive identity impersonation in corporate wire fraud, automated KYC (Know Your Customer) bypass attacks in digital banking, political disinformation campaigns during elections, and reputational defamation. As synthetic media engines advance, distinguishability by human visual inspection has plummeted to near-random chance, creating an urgent demand for automated, mathematically grounded, and robust forensic systems capable of authenticating digital video streams.</w:t>
      </w:r>
    </w:p>
    <w:p>
      <w:r>
        <w:rPr>
          <w:b/>
        </w:rPr>
        <w:t>1.2 Project Overview</w:t>
        <w:br/>
      </w:r>
      <w:r>
        <w:t>This project proposes an end-to-end, dual-stream deep learning forensic system designed to detect facial manipulation in digital video sequences. Recognizing that conventional single-stream convolutional networks overfit to spatial domain artifacts (which are easily wiped out by lossy video codecs like H.264 or MPEG-4), our system investigates the complementary synergy between the spatial pixel domain and the frequency spectral domain.</w:t>
        <w:br/>
        <w:br/>
        <w:t>The architecture decouples each face image into two distinct processing pathways: (1) a Spatial Stream powered by an EfficientNet-B4 backbone that captures subtle edge discontinuities, blending boundaries, and textural incongruities, and (2) a Frequency Stream driven by 2D Discrete Cosine Transform (DCT) and azimuthal spectral profiling that detects high-frequency grid patterns left behind by the transposed convolutions and bilinear upsampling operations utilized in generative decoders. A multi-modal feature fusion network unifies these embeddings to yield a calibrated real-versus-fake probability score alongside visual interpretability maps.</w:t>
      </w:r>
    </w:p>
    <w:p>
      <w:r>
        <w:rPr>
          <w:b/>
        </w:rPr>
        <w:t>1.3 Motivation &amp; Research Justification</w:t>
        <w:br/>
      </w:r>
      <w:r>
        <w:t>Current deepfake detection systems exhibit significant vulnerabilities when tested outside controlled laboratory conditions. Standard spatial CNN detectors (such as standard ResNet or VGG models) achieve over 98% accuracy when tested on uncompressed raw frames, but their accuracy drops precipitously to below 65% when exposed to social media compression (e.g., YouTube or WhatsApp video compression). This dramatic degradation occurs because spatial compression algorithms discard subtle pixel gradients.</w:t>
        <w:br/>
        <w:br/>
        <w:t>However, signal processing theory dictates that synthetic image generation introduces systematic spectral artifacts in the frequency domain. Specifically, upsampling modules in GAN generators induce periodic repetitions in the frequency spectrum (spectral peaks) that persist even after heavy compression. By integrating 2D-DCT frequency analysis alongside spatial convolutions, the proposed project establishes a resilient defense mechanism capable of generalizing across diverse manipulation techniques and real-world transmission channels.</w:t>
      </w:r>
    </w:p>
    <w:p>
      <w:r>
        <w:br w:type="page"/>
      </w:r>
    </w:p>
    <w:p>
      <w:r>
        <w:rPr>
          <w:b/>
          <w:color w:val="646464"/>
          <w:sz w:val="26"/>
        </w:rPr>
        <w:t>Chapter 2</w:t>
      </w:r>
    </w:p>
    <w:p>
      <w:pPr>
        <w:spacing w:after="280"/>
      </w:pPr>
      <w:r>
        <w:rPr>
          <w:b/>
          <w:color w:val="102C57"/>
          <w:sz w:val="32"/>
        </w:rPr>
        <w:t>Problem Statement and Objectives</w:t>
      </w:r>
    </w:p>
    <w:p>
      <w:r>
        <w:rPr>
          <w:b/>
        </w:rPr>
        <w:t>2.1 Problem Statement</w:t>
        <w:br/>
      </w:r>
      <w:r>
        <w:t>Digital video forensics currently lacks robust, real-time mechanisms to distinguish authentic human recordings from hyper-realistic deepfake manipulations under practical video compression regimes. Conventional spatial-domain classifiers suffer from catastrophic performance decay when videos undergo lossy encoding, while existing frequency-domain models fail to leverage spatial semantic context. Furthermore, most existing detection architectures function as opaque black boxes devoid of forensic explainability, making them inadequate for high-assurance legal and regulatory verification. The problem addressed in this project is to develop a dual-stream spatial and frequency-domain deepfake detection pipeline that leverages EfficientNet-B4 feature extraction and 2D Discrete Cosine Transform (DCT) spectral decomposition to achieve high classification accuracy, robust cross-compression resilience, and transparent forensic interpretability.</w:t>
      </w:r>
    </w:p>
    <w:p>
      <w:r>
        <w:rPr>
          <w:b/>
        </w:rPr>
        <w:t>2.2 Objectives</w:t>
        <w:br/>
      </w:r>
      <w:r>
        <w:t>The primary objectives of this project are formulated as follows:</w:t>
        <w:br/>
        <w:t>1. To perform automated facial extraction, landmark tracking, and alignment across video frames using a robust face detector (MTCNN/MediaPipe).</w:t>
        <w:br/>
        <w:t>2. To design and implement a frequency-domain transformation module utilizing 2D Discrete Cosine Transform (DCT) and radial frequency pooling to expose GAN upsampling artifacts.</w:t>
        <w:br/>
        <w:t>3. To train a dual-stream neural network coupling an EfficientNet-B4 spatial backbone with a spectral CNN branch using bilinear cross-attention fusion.</w:t>
        <w:br/>
        <w:t>4. To evaluate the proposed system against standard benchmark datasets (FaceForensics++ c23/c40 and Celeb-DF v2) using AUC-ROC, F1-score, Precision, Recall, and EER metrics.</w:t>
        <w:br/>
        <w:t>5. To deploy a lightweight, user-friendly forensic verification web dashboard using FastAPI and Streamlit, featuring real-time inference and Grad-CAM spatial-spectral visual explanations.</w:t>
      </w:r>
    </w:p>
    <w:p>
      <w:r>
        <w:rPr>
          <w:b/>
        </w:rPr>
        <w:t>2.3 Scope and Boundary of the Project</w:t>
        <w:br/>
      </w:r>
      <w:r>
        <w:t>The scope of this project encompasses frame-level and temporal video-level facial manipulation detection across standard manipulation categories: Deepfakes (autoencoder-based face replacement), Face2Face (facial reenactment), FaceSwap (graphics-based swap), and NeuralTextures (neural rendering). The project focuses on facial crops extracted from input videos. Audio stream forensics, full-body synthesis, and text-based metadata forensics are outside the primary boundary of this work, allowing dedicated focus on visual and spectral artifact modeling.</w:t>
      </w:r>
    </w:p>
    <w:p>
      <w:r>
        <w:br w:type="page"/>
      </w:r>
    </w:p>
    <w:p>
      <w:r>
        <w:rPr>
          <w:b/>
          <w:color w:val="646464"/>
          <w:sz w:val="26"/>
        </w:rPr>
        <w:t>Chapter 3</w:t>
      </w:r>
    </w:p>
    <w:p>
      <w:pPr>
        <w:spacing w:after="280"/>
      </w:pPr>
      <w:r>
        <w:rPr>
          <w:b/>
          <w:color w:val="102C57"/>
          <w:sz w:val="32"/>
        </w:rPr>
        <w:t>Literature Background &amp; Comparative Analysis</w:t>
      </w:r>
    </w:p>
    <w:p>
      <w:r>
        <w:rPr>
          <w:b/>
        </w:rPr>
        <w:t>3.1 Overview of Deepfake Generation Mechanisms</w:t>
        <w:br/>
      </w:r>
      <w:r>
        <w:t>Modern face synthesis pipelines generally rely on encoder-decoder architectures with shared latent spaces or conditional generative adversarial frameworks. In autoencoder-based tools (such as DeepFaceLab), an encoder extracts identity-independent attributes while two distinct decoders reconstruct the source and target faces. In GAN-based systems, a generator network employs transposed convolutional layers or nearest-neighbor upsampling followed by convolutions to synthesize high-resolution target pixels from latent vectors. Crucially, these upsampling operators introduce periodic checkerboard patterns and spectral anomalies in the Fourier and DCT domains, creating mathematical fingerprints that do not occur in natural optical camera capture systems.</w:t>
      </w:r>
    </w:p>
    <w:p>
      <w:r>
        <w:rPr>
          <w:b/>
        </w:rPr>
        <w:t>3.2 Related Detection Architectures</w:t>
        <w:br/>
      </w:r>
      <w:r>
        <w:t>Early deepfake detection models, such as MesoNet-4 (Afchar et al., 2018), introduced compact convolutional networks focused on mesoscopic properties of images. While computationally lightweight, MesoNet exhibits limited representational capacity and fails against modern high-resolution deepfakes. Subsequently, XceptionNet (Rossler et al., 2019) became the standard benchmark model within the FaceForensics++ benchmark, demonstrating that depthwise separable convolutions effectively capture spatial discrepancies. However, XceptionNet requires significant computational resources and exhibits poor cross-dataset generalization when evaluated on unseen generation techniques like Celeb-DF.</w:t>
        <w:br/>
        <w:br/>
        <w:t>Recent investigations by Frank et al. (2020) and Durall et al. (2020) demonstrated that GAN-generated images share common spectral discrepancies observable via Fourier and Cosine transforms. Despite these findings, existing pure-frequency detectors frequently discard semantic spatial details such as unnatural eye reflections and boundary blending. This literature gap strongly establishes the necessity for an integrated, dual-domain architecture.</w:t>
      </w:r>
    </w:p>
    <w:p>
      <w:r>
        <w:rPr>
          <w:b/>
        </w:rPr>
        <w:t>3.3 Positioning of the Present Work</w:t>
        <w:br/>
      </w:r>
      <w:r>
        <w:t>Table 3.1 synthesizes the positioning of our proposed work against leading forensic baselines.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2160"/>
            <w:shd w:fill="102C57"/>
          </w:tcPr>
          <w:p>
            <w:r>
              <w:rPr>
                <w:b/>
                <w:color w:val="FFFFFF"/>
                <w:sz w:val="19"/>
              </w:rPr>
              <w:t>Model / Approach</w:t>
            </w:r>
          </w:p>
        </w:tc>
        <w:tc>
          <w:tcPr>
            <w:tcW w:type="dxa" w:w="1728"/>
            <w:shd w:fill="102C57"/>
          </w:tcPr>
          <w:p>
            <w:r>
              <w:rPr>
                <w:b/>
                <w:color w:val="FFFFFF"/>
                <w:sz w:val="19"/>
              </w:rPr>
              <w:t>Primary Domain</w:t>
            </w:r>
          </w:p>
        </w:tc>
        <w:tc>
          <w:tcPr>
            <w:tcW w:type="dxa" w:w="2880"/>
            <w:shd w:fill="102C57"/>
          </w:tcPr>
          <w:p>
            <w:r>
              <w:rPr>
                <w:b/>
                <w:color w:val="FFFFFF"/>
                <w:sz w:val="19"/>
              </w:rPr>
              <w:t>Key Strengths</w:t>
            </w:r>
          </w:p>
        </w:tc>
        <w:tc>
          <w:tcPr>
            <w:tcW w:type="dxa" w:w="2880"/>
            <w:shd w:fill="102C57"/>
          </w:tcPr>
          <w:p>
            <w:r>
              <w:rPr>
                <w:b/>
                <w:color w:val="FFFFFF"/>
                <w:sz w:val="19"/>
              </w:rPr>
              <w:t>Identified Limitations</w:t>
            </w:r>
          </w:p>
        </w:tc>
      </w:tr>
      <w:tr>
        <w:tc>
          <w:tcPr>
            <w:tcW w:type="dxa" w:w="2160"/>
            <w:shd w:fill="FFFFFF"/>
          </w:tcPr>
          <w:p>
            <w:r>
              <w:rPr>
                <w:sz w:val="18"/>
              </w:rPr>
              <w:t>MesoNet-4 (Afchar et al.)</w:t>
            </w:r>
          </w:p>
        </w:tc>
        <w:tc>
          <w:tcPr>
            <w:tcW w:type="dxa" w:w="1728"/>
            <w:shd w:fill="FFFFFF"/>
          </w:tcPr>
          <w:p>
            <w:r>
              <w:rPr>
                <w:sz w:val="18"/>
              </w:rPr>
              <w:t>Spatial (RGB)</w:t>
            </w:r>
          </w:p>
        </w:tc>
        <w:tc>
          <w:tcPr>
            <w:tcW w:type="dxa" w:w="2880"/>
            <w:shd w:fill="FFFFFF"/>
          </w:tcPr>
          <w:p>
            <w:r>
              <w:rPr>
                <w:sz w:val="18"/>
              </w:rPr>
              <w:t>Lightweight, fast CPU inference</w:t>
            </w:r>
          </w:p>
        </w:tc>
        <w:tc>
          <w:tcPr>
            <w:tcW w:type="dxa" w:w="2880"/>
            <w:shd w:fill="FFFFFF"/>
          </w:tcPr>
          <w:p>
            <w:r>
              <w:rPr>
                <w:sz w:val="18"/>
              </w:rPr>
              <w:t>Low capacity, fails on modern high-res deepfakes</w:t>
            </w:r>
          </w:p>
        </w:tc>
      </w:tr>
      <w:tr>
        <w:tc>
          <w:tcPr>
            <w:tcW w:type="dxa" w:w="2160"/>
            <w:shd w:fill="FFFFFF"/>
          </w:tcPr>
          <w:p>
            <w:r>
              <w:rPr>
                <w:sz w:val="18"/>
              </w:rPr>
              <w:t>XceptionNet (Rossler et al.)</w:t>
            </w:r>
          </w:p>
        </w:tc>
        <w:tc>
          <w:tcPr>
            <w:tcW w:type="dxa" w:w="1728"/>
            <w:shd w:fill="FFFFFF"/>
          </w:tcPr>
          <w:p>
            <w:r>
              <w:rPr>
                <w:sz w:val="18"/>
              </w:rPr>
              <w:t>Spatial (RGB)</w:t>
            </w:r>
          </w:p>
        </w:tc>
        <w:tc>
          <w:tcPr>
            <w:tcW w:type="dxa" w:w="2880"/>
            <w:shd w:fill="FFFFFF"/>
          </w:tcPr>
          <w:p>
            <w:r>
              <w:rPr>
                <w:sz w:val="18"/>
              </w:rPr>
              <w:t>Strong benchmark on raw frames</w:t>
            </w:r>
          </w:p>
        </w:tc>
        <w:tc>
          <w:tcPr>
            <w:tcW w:type="dxa" w:w="2880"/>
            <w:shd w:fill="FFFFFF"/>
          </w:tcPr>
          <w:p>
            <w:r>
              <w:rPr>
                <w:sz w:val="18"/>
              </w:rPr>
              <w:t>Vulnerable to compression, heavy parameter size (22M+)</w:t>
            </w:r>
          </w:p>
        </w:tc>
      </w:tr>
      <w:tr>
        <w:tc>
          <w:tcPr>
            <w:tcW w:type="dxa" w:w="2160"/>
            <w:shd w:fill="FFFFFF"/>
          </w:tcPr>
          <w:p>
            <w:r>
              <w:rPr>
                <w:sz w:val="18"/>
              </w:rPr>
              <w:t>F3-Net (Qian et al.)</w:t>
            </w:r>
          </w:p>
        </w:tc>
        <w:tc>
          <w:tcPr>
            <w:tcW w:type="dxa" w:w="1728"/>
            <w:shd w:fill="FFFFFF"/>
          </w:tcPr>
          <w:p>
            <w:r>
              <w:rPr>
                <w:sz w:val="18"/>
              </w:rPr>
              <w:t>Frequency (DCT)</w:t>
            </w:r>
          </w:p>
        </w:tc>
        <w:tc>
          <w:tcPr>
            <w:tcW w:type="dxa" w:w="2880"/>
            <w:shd w:fill="FFFFFF"/>
          </w:tcPr>
          <w:p>
            <w:r>
              <w:rPr>
                <w:sz w:val="18"/>
              </w:rPr>
              <w:t>Resilient against high compression</w:t>
            </w:r>
          </w:p>
        </w:tc>
        <w:tc>
          <w:tcPr>
            <w:tcW w:type="dxa" w:w="2880"/>
            <w:shd w:fill="FFFFFF"/>
          </w:tcPr>
          <w:p>
            <w:r>
              <w:rPr>
                <w:sz w:val="18"/>
              </w:rPr>
              <w:t>Discards facial spatial landmarks and semantic context</w:t>
            </w:r>
          </w:p>
        </w:tc>
      </w:tr>
      <w:tr>
        <w:tc>
          <w:tcPr>
            <w:tcW w:type="dxa" w:w="2160"/>
            <w:shd w:fill="F9FAFB"/>
          </w:tcPr>
          <w:p>
            <w:r>
              <w:rPr>
                <w:b/>
                <w:sz w:val="18"/>
              </w:rPr>
              <w:t>Proposed Dual-Stream System</w:t>
            </w:r>
          </w:p>
        </w:tc>
        <w:tc>
          <w:tcPr>
            <w:tcW w:type="dxa" w:w="1728"/>
            <w:shd w:fill="F9FAFB"/>
          </w:tcPr>
          <w:p>
            <w:r>
              <w:rPr>
                <w:b/>
                <w:sz w:val="18"/>
              </w:rPr>
              <w:t>Spatial + Spectral (2D-DCT)</w:t>
            </w:r>
          </w:p>
        </w:tc>
        <w:tc>
          <w:tcPr>
            <w:tcW w:type="dxa" w:w="2880"/>
            <w:shd w:fill="F9FAFB"/>
          </w:tcPr>
          <w:p>
            <w:r>
              <w:rPr>
                <w:b/>
                <w:sz w:val="18"/>
              </w:rPr>
              <w:t>Captures both texture anomalies &amp; upsampling fingerprints; robust to compression</w:t>
            </w:r>
          </w:p>
        </w:tc>
        <w:tc>
          <w:tcPr>
            <w:tcW w:type="dxa" w:w="2880"/>
            <w:shd w:fill="F9FAFB"/>
          </w:tcPr>
          <w:p>
            <w:r>
              <w:rPr>
                <w:b/>
                <w:sz w:val="18"/>
              </w:rPr>
              <w:t>Requires synchronized dual-branch feature fusion</w:t>
            </w:r>
          </w:p>
        </w:tc>
      </w:tr>
    </w:tbl>
    <w:p>
      <w:r>
        <w:br w:type="page"/>
      </w:r>
    </w:p>
    <w:p>
      <w:r>
        <w:rPr>
          <w:b/>
          <w:color w:val="646464"/>
          <w:sz w:val="26"/>
        </w:rPr>
        <w:t>Chapter 4</w:t>
      </w:r>
    </w:p>
    <w:p>
      <w:pPr>
        <w:spacing w:after="280"/>
      </w:pPr>
      <w:r>
        <w:rPr>
          <w:b/>
          <w:color w:val="102C57"/>
          <w:sz w:val="32"/>
        </w:rPr>
        <w:t>Proposed Methodology &amp; System Pipeline</w:t>
      </w:r>
    </w:p>
    <w:p>
      <w:r>
        <w:rPr>
          <w:b/>
        </w:rPr>
        <w:t>4.1 Overall Architectural Workflow</w:t>
        <w:br/>
      </w:r>
      <w:r>
        <w:t>The proposed deepfake detection workflow is organized into six rigorous stages:</w:t>
        <w:br/>
        <w:t>1. Video Ingestion &amp; Frame Extraction: Unpacking container video formats (MP4, AVI, MKV) at uniform sampling rates (5 frames per second).</w:t>
        <w:br/>
        <w:t>2. Face Detection &amp; Bounding Box Normalization: Employing MTCNN/MediaPipe Face Mesh to locate face regions with 15% contextual boundary padding.</w:t>
        <w:br/>
        <w:t>3. Dual-Stream Feature Transformation: Diverting normalized facial crops into the parallel Spatial Branch and Frequency Decomposition Branch.</w:t>
        <w:br/>
        <w:t>4. Representation Learning: Deep feature extraction via EfficientNet-B4 (Spatial) and Spectral-CNN (Frequency).</w:t>
        <w:br/>
        <w:t>5. Cross-Attention Feature Fusion: Unifying heterogeneous embeddings via bilinear concatenation and attention weighting.</w:t>
        <w:br/>
        <w:t>6. Classification &amp; Forensic Visualization: Predicting the manipulation probability and projecting Grad-CAM activation maps.</w:t>
      </w:r>
    </w:p>
    <w:p>
      <w:r>
        <w:rPr>
          <w:b/>
        </w:rPr>
        <w:t>4.2 End-to-End System Pipeline</w:t>
        <w:br/>
      </w:r>
      <w:r>
        <w:t>The visual schematic below depicts the data flow throughout the proposed detection system:</w:t>
        <w:br/>
        <w:br/>
        <w:t>[Input Video File] ──► [Frame Sampler] ──► [Face Detection (MTCNN)] ──► [Aligned Crop (256x256)]</w:t>
        <w:br/>
        <w:t xml:space="preserve">                                                                       │</w:t>
        <w:br/>
        <w:t xml:space="preserve">                    ┌──────────────────────────────────────────────────┴──────────────────────────────────────────────────┐</w:t>
        <w:br/>
        <w:t xml:space="preserve">                    ▼                                                                                                     ▼</w:t>
        <w:br/>
        <w:t xml:space="preserve">      [Spatial Stream: RGB Crop]                                                                            [Frequency Stream: 2D-DCT]</w:t>
        <w:br/>
        <w:t xml:space="preserve">                    │                                                                                                     │</w:t>
        <w:br/>
        <w:t xml:space="preserve">                    ▼                                                                                                     ▼</w:t>
        <w:br/>
        <w:t xml:space="preserve">       [EfficientNet-B4 Backbone]                                                                            [Spectral-CNN Conv Blocks]</w:t>
        <w:br/>
        <w:t xml:space="preserve">                    │                                                                                                     │</w:t>
        <w:br/>
        <w:t xml:space="preserve">                    ▼                                                                                                     ▼</w:t>
        <w:br/>
        <w:t xml:space="preserve">         [Spatial Vector: 1792-d]                                                                              [Spectral Vector: 512-d]</w:t>
        <w:br/>
        <w:t xml:space="preserve">                    │                                                                                                     │</w:t>
        <w:br/>
        <w:t xml:space="preserve">                    └──────────────────────────────────┬──────────────────────────────────────────────────────────────────┘</w:t>
        <w:br/>
        <w:t xml:space="preserve">                                                       ▼</w:t>
        <w:br/>
        <w:t xml:space="preserve">                                         [Bilinear Cross-Attention Fusion]</w:t>
        <w:br/>
        <w:t xml:space="preserve">                                                       │</w:t>
        <w:br/>
        <w:t xml:space="preserve">                                                       ▼</w:t>
        <w:br/>
        <w:t xml:space="preserve">                                            [Dense Classifier Head]</w:t>
        <w:br/>
        <w:t xml:space="preserve">                                                       │</w:t>
        <w:br/>
        <w:t xml:space="preserve">                                                       ▼</w:t>
        <w:br/>
        <w:t xml:space="preserve">                                     [Prediction: Real vs. Deepfake (%)]</w:t>
      </w:r>
    </w:p>
    <w:p>
      <w:r>
        <w:rPr>
          <w:b/>
        </w:rPr>
        <w:t>4.3 Dataset Selection &amp; Benchmark Repositories</w:t>
        <w:br/>
      </w:r>
      <w:r>
        <w:t>To ensure academic validity and fair benchmarking, the project utilizes two widely recognized public forensic repositories:</w:t>
        <w:br/>
        <w:t>• FaceForensics++ (FF++): Contains 1,000 pristine YouTube sequences and 4,000 manipulated videos generated via four algorithms: Deepfakes, Face2Face, FaceSwap, and NeuralTextures. We benchmark across both raw (uncompressed), c23 (high quality, visually lossless), and c40 (heavily compressed) versions to quantify compression resilience.</w:t>
        <w:br/>
        <w:t>• Celeb-DF (v2): A challenging dataset of 590 real celebrity videos and 5,639 high-quality deepfakes generated using advanced synthesis tools, exhibiting minimal visual edge artifacts and realistic color grading.</w:t>
      </w:r>
    </w:p>
    <w:p>
      <w:r>
        <w:rPr>
          <w:b/>
        </w:rPr>
        <w:t>4.4 Preprocessing, Face Alignment &amp; Data Augmentation</w:t>
        <w:br/>
      </w:r>
      <w:r>
        <w:t>Detected faces are cropped and resized to a canonical spatial resolution of 256 x 256 pixels. To prevent model overfitting and simulate real-world transmission noise, data augmentation is injected during training: (1) Random Horizontal Flipping (p=0.5), (2) JPEG Compression Simulation (Quality factor Q in [40, 90]), (3) Gaussian Blur (kernel size 3x3, sigma in [0.1, 2.0]), and (4) Random Color Jittering (brightness and contrast variations within +/- 15%).</w:t>
      </w:r>
    </w:p>
    <w:p>
      <w:r>
        <w:br w:type="page"/>
      </w:r>
    </w:p>
    <w:p>
      <w:r>
        <w:rPr>
          <w:b/>
          <w:color w:val="646464"/>
          <w:sz w:val="26"/>
        </w:rPr>
        <w:t>Chapter 5</w:t>
      </w:r>
    </w:p>
    <w:p>
      <w:pPr>
        <w:spacing w:after="280"/>
      </w:pPr>
      <w:r>
        <w:rPr>
          <w:b/>
          <w:color w:val="102C57"/>
          <w:sz w:val="32"/>
        </w:rPr>
        <w:t>Model Design &amp; Mathematical Formulation</w:t>
      </w:r>
    </w:p>
    <w:p>
      <w:r>
        <w:rPr>
          <w:b/>
        </w:rPr>
        <w:t>5.1 Dual-Stream Spatial-Frequency Architecture</w:t>
        <w:br/>
      </w:r>
      <w:r>
        <w:t>The fundamental innovation of our architecture lies in processing spatial luminance-chrominance information concurrently with orthogonal frequency-domain projections. The two streams process heterogeneous representations before fusing at deep semantic levels.</w:t>
      </w:r>
    </w:p>
    <w:p>
      <w:r>
        <w:rPr>
          <w:b/>
        </w:rPr>
        <w:t>5.2 Stream I: Spatial Feature Extraction (EfficientNet-B4)</w:t>
        <w:br/>
      </w:r>
      <w:r>
        <w:t>The spatial stream accepts normalized RGB input tensors x_spatial in R^(3 x 256 x 256). We deploy EfficientNet-B4 as the backbone, which leverages compound scaling across network depth (d=1.8), width (w=1.4), and resolution (r=1.0). EfficientNet uses Mobile Inverted Bottleneck Convolutions (MBConv) integrated with Squeeze-and-Excitation (SE) attention blocks. The spatial stream extracts a rich 1792-dimensional feature representation vector v_spatial.</w:t>
      </w:r>
    </w:p>
    <w:p>
      <w:r>
        <w:rPr>
          <w:b/>
        </w:rPr>
        <w:t>5.3 Stream II: Frequency-Domain Artifact Extraction (2D-DCT)</w:t>
        <w:br/>
      </w:r>
      <w:r>
        <w:t>The frequency stream captures subtle mathematical artifacts left behind by generative decoders. Each grayscale converted face image f(x, y) of size N x N (where N=256) is transformed into the frequency domain using the orthogonal 2D Discrete Cosine Transform (DCT-II):</w:t>
        <w:br/>
        <w:br/>
        <w:t>F(u, v) = alpha(u) alpha(v) sum_{x=0}^{N-1} sum_{y=0}^{N-1} f(x, y) cos[ (2x + 1)u pi / (2N) ] cos[ (2y + 1)v pi / (2N) ]</w:t>
        <w:br/>
        <w:br/>
        <w:t>where the normalization factors alpha(u) and alpha(v) are defined as:</w:t>
        <w:br/>
        <w:t>alpha(0) = sqrt(1 / N), and alpha(k) = sqrt(2 / N) for k &gt;= 1.</w:t>
        <w:br/>
        <w:br/>
        <w:t>To compress the high-dimensional spectrum into rotationally invariant representations, we compute the Azimuthal (Radial) Average Spectrum: A(r) = (1 / |S_r|) sum_{(u,v) in S_r} |F(u, v)|, where S_r represents the circular ring at radial frequency radius r = sqrt(u^2 + v^2). The processed frequency representation is fed into a four-stage Spectral-CNN with depthwise separable convolutions, outputting a 512-dimensional vector v_freq.</w:t>
      </w:r>
    </w:p>
    <w:p>
      <w:r>
        <w:rPr>
          <w:b/>
        </w:rPr>
        <w:t>5.4 Feature Fusion Mechanism &amp; Classification Head</w:t>
        <w:br/>
      </w:r>
      <w:r>
        <w:t>To model inter-domain interactions, the spatial and frequency embeddings are combined using an attention-guided gating fusion:</w:t>
        <w:br/>
        <w:br/>
        <w:t>g = sigmoid( W_g [v_spatial || v_freq] + b_g )</w:t>
        <w:br/>
        <w:t>v_fused = [ g * v_spatial || (1 - g) * (W_proj v_freq) ]</w:t>
        <w:br/>
        <w:br/>
        <w:t>The fused vector v_fused is passed through a dense multilayer perceptron with Dropout (p=0.4), Layer Normalization, and a final Sigmoid activation to produce the authenticity probability y_hat in [0, 1].</w:t>
      </w:r>
    </w:p>
    <w:p>
      <w:r>
        <w:rPr>
          <w:b/>
        </w:rPr>
        <w:t>5.5 Architectural Hyperparameter Configuration</w:t>
        <w:br/>
      </w:r>
      <w:r>
        <w:t>Table 5.1 outlines the structural parameters of the proposed dual-stream model.</w:t>
      </w:r>
    </w:p>
    <w:tbl>
      <w:tblPr>
        <w:tblW w:type="auto" w:w="0"/>
        <w:jc w:val="center"/>
        <w:tblLayout w:type="fixed"/>
        <w:tblLook w:firstColumn="1" w:firstRow="1" w:lastColumn="0" w:lastRow="0" w:noHBand="0" w:noVBand="1" w:val="04A0"/>
      </w:tblPr>
      <w:tblGrid>
        <w:gridCol w:w="2770"/>
        <w:gridCol w:w="2770"/>
        <w:gridCol w:w="2770"/>
      </w:tblGrid>
      <w:tr>
        <w:tc>
          <w:tcPr>
            <w:tcW w:type="dxa" w:w="3168"/>
            <w:shd w:fill="102C57"/>
          </w:tcPr>
          <w:p>
            <w:r>
              <w:rPr>
                <w:b/>
                <w:color w:val="FFFFFF"/>
                <w:sz w:val="19"/>
              </w:rPr>
              <w:t>Subsystem / Component</w:t>
            </w:r>
          </w:p>
        </w:tc>
        <w:tc>
          <w:tcPr>
            <w:tcW w:type="dxa" w:w="3600"/>
            <w:shd w:fill="102C57"/>
          </w:tcPr>
          <w:p>
            <w:r>
              <w:rPr>
                <w:b/>
                <w:color w:val="FFFFFF"/>
                <w:sz w:val="19"/>
              </w:rPr>
              <w:t>Architectural Specification</w:t>
            </w:r>
          </w:p>
        </w:tc>
        <w:tc>
          <w:tcPr>
            <w:tcW w:type="dxa" w:w="2880"/>
            <w:shd w:fill="102C57"/>
          </w:tcPr>
          <w:p>
            <w:r>
              <w:rPr>
                <w:b/>
                <w:color w:val="FFFFFF"/>
                <w:sz w:val="19"/>
              </w:rPr>
              <w:t>Output Dimensions / Parameters</w:t>
            </w:r>
          </w:p>
        </w:tc>
      </w:tr>
      <w:tr>
        <w:tc>
          <w:tcPr>
            <w:tcW w:type="dxa" w:w="3168"/>
          </w:tcPr>
          <w:p>
            <w:r>
              <w:rPr>
                <w:sz w:val="18"/>
              </w:rPr>
              <w:t>Face Alignment &amp; Detection</w:t>
            </w:r>
          </w:p>
        </w:tc>
        <w:tc>
          <w:tcPr>
            <w:tcW w:type="dxa" w:w="3600"/>
          </w:tcPr>
          <w:p>
            <w:r>
              <w:rPr>
                <w:sz w:val="18"/>
              </w:rPr>
              <w:t>MTCNN / MediaPipe Face Mesh</w:t>
            </w:r>
          </w:p>
        </w:tc>
        <w:tc>
          <w:tcPr>
            <w:tcW w:type="dxa" w:w="2880"/>
          </w:tcPr>
          <w:p>
            <w:r>
              <w:rPr>
                <w:sz w:val="18"/>
              </w:rPr>
              <w:t>256 x 256 x 3 (Aligned RGB Crop)</w:t>
            </w:r>
          </w:p>
        </w:tc>
      </w:tr>
      <w:tr>
        <w:tc>
          <w:tcPr>
            <w:tcW w:type="dxa" w:w="3168"/>
          </w:tcPr>
          <w:p>
            <w:r>
              <w:rPr>
                <w:sz w:val="18"/>
              </w:rPr>
              <w:t>Spatial Stream Backbone</w:t>
            </w:r>
          </w:p>
        </w:tc>
        <w:tc>
          <w:tcPr>
            <w:tcW w:type="dxa" w:w="3600"/>
          </w:tcPr>
          <w:p>
            <w:r>
              <w:rPr>
                <w:sz w:val="18"/>
              </w:rPr>
              <w:t>EfficientNet-B4 (Pretrained ImageNet)</w:t>
            </w:r>
          </w:p>
        </w:tc>
        <w:tc>
          <w:tcPr>
            <w:tcW w:type="dxa" w:w="2880"/>
          </w:tcPr>
          <w:p>
            <w:r>
              <w:rPr>
                <w:sz w:val="18"/>
              </w:rPr>
              <w:t>1792-d feature vector (19.3M params)</w:t>
            </w:r>
          </w:p>
        </w:tc>
      </w:tr>
      <w:tr>
        <w:tc>
          <w:tcPr>
            <w:tcW w:type="dxa" w:w="3168"/>
          </w:tcPr>
          <w:p>
            <w:r>
              <w:rPr>
                <w:sz w:val="18"/>
              </w:rPr>
              <w:t>Frequency Decomposition</w:t>
            </w:r>
          </w:p>
        </w:tc>
        <w:tc>
          <w:tcPr>
            <w:tcW w:type="dxa" w:w="3600"/>
          </w:tcPr>
          <w:p>
            <w:r>
              <w:rPr>
                <w:sz w:val="18"/>
              </w:rPr>
              <w:t>2D Orthogonal DCT-II + Log Scaling</w:t>
            </w:r>
          </w:p>
        </w:tc>
        <w:tc>
          <w:tcPr>
            <w:tcW w:type="dxa" w:w="2880"/>
          </w:tcPr>
          <w:p>
            <w:r>
              <w:rPr>
                <w:sz w:val="18"/>
              </w:rPr>
              <w:t>256 x 256 Frequency Map</w:t>
            </w:r>
          </w:p>
        </w:tc>
      </w:tr>
      <w:tr>
        <w:tc>
          <w:tcPr>
            <w:tcW w:type="dxa" w:w="3168"/>
          </w:tcPr>
          <w:p>
            <w:r>
              <w:rPr>
                <w:sz w:val="18"/>
              </w:rPr>
              <w:t>Frequency Stream Network</w:t>
            </w:r>
          </w:p>
        </w:tc>
        <w:tc>
          <w:tcPr>
            <w:tcW w:type="dxa" w:w="3600"/>
          </w:tcPr>
          <w:p>
            <w:r>
              <w:rPr>
                <w:sz w:val="18"/>
              </w:rPr>
              <w:t>4-Stage Custom Spectral-CNN (ReLU + BatchNorm)</w:t>
            </w:r>
          </w:p>
        </w:tc>
        <w:tc>
          <w:tcPr>
            <w:tcW w:type="dxa" w:w="2880"/>
          </w:tcPr>
          <w:p>
            <w:r>
              <w:rPr>
                <w:sz w:val="18"/>
              </w:rPr>
              <w:t>512-d feature vector (1.8M params)</w:t>
            </w:r>
          </w:p>
        </w:tc>
      </w:tr>
      <w:tr>
        <w:tc>
          <w:tcPr>
            <w:tcW w:type="dxa" w:w="3168"/>
          </w:tcPr>
          <w:p>
            <w:r>
              <w:rPr>
                <w:sz w:val="18"/>
              </w:rPr>
              <w:t>Inter-Domain Fusion</w:t>
            </w:r>
          </w:p>
        </w:tc>
        <w:tc>
          <w:tcPr>
            <w:tcW w:type="dxa" w:w="3600"/>
          </w:tcPr>
          <w:p>
            <w:r>
              <w:rPr>
                <w:sz w:val="18"/>
              </w:rPr>
              <w:t>Attention-Gated Bilinear Combination</w:t>
            </w:r>
          </w:p>
        </w:tc>
        <w:tc>
          <w:tcPr>
            <w:tcW w:type="dxa" w:w="2880"/>
          </w:tcPr>
          <w:p>
            <w:r>
              <w:rPr>
                <w:sz w:val="18"/>
              </w:rPr>
              <w:t>1024-d Fused Vector</w:t>
            </w:r>
          </w:p>
        </w:tc>
      </w:tr>
      <w:tr>
        <w:tc>
          <w:tcPr>
            <w:tcW w:type="dxa" w:w="3168"/>
          </w:tcPr>
          <w:p>
            <w:r>
              <w:rPr>
                <w:sz w:val="18"/>
              </w:rPr>
              <w:t>Classification Head</w:t>
            </w:r>
          </w:p>
        </w:tc>
        <w:tc>
          <w:tcPr>
            <w:tcW w:type="dxa" w:w="3600"/>
          </w:tcPr>
          <w:p>
            <w:r>
              <w:rPr>
                <w:sz w:val="18"/>
              </w:rPr>
              <w:t>FC(1024 -&gt; 256) -&gt; Dropout(0.4) -&gt; FC(256 -&gt; 1)</w:t>
            </w:r>
          </w:p>
        </w:tc>
        <w:tc>
          <w:tcPr>
            <w:tcW w:type="dxa" w:w="2880"/>
          </w:tcPr>
          <w:p>
            <w:r>
              <w:rPr>
                <w:sz w:val="18"/>
              </w:rPr>
              <w:t>Binary Logit / Sigmoid Score (Real vs Fake)</w:t>
            </w:r>
          </w:p>
        </w:tc>
      </w:tr>
      <w:tr>
        <w:tc>
          <w:tcPr>
            <w:tcW w:type="dxa" w:w="3168"/>
          </w:tcPr>
          <w:p>
            <w:r>
              <w:rPr>
                <w:b/>
                <w:sz w:val="18"/>
              </w:rPr>
              <w:t>Total Trainable Parameters</w:t>
            </w:r>
          </w:p>
        </w:tc>
        <w:tc>
          <w:tcPr>
            <w:tcW w:type="dxa" w:w="3600"/>
          </w:tcPr>
          <w:p>
            <w:r>
              <w:rPr>
                <w:b/>
                <w:sz w:val="18"/>
              </w:rPr>
              <w:t>Spatial + Frequency + Fusion Heads</w:t>
            </w:r>
          </w:p>
        </w:tc>
        <w:tc>
          <w:tcPr>
            <w:tcW w:type="dxa" w:w="2880"/>
          </w:tcPr>
          <w:p>
            <w:r>
              <w:rPr>
                <w:b/>
                <w:sz w:val="18"/>
              </w:rPr>
              <w:t>~21.4 Million Trainable Weights</w:t>
            </w:r>
          </w:p>
        </w:tc>
      </w:tr>
    </w:tbl>
    <w:p>
      <w:r>
        <w:br w:type="page"/>
      </w:r>
    </w:p>
    <w:p>
      <w:r>
        <w:rPr>
          <w:b/>
          <w:color w:val="646464"/>
          <w:sz w:val="26"/>
        </w:rPr>
        <w:t>Chapter 6</w:t>
      </w:r>
    </w:p>
    <w:p>
      <w:pPr>
        <w:spacing w:after="280"/>
      </w:pPr>
      <w:r>
        <w:rPr>
          <w:b/>
          <w:color w:val="102C57"/>
          <w:sz w:val="32"/>
        </w:rPr>
        <w:t>Training and Evaluation Framework</w:t>
      </w:r>
    </w:p>
    <w:p>
      <w:r>
        <w:rPr>
          <w:b/>
        </w:rPr>
        <w:t>6.1 Training Configuration &amp; Hyperparameters</w:t>
        <w:br/>
      </w:r>
      <w:r>
        <w:t>The model is implemented in PyTorch and optimized using the AdamW algorithm (Loshchilov &amp; Hutter). Table 6.1 delineates the training configuration parameters.</w:t>
      </w:r>
    </w:p>
    <w:tbl>
      <w:tblPr>
        <w:tblW w:type="auto" w:w="0"/>
        <w:jc w:val="center"/>
        <w:tblLayout w:type="fixed"/>
        <w:tblLook w:firstColumn="1" w:firstRow="1" w:lastColumn="0" w:lastRow="0" w:noHBand="0" w:noVBand="1" w:val="04A0"/>
      </w:tblPr>
      <w:tblGrid>
        <w:gridCol w:w="4608"/>
        <w:gridCol w:w="4608"/>
      </w:tblGrid>
      <w:tr>
        <w:tc>
          <w:tcPr>
            <w:tcW w:type="dxa" w:w="4154"/>
            <w:shd w:fill="102C57"/>
          </w:tcPr>
          <w:p>
            <w:r>
              <w:rPr>
                <w:b/>
                <w:color w:val="FFFFFF"/>
                <w:sz w:val="19"/>
              </w:rPr>
              <w:t>Hyperparameter / Setting</w:t>
            </w:r>
          </w:p>
        </w:tc>
        <w:tc>
          <w:tcPr>
            <w:tcW w:type="dxa" w:w="4154"/>
            <w:shd w:fill="102C57"/>
          </w:tcPr>
          <w:p>
            <w:r>
              <w:rPr>
                <w:b/>
                <w:color w:val="FFFFFF"/>
                <w:sz w:val="19"/>
              </w:rPr>
              <w:t>Experimental Value</w:t>
            </w:r>
          </w:p>
        </w:tc>
      </w:tr>
      <w:tr>
        <w:tc>
          <w:tcPr>
            <w:tcW w:type="dxa" w:w="4608"/>
          </w:tcPr>
          <w:p>
            <w:r>
              <w:rPr>
                <w:sz w:val="18"/>
              </w:rPr>
              <w:t>Base Optimizer</w:t>
            </w:r>
          </w:p>
        </w:tc>
        <w:tc>
          <w:tcPr>
            <w:tcW w:type="dxa" w:w="4608"/>
          </w:tcPr>
          <w:p>
            <w:r>
              <w:rPr>
                <w:sz w:val="18"/>
              </w:rPr>
              <w:t>AdamW (Decoupled Weight Decay)</w:t>
            </w:r>
          </w:p>
        </w:tc>
      </w:tr>
      <w:tr>
        <w:tc>
          <w:tcPr>
            <w:tcW w:type="dxa" w:w="4608"/>
          </w:tcPr>
          <w:p>
            <w:r>
              <w:rPr>
                <w:sz w:val="18"/>
              </w:rPr>
              <w:t>Initial Learning Rate</w:t>
            </w:r>
          </w:p>
        </w:tc>
        <w:tc>
          <w:tcPr>
            <w:tcW w:type="dxa" w:w="4608"/>
          </w:tcPr>
          <w:p>
            <w:r>
              <w:rPr>
                <w:sz w:val="18"/>
              </w:rPr>
              <w:t>1.0 x 10^-4</w:t>
            </w:r>
          </w:p>
        </w:tc>
      </w:tr>
      <w:tr>
        <w:tc>
          <w:tcPr>
            <w:tcW w:type="dxa" w:w="4608"/>
          </w:tcPr>
          <w:p>
            <w:r>
              <w:rPr>
                <w:sz w:val="18"/>
              </w:rPr>
              <w:t>Weight Decay Coefficient</w:t>
            </w:r>
          </w:p>
        </w:tc>
        <w:tc>
          <w:tcPr>
            <w:tcW w:type="dxa" w:w="4608"/>
          </w:tcPr>
          <w:p>
            <w:r>
              <w:rPr>
                <w:sz w:val="18"/>
              </w:rPr>
              <w:t>1.0 x 10^-4</w:t>
            </w:r>
          </w:p>
        </w:tc>
      </w:tr>
      <w:tr>
        <w:tc>
          <w:tcPr>
            <w:tcW w:type="dxa" w:w="4608"/>
          </w:tcPr>
          <w:p>
            <w:r>
              <w:rPr>
                <w:sz w:val="18"/>
              </w:rPr>
              <w:t>Learning Rate Schedule</w:t>
            </w:r>
          </w:p>
        </w:tc>
        <w:tc>
          <w:tcPr>
            <w:tcW w:type="dxa" w:w="4608"/>
          </w:tcPr>
          <w:p>
            <w:r>
              <w:rPr>
                <w:sz w:val="18"/>
              </w:rPr>
              <w:t>Cosine Annealing with Warm Restarts (T_0=10, eta_min=1e-6)</w:t>
            </w:r>
          </w:p>
        </w:tc>
      </w:tr>
      <w:tr>
        <w:tc>
          <w:tcPr>
            <w:tcW w:type="dxa" w:w="4608"/>
          </w:tcPr>
          <w:p>
            <w:r>
              <w:rPr>
                <w:sz w:val="18"/>
              </w:rPr>
              <w:t>Batch Size</w:t>
            </w:r>
          </w:p>
        </w:tc>
        <w:tc>
          <w:tcPr>
            <w:tcW w:type="dxa" w:w="4608"/>
          </w:tcPr>
          <w:p>
            <w:r>
              <w:rPr>
                <w:sz w:val="18"/>
              </w:rPr>
              <w:t>16 video frames per mini-batch</w:t>
            </w:r>
          </w:p>
        </w:tc>
      </w:tr>
      <w:tr>
        <w:tc>
          <w:tcPr>
            <w:tcW w:type="dxa" w:w="4608"/>
          </w:tcPr>
          <w:p>
            <w:r>
              <w:rPr>
                <w:sz w:val="18"/>
              </w:rPr>
              <w:t>Training Epochs</w:t>
            </w:r>
          </w:p>
        </w:tc>
        <w:tc>
          <w:tcPr>
            <w:tcW w:type="dxa" w:w="4608"/>
          </w:tcPr>
          <w:p>
            <w:r>
              <w:rPr>
                <w:sz w:val="18"/>
              </w:rPr>
              <w:t>40 Epochs (with Early Stopping patience=6)</w:t>
            </w:r>
          </w:p>
        </w:tc>
      </w:tr>
      <w:tr>
        <w:tc>
          <w:tcPr>
            <w:tcW w:type="dxa" w:w="4608"/>
          </w:tcPr>
          <w:p>
            <w:r>
              <w:rPr>
                <w:sz w:val="18"/>
              </w:rPr>
              <w:t>Dataset Split Ratio</w:t>
            </w:r>
          </w:p>
        </w:tc>
        <w:tc>
          <w:tcPr>
            <w:tcW w:type="dxa" w:w="4608"/>
          </w:tcPr>
          <w:p>
            <w:r>
              <w:rPr>
                <w:sz w:val="18"/>
              </w:rPr>
              <w:t>70% Training | 15% Validation | 15% Held-out Testing</w:t>
            </w:r>
          </w:p>
        </w:tc>
      </w:tr>
      <w:tr>
        <w:tc>
          <w:tcPr>
            <w:tcW w:type="dxa" w:w="4608"/>
          </w:tcPr>
          <w:p>
            <w:r>
              <w:rPr>
                <w:sz w:val="18"/>
              </w:rPr>
              <w:t>Loss Function</w:t>
            </w:r>
          </w:p>
        </w:tc>
        <w:tc>
          <w:tcPr>
            <w:tcW w:type="dxa" w:w="4608"/>
          </w:tcPr>
          <w:p>
            <w:r>
              <w:rPr>
                <w:sz w:val="18"/>
              </w:rPr>
              <w:t>Binary Cross-Entropy with Label Smoothing (epsilon = 0.1)</w:t>
            </w:r>
          </w:p>
        </w:tc>
      </w:tr>
      <w:tr>
        <w:tc>
          <w:tcPr>
            <w:tcW w:type="dxa" w:w="4608"/>
          </w:tcPr>
          <w:p>
            <w:r>
              <w:rPr>
                <w:sz w:val="18"/>
              </w:rPr>
              <w:t>Hardware Acceleration</w:t>
            </w:r>
          </w:p>
        </w:tc>
        <w:tc>
          <w:tcPr>
            <w:tcW w:type="dxa" w:w="4608"/>
          </w:tcPr>
          <w:p>
            <w:r>
              <w:rPr>
                <w:sz w:val="18"/>
              </w:rPr>
              <w:t>NVIDIA CUDA Acceleration with Mixed Precision (AMP)</w:t>
            </w:r>
          </w:p>
        </w:tc>
      </w:tr>
    </w:tbl>
    <w:p>
      <w:pPr>
        <w:spacing w:before="160"/>
      </w:pPr>
      <w:r>
        <w:rPr>
          <w:b/>
        </w:rPr>
        <w:t>6.2 Loss Function Formulation</w:t>
        <w:br/>
      </w:r>
      <w:r>
        <w:t>To mitigate overconfidence and enhance generalization across unseen manipulation techniques, we optimize the network using Binary Cross-Entropy with Label Smoothing regularization:</w:t>
        <w:br/>
        <w:br/>
        <w:t>L_total = - (1 / M) sum_{i=1}^{M} [ y_smooth^(i) log( y_hat^(i) ) + (1 - y_smooth^(i)) log( 1 - y_hat^(i) ) ]</w:t>
        <w:br/>
        <w:br/>
        <w:t>where the smoothed ground-truth label y_smooth is defined as:</w:t>
        <w:br/>
        <w:t>y_smooth = y * (1 - epsilon) + 0.5 * epsilon, with smoothing hyperparameter epsilon = 0.1.</w:t>
      </w:r>
    </w:p>
    <w:p>
      <w:r>
        <w:rPr>
          <w:b/>
        </w:rPr>
        <w:t>6.3 Quantitative Evaluation Metrics</w:t>
        <w:br/>
      </w:r>
      <w:r>
        <w:t>The model's forensic reliability will be measured across five standard statistical metrics:</w:t>
        <w:br/>
        <w:t>1. Area Under the Receiver Operating Characteristic Curve (AUC-ROC): Evaluates discrimination threshold performance independent of decision boundaries.</w:t>
        <w:br/>
        <w:t>2. F1-Score: Harmonic mean of precision and recall: F1 = 2 * (Precision * Recall) / (Precision + Recall).</w:t>
        <w:br/>
        <w:t>3. Equal Error Rate (EER): The operating point where False Acceptance Rate (FAR) equals False Rejection Rate (FRR).</w:t>
        <w:br/>
        <w:t>4. Detection Accuracy: Ratio of correctly identified real and manipulated frames to total tested instances.</w:t>
        <w:br/>
        <w:t>5. Inference Latency: Frame processing speed (milliseconds per frame) on standard hardware to verify real-time viability.</w:t>
      </w:r>
    </w:p>
    <w:p>
      <w:r>
        <w:rPr>
          <w:b/>
        </w:rPr>
        <w:t>6.4 Benchmark Performance Targets</w:t>
        <w:br/>
      </w:r>
      <w:r>
        <w:t>Table 6.2 compares our targeted dual-stream performance against established literature baselines on the FaceForensics++ benchmark.</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3168"/>
            <w:shd w:fill="102C57"/>
          </w:tcPr>
          <w:p>
            <w:r>
              <w:rPr>
                <w:b/>
                <w:color w:val="FFFFFF"/>
                <w:sz w:val="19"/>
              </w:rPr>
              <w:t>Model Architecture</w:t>
            </w:r>
          </w:p>
        </w:tc>
        <w:tc>
          <w:tcPr>
            <w:tcW w:type="dxa" w:w="2160"/>
            <w:shd w:fill="102C57"/>
          </w:tcPr>
          <w:p>
            <w:r>
              <w:rPr>
                <w:b/>
                <w:color w:val="FFFFFF"/>
                <w:sz w:val="19"/>
              </w:rPr>
              <w:t>FF++ (Raw) Acc.</w:t>
            </w:r>
          </w:p>
        </w:tc>
        <w:tc>
          <w:tcPr>
            <w:tcW w:type="dxa" w:w="2160"/>
            <w:shd w:fill="102C57"/>
          </w:tcPr>
          <w:p>
            <w:r>
              <w:rPr>
                <w:b/>
                <w:color w:val="FFFFFF"/>
                <w:sz w:val="19"/>
              </w:rPr>
              <w:t>FF++ (c23 High-Comp) Acc.</w:t>
            </w:r>
          </w:p>
        </w:tc>
        <w:tc>
          <w:tcPr>
            <w:tcW w:type="dxa" w:w="2160"/>
            <w:shd w:fill="102C57"/>
          </w:tcPr>
          <w:p>
            <w:r>
              <w:rPr>
                <w:b/>
                <w:color w:val="FFFFFF"/>
                <w:sz w:val="19"/>
              </w:rPr>
              <w:t>AUC-ROC Score</w:t>
            </w:r>
          </w:p>
        </w:tc>
      </w:tr>
      <w:tr>
        <w:tc>
          <w:tcPr>
            <w:tcW w:type="dxa" w:w="3168"/>
            <w:shd w:fill="FFFFFF"/>
          </w:tcPr>
          <w:p>
            <w:r>
              <w:rPr>
                <w:sz w:val="18"/>
              </w:rPr>
              <w:t>MesoNet-4 (Afchar et al.)</w:t>
            </w:r>
          </w:p>
        </w:tc>
        <w:tc>
          <w:tcPr>
            <w:tcW w:type="dxa" w:w="2160"/>
            <w:shd w:fill="FFFFFF"/>
          </w:tcPr>
          <w:p>
            <w:r>
              <w:rPr>
                <w:sz w:val="18"/>
              </w:rPr>
              <w:t>90.1%</w:t>
            </w:r>
          </w:p>
        </w:tc>
        <w:tc>
          <w:tcPr>
            <w:tcW w:type="dxa" w:w="2160"/>
            <w:shd w:fill="FFFFFF"/>
          </w:tcPr>
          <w:p>
            <w:r>
              <w:rPr>
                <w:sz w:val="18"/>
              </w:rPr>
              <w:t>70.5%</w:t>
            </w:r>
          </w:p>
        </w:tc>
        <w:tc>
          <w:tcPr>
            <w:tcW w:type="dxa" w:w="2160"/>
            <w:shd w:fill="FFFFFF"/>
          </w:tcPr>
          <w:p>
            <w:r>
              <w:rPr>
                <w:sz w:val="18"/>
              </w:rPr>
              <w:t>0.752</w:t>
            </w:r>
          </w:p>
        </w:tc>
      </w:tr>
      <w:tr>
        <w:tc>
          <w:tcPr>
            <w:tcW w:type="dxa" w:w="3168"/>
            <w:shd w:fill="FFFFFF"/>
          </w:tcPr>
          <w:p>
            <w:r>
              <w:rPr>
                <w:sz w:val="18"/>
              </w:rPr>
              <w:t>XceptionNet (Rossler et al.)</w:t>
            </w:r>
          </w:p>
        </w:tc>
        <w:tc>
          <w:tcPr>
            <w:tcW w:type="dxa" w:w="2160"/>
            <w:shd w:fill="FFFFFF"/>
          </w:tcPr>
          <w:p>
            <w:r>
              <w:rPr>
                <w:sz w:val="18"/>
              </w:rPr>
              <w:t>98.5%</w:t>
            </w:r>
          </w:p>
        </w:tc>
        <w:tc>
          <w:tcPr>
            <w:tcW w:type="dxa" w:w="2160"/>
            <w:shd w:fill="FFFFFF"/>
          </w:tcPr>
          <w:p>
            <w:r>
              <w:rPr>
                <w:sz w:val="18"/>
              </w:rPr>
              <w:t>89.3%</w:t>
            </w:r>
          </w:p>
        </w:tc>
        <w:tc>
          <w:tcPr>
            <w:tcW w:type="dxa" w:w="2160"/>
            <w:shd w:fill="FFFFFF"/>
          </w:tcPr>
          <w:p>
            <w:r>
              <w:rPr>
                <w:sz w:val="18"/>
              </w:rPr>
              <w:t>0.924</w:t>
            </w:r>
          </w:p>
        </w:tc>
      </w:tr>
      <w:tr>
        <w:tc>
          <w:tcPr>
            <w:tcW w:type="dxa" w:w="3168"/>
            <w:shd w:fill="FFFFFF"/>
          </w:tcPr>
          <w:p>
            <w:r>
              <w:rPr>
                <w:sz w:val="18"/>
              </w:rPr>
              <w:t>Face X-ray (Li et al.)</w:t>
            </w:r>
          </w:p>
        </w:tc>
        <w:tc>
          <w:tcPr>
            <w:tcW w:type="dxa" w:w="2160"/>
            <w:shd w:fill="FFFFFF"/>
          </w:tcPr>
          <w:p>
            <w:r>
              <w:rPr>
                <w:sz w:val="18"/>
              </w:rPr>
              <w:t>98.8%</w:t>
            </w:r>
          </w:p>
        </w:tc>
        <w:tc>
          <w:tcPr>
            <w:tcW w:type="dxa" w:w="2160"/>
            <w:shd w:fill="FFFFFF"/>
          </w:tcPr>
          <w:p>
            <w:r>
              <w:rPr>
                <w:sz w:val="18"/>
              </w:rPr>
              <w:t>87.4%</w:t>
            </w:r>
          </w:p>
        </w:tc>
        <w:tc>
          <w:tcPr>
            <w:tcW w:type="dxa" w:w="2160"/>
            <w:shd w:fill="FFFFFF"/>
          </w:tcPr>
          <w:p>
            <w:r>
              <w:rPr>
                <w:sz w:val="18"/>
              </w:rPr>
              <w:t>0.912</w:t>
            </w:r>
          </w:p>
        </w:tc>
      </w:tr>
      <w:tr>
        <w:tc>
          <w:tcPr>
            <w:tcW w:type="dxa" w:w="3168"/>
            <w:shd w:fill="FFFFFF"/>
          </w:tcPr>
          <w:p>
            <w:r>
              <w:rPr>
                <w:sz w:val="18"/>
              </w:rPr>
              <w:t>F3-Net (Qian et al.)</w:t>
            </w:r>
          </w:p>
        </w:tc>
        <w:tc>
          <w:tcPr>
            <w:tcW w:type="dxa" w:w="2160"/>
            <w:shd w:fill="FFFFFF"/>
          </w:tcPr>
          <w:p>
            <w:r>
              <w:rPr>
                <w:sz w:val="18"/>
              </w:rPr>
              <w:t>97.9%</w:t>
            </w:r>
          </w:p>
        </w:tc>
        <w:tc>
          <w:tcPr>
            <w:tcW w:type="dxa" w:w="2160"/>
            <w:shd w:fill="FFFFFF"/>
          </w:tcPr>
          <w:p>
            <w:r>
              <w:rPr>
                <w:sz w:val="18"/>
              </w:rPr>
              <w:t>90.4%</w:t>
            </w:r>
          </w:p>
        </w:tc>
        <w:tc>
          <w:tcPr>
            <w:tcW w:type="dxa" w:w="2160"/>
            <w:shd w:fill="FFFFFF"/>
          </w:tcPr>
          <w:p>
            <w:r>
              <w:rPr>
                <w:sz w:val="18"/>
              </w:rPr>
              <w:t>0.938</w:t>
            </w:r>
          </w:p>
        </w:tc>
      </w:tr>
      <w:tr>
        <w:tc>
          <w:tcPr>
            <w:tcW w:type="dxa" w:w="3168"/>
            <w:shd w:fill="F0F4F8"/>
          </w:tcPr>
          <w:p>
            <w:r>
              <w:rPr>
                <w:b/>
                <w:sz w:val="18"/>
              </w:rPr>
              <w:t>Proposed Dual-Stream (Target)</w:t>
            </w:r>
          </w:p>
        </w:tc>
        <w:tc>
          <w:tcPr>
            <w:tcW w:type="dxa" w:w="2160"/>
            <w:shd w:fill="F0F4F8"/>
          </w:tcPr>
          <w:p>
            <w:r>
              <w:rPr>
                <w:b/>
                <w:sz w:val="18"/>
              </w:rPr>
              <w:t>&gt;= 98.9%</w:t>
            </w:r>
          </w:p>
        </w:tc>
        <w:tc>
          <w:tcPr>
            <w:tcW w:type="dxa" w:w="2160"/>
            <w:shd w:fill="F0F4F8"/>
          </w:tcPr>
          <w:p>
            <w:r>
              <w:rPr>
                <w:b/>
                <w:sz w:val="18"/>
              </w:rPr>
              <w:t>&gt;= 94.2%</w:t>
            </w:r>
          </w:p>
        </w:tc>
        <w:tc>
          <w:tcPr>
            <w:tcW w:type="dxa" w:w="2160"/>
            <w:shd w:fill="F0F4F8"/>
          </w:tcPr>
          <w:p>
            <w:r>
              <w:rPr>
                <w:b/>
                <w:sz w:val="18"/>
              </w:rPr>
              <w:t>&gt;= 0.968</w:t>
            </w:r>
          </w:p>
        </w:tc>
      </w:tr>
    </w:tbl>
    <w:p>
      <w:pPr>
        <w:spacing w:before="160"/>
      </w:pPr>
      <w:r>
        <w:rPr>
          <w:b/>
        </w:rPr>
        <w:t>6.5 Inference Pipeline &amp; Web-Based Forensic Dashboard</w:t>
        <w:br/>
      </w:r>
      <w:r>
        <w:t>To translate the research into a functional, tangible application, the final project integrates an interactive forensic dashboard. The interface is built using FastAPI (backend inference service) and Streamlit (user frontend). Forensic examiners can upload an MP4 video, view real-time frame extraction, inspect the calculated 2D-DCT spectrum map, view Grad-CAM explainability heatmaps pinpointing forged facial regions, and download a verifiable PDF Forensic Audit Report.</w:t>
      </w:r>
    </w:p>
    <w:p>
      <w:r>
        <w:br w:type="page"/>
      </w:r>
    </w:p>
    <w:p>
      <w:r>
        <w:rPr>
          <w:b/>
          <w:color w:val="646464"/>
          <w:sz w:val="26"/>
        </w:rPr>
        <w:t>Chapter 7</w:t>
      </w:r>
    </w:p>
    <w:p>
      <w:pPr>
        <w:spacing w:after="280"/>
      </w:pPr>
      <w:r>
        <w:rPr>
          <w:b/>
          <w:color w:val="102C57"/>
          <w:sz w:val="32"/>
        </w:rPr>
        <w:t>Expected Outcomes and Real-World Applications</w:t>
      </w:r>
    </w:p>
    <w:p>
      <w:r>
        <w:rPr>
          <w:b/>
        </w:rPr>
        <w:t>7.1 Expected Project Deliverables</w:t>
        <w:br/>
      </w:r>
      <w:r>
        <w:t>Upon completion of the 10-week development cycle, the project will yield the following tangible deliverables:</w:t>
        <w:br/>
        <w:t>1. A trained PyTorch deep learning model checkpoint (.pth) encapsulating the dual-stream spatial-spectral architecture.</w:t>
        <w:br/>
        <w:t>2. A modular, documented Python codebase containing data ingestion scripts, 2D-DCT transformations, and inference utilities.</w:t>
        <w:br/>
        <w:t>3. An interactive Streamlit web dashboard providing real-time video upload, authenticity percentage gauge, and Grad-CAM interpretability visualizations.</w:t>
        <w:br/>
        <w:t>4. A comprehensive final project report conforming strictly to AKTU formatting guidelines (&gt;60 pages for B.Tech IV Year), accompanied by experimental logs and viva presentation slides.</w:t>
      </w:r>
    </w:p>
    <w:p>
      <w:r>
        <w:rPr>
          <w:b/>
        </w:rPr>
        <w:t>7.2 Real-World Industrial &amp; Forensic Applications</w:t>
        <w:br/>
      </w:r>
      <w:r>
        <w:t>The proposed technology addresses mission-critical challenges across multiple industrial sectors:</w:t>
        <w:br/>
        <w:t>• Digital Identity Verification (e-KYC): Financial institutions and fintech apps require live video verification to onboard customers. Our system protects banking portals against pre-recorded or synthetic injection attacks.</w:t>
        <w:br/>
        <w:t>• Social Media Moderation &amp; Disinformation Defense: Automated video verification pipelines for social platforms to flag synthetic news and manipulated political broadcasts.</w:t>
        <w:br/>
        <w:t>• Legal &amp; Judicial Evidence Verification: Digital forensic laboratories can inspect questioned video evidence, generating tamper heatmaps and spectral certificates for legal admissibility.</w:t>
        <w:br/>
        <w:t>• Corporate Cybersecurity &amp; Anti-Phishing: Protecting enterprises against executive voice-and-video deepfakes designed to authorize fraudulent wire transfers.</w:t>
      </w:r>
    </w:p>
    <w:p>
      <w:r>
        <w:br w:type="page"/>
      </w:r>
    </w:p>
    <w:p>
      <w:r>
        <w:rPr>
          <w:b/>
          <w:color w:val="646464"/>
          <w:sz w:val="26"/>
        </w:rPr>
        <w:t>Chapter 8</w:t>
      </w:r>
    </w:p>
    <w:p>
      <w:pPr>
        <w:spacing w:after="280"/>
      </w:pPr>
      <w:r>
        <w:rPr>
          <w:b/>
          <w:color w:val="102C57"/>
          <w:sz w:val="32"/>
        </w:rPr>
        <w:t>Tentative 10-Week Work Plan (AKTU Timeline)</w:t>
      </w:r>
    </w:p>
    <w:p>
      <w:r>
        <w:t>The implementation plan strictly conforms to the 10-week timeline specified in Section 4 of the AKTU Mini Project Guidelines. Table 8.1 details the weekly milestones and anticipated deliverables.</w:t>
      </w:r>
    </w:p>
    <w:tbl>
      <w:tblPr>
        <w:tblW w:type="auto" w:w="0"/>
        <w:jc w:val="center"/>
        <w:tblLayout w:type="fixed"/>
        <w:tblLook w:firstColumn="1" w:firstRow="1" w:lastColumn="0" w:lastRow="0" w:noHBand="0" w:noVBand="1" w:val="04A0"/>
      </w:tblPr>
      <w:tblGrid>
        <w:gridCol w:w="2770"/>
        <w:gridCol w:w="2770"/>
        <w:gridCol w:w="2770"/>
      </w:tblGrid>
      <w:tr>
        <w:tc>
          <w:tcPr>
            <w:tcW w:type="dxa" w:w="1728"/>
            <w:shd w:fill="102C57"/>
          </w:tcPr>
          <w:p>
            <w:r>
              <w:rPr>
                <w:b/>
                <w:color w:val="FFFFFF"/>
                <w:sz w:val="19"/>
              </w:rPr>
              <w:t>Timeline</w:t>
            </w:r>
          </w:p>
        </w:tc>
        <w:tc>
          <w:tcPr>
            <w:tcW w:type="dxa" w:w="3168"/>
            <w:shd w:fill="102C57"/>
          </w:tcPr>
          <w:p>
            <w:r>
              <w:rPr>
                <w:b/>
                <w:color w:val="FFFFFF"/>
                <w:sz w:val="19"/>
              </w:rPr>
              <w:t>Milestone / Phase</w:t>
            </w:r>
          </w:p>
        </w:tc>
        <w:tc>
          <w:tcPr>
            <w:tcW w:type="dxa" w:w="4752"/>
            <w:shd w:fill="102C57"/>
          </w:tcPr>
          <w:p>
            <w:r>
              <w:rPr>
                <w:b/>
                <w:color w:val="FFFFFF"/>
                <w:sz w:val="19"/>
              </w:rPr>
              <w:t>Key Technical Activities &amp; Deliverables</w:t>
            </w:r>
          </w:p>
        </w:tc>
      </w:tr>
      <w:tr>
        <w:tc>
          <w:tcPr>
            <w:tcW w:type="dxa" w:w="1728"/>
          </w:tcPr>
          <w:p>
            <w:r>
              <w:rPr>
                <w:sz w:val="17"/>
              </w:rPr>
              <w:t>Week 1</w:t>
            </w:r>
          </w:p>
        </w:tc>
        <w:tc>
          <w:tcPr>
            <w:tcW w:type="dxa" w:w="3168"/>
          </w:tcPr>
          <w:p>
            <w:r>
              <w:rPr>
                <w:sz w:val="17"/>
              </w:rPr>
              <w:t>Domain Finalisation</w:t>
            </w:r>
          </w:p>
        </w:tc>
        <w:tc>
          <w:tcPr>
            <w:tcW w:type="dxa" w:w="4752"/>
          </w:tcPr>
          <w:p>
            <w:r>
              <w:rPr>
                <w:sz w:val="17"/>
              </w:rPr>
              <w:t>Mentor allotment (Dr. Devendra Gautam), problem scope definition, preliminary literature search, title registration.</w:t>
            </w:r>
          </w:p>
        </w:tc>
      </w:tr>
      <w:tr>
        <w:tc>
          <w:tcPr>
            <w:tcW w:type="dxa" w:w="1728"/>
          </w:tcPr>
          <w:p>
            <w:r>
              <w:rPr>
                <w:sz w:val="17"/>
              </w:rPr>
              <w:t>Week 2</w:t>
            </w:r>
          </w:p>
        </w:tc>
        <w:tc>
          <w:tcPr>
            <w:tcW w:type="dxa" w:w="3168"/>
          </w:tcPr>
          <w:p>
            <w:r>
              <w:rPr>
                <w:sz w:val="17"/>
              </w:rPr>
              <w:t>Synopsis Preparation</w:t>
            </w:r>
          </w:p>
        </w:tc>
        <w:tc>
          <w:tcPr>
            <w:tcW w:type="dxa" w:w="4752"/>
          </w:tcPr>
          <w:p>
            <w:r>
              <w:rPr>
                <w:sz w:val="17"/>
              </w:rPr>
              <w:t>Preparation and submission of the formal project synopsis in prescribed institutional format.</w:t>
            </w:r>
          </w:p>
        </w:tc>
      </w:tr>
      <w:tr>
        <w:tc>
          <w:tcPr>
            <w:tcW w:type="dxa" w:w="1728"/>
          </w:tcPr>
          <w:p>
            <w:r>
              <w:rPr>
                <w:b/>
                <w:sz w:val="17"/>
              </w:rPr>
              <w:t>Week 3</w:t>
            </w:r>
          </w:p>
        </w:tc>
        <w:tc>
          <w:tcPr>
            <w:tcW w:type="dxa" w:w="3168"/>
          </w:tcPr>
          <w:p>
            <w:r>
              <w:rPr>
                <w:b/>
                <w:sz w:val="17"/>
              </w:rPr>
              <w:t>Synopsis Review &amp; Approval</w:t>
            </w:r>
          </w:p>
        </w:tc>
        <w:tc>
          <w:tcPr>
            <w:tcW w:type="dxa" w:w="4752"/>
          </w:tcPr>
          <w:p>
            <w:r>
              <w:rPr>
                <w:b/>
                <w:sz w:val="17"/>
              </w:rPr>
              <w:t>Formal review before mentor; presentation of methodology and locking in the Department Title Register.</w:t>
            </w:r>
          </w:p>
        </w:tc>
      </w:tr>
      <w:tr>
        <w:tc>
          <w:tcPr>
            <w:tcW w:type="dxa" w:w="1728"/>
          </w:tcPr>
          <w:p>
            <w:r>
              <w:rPr>
                <w:sz w:val="17"/>
              </w:rPr>
              <w:t>Week 4</w:t>
            </w:r>
          </w:p>
        </w:tc>
        <w:tc>
          <w:tcPr>
            <w:tcW w:type="dxa" w:w="3168"/>
          </w:tcPr>
          <w:p>
            <w:r>
              <w:rPr>
                <w:sz w:val="17"/>
              </w:rPr>
              <w:t>Requirement Analysis &amp; Design</w:t>
            </w:r>
          </w:p>
        </w:tc>
        <w:tc>
          <w:tcPr>
            <w:tcW w:type="dxa" w:w="4752"/>
          </w:tcPr>
          <w:p>
            <w:r>
              <w:rPr>
                <w:sz w:val="17"/>
              </w:rPr>
              <w:t>Mathematical formulation of 2D-DCT algorithm; system architecture design (UML, DFD); toolstack finalization.</w:t>
            </w:r>
          </w:p>
        </w:tc>
      </w:tr>
      <w:tr>
        <w:tc>
          <w:tcPr>
            <w:tcW w:type="dxa" w:w="1728"/>
          </w:tcPr>
          <w:p>
            <w:r>
              <w:rPr>
                <w:sz w:val="17"/>
              </w:rPr>
              <w:t>Week 5</w:t>
            </w:r>
          </w:p>
        </w:tc>
        <w:tc>
          <w:tcPr>
            <w:tcW w:type="dxa" w:w="3168"/>
          </w:tcPr>
          <w:p>
            <w:r>
              <w:rPr>
                <w:sz w:val="17"/>
              </w:rPr>
              <w:t>Implementation – Phase I</w:t>
            </w:r>
          </w:p>
        </w:tc>
        <w:tc>
          <w:tcPr>
            <w:tcW w:type="dxa" w:w="4752"/>
          </w:tcPr>
          <w:p>
            <w:r>
              <w:rPr>
                <w:sz w:val="17"/>
              </w:rPr>
              <w:t>FaceForensics++ dataset curation; video frame extraction pipeline; MTCNN face cropping; logbook signing.</w:t>
            </w:r>
          </w:p>
        </w:tc>
      </w:tr>
      <w:tr>
        <w:tc>
          <w:tcPr>
            <w:tcW w:type="dxa" w:w="1728"/>
          </w:tcPr>
          <w:p>
            <w:r>
              <w:rPr>
                <w:b/>
                <w:sz w:val="17"/>
              </w:rPr>
              <w:t>Week 6</w:t>
            </w:r>
          </w:p>
        </w:tc>
        <w:tc>
          <w:tcPr>
            <w:tcW w:type="dxa" w:w="3168"/>
          </w:tcPr>
          <w:p>
            <w:r>
              <w:rPr>
                <w:b/>
                <w:sz w:val="17"/>
              </w:rPr>
              <w:t>Mid-Term Progress Review</w:t>
            </w:r>
          </w:p>
        </w:tc>
        <w:tc>
          <w:tcPr>
            <w:tcW w:type="dxa" w:w="4752"/>
          </w:tcPr>
          <w:p>
            <w:r>
              <w:rPr>
                <w:b/>
                <w:sz w:val="17"/>
              </w:rPr>
              <w:t>Formal mid-term evaluation (&gt;=30% completion): demonstration of spatial EfficientNet pipeline and initial validation.</w:t>
            </w:r>
          </w:p>
        </w:tc>
      </w:tr>
      <w:tr>
        <w:tc>
          <w:tcPr>
            <w:tcW w:type="dxa" w:w="1728"/>
          </w:tcPr>
          <w:p>
            <w:r>
              <w:rPr>
                <w:sz w:val="17"/>
              </w:rPr>
              <w:t>Week 7</w:t>
            </w:r>
          </w:p>
        </w:tc>
        <w:tc>
          <w:tcPr>
            <w:tcW w:type="dxa" w:w="3168"/>
          </w:tcPr>
          <w:p>
            <w:r>
              <w:rPr>
                <w:sz w:val="17"/>
              </w:rPr>
              <w:t>Implementation – Phase II</w:t>
            </w:r>
          </w:p>
        </w:tc>
        <w:tc>
          <w:tcPr>
            <w:tcW w:type="dxa" w:w="4752"/>
          </w:tcPr>
          <w:p>
            <w:r>
              <w:rPr>
                <w:sz w:val="17"/>
              </w:rPr>
              <w:t>Implementation of 2D-DCT spectral transformation module; bilinear cross-attention fusion network; model training.</w:t>
            </w:r>
          </w:p>
        </w:tc>
      </w:tr>
      <w:tr>
        <w:tc>
          <w:tcPr>
            <w:tcW w:type="dxa" w:w="1728"/>
          </w:tcPr>
          <w:p>
            <w:r>
              <w:rPr>
                <w:sz w:val="17"/>
              </w:rPr>
              <w:t>Week 8</w:t>
            </w:r>
          </w:p>
        </w:tc>
        <w:tc>
          <w:tcPr>
            <w:tcW w:type="dxa" w:w="3168"/>
          </w:tcPr>
          <w:p>
            <w:r>
              <w:rPr>
                <w:sz w:val="17"/>
              </w:rPr>
              <w:t>Integration &amp; System Testing</w:t>
            </w:r>
          </w:p>
        </w:tc>
        <w:tc>
          <w:tcPr>
            <w:tcW w:type="dxa" w:w="4752"/>
          </w:tcPr>
          <w:p>
            <w:r>
              <w:rPr>
                <w:sz w:val="17"/>
              </w:rPr>
              <w:t>End-to-end pipeline integration; Streamlit dashboard development; cross-dataset evaluation on Celeb-DF; bug fixing.</w:t>
            </w:r>
          </w:p>
        </w:tc>
      </w:tr>
      <w:tr>
        <w:tc>
          <w:tcPr>
            <w:tcW w:type="dxa" w:w="1728"/>
          </w:tcPr>
          <w:p>
            <w:r>
              <w:rPr>
                <w:sz w:val="17"/>
              </w:rPr>
              <w:t>Week 9</w:t>
            </w:r>
          </w:p>
        </w:tc>
        <w:tc>
          <w:tcPr>
            <w:tcW w:type="dxa" w:w="3168"/>
          </w:tcPr>
          <w:p>
            <w:r>
              <w:rPr>
                <w:sz w:val="17"/>
              </w:rPr>
              <w:t>Report Writing &amp; Plagiarism Check</w:t>
            </w:r>
          </w:p>
        </w:tc>
        <w:tc>
          <w:tcPr>
            <w:tcW w:type="dxa" w:w="4752"/>
          </w:tcPr>
          <w:p>
            <w:r>
              <w:rPr>
                <w:sz w:val="17"/>
              </w:rPr>
              <w:t>Drafting complete 60+ page project report; plagiarism verification (Turnitin similarity &lt; 20%); mentor correction.</w:t>
            </w:r>
          </w:p>
        </w:tc>
      </w:tr>
      <w:tr>
        <w:tc>
          <w:tcPr>
            <w:tcW w:type="dxa" w:w="1728"/>
          </w:tcPr>
          <w:p>
            <w:r>
              <w:rPr>
                <w:b/>
                <w:sz w:val="17"/>
              </w:rPr>
              <w:t>Week 10</w:t>
            </w:r>
          </w:p>
        </w:tc>
        <w:tc>
          <w:tcPr>
            <w:tcW w:type="dxa" w:w="3168"/>
          </w:tcPr>
          <w:p>
            <w:r>
              <w:rPr>
                <w:b/>
                <w:sz w:val="17"/>
              </w:rPr>
              <w:t>Final Submission &amp; Viva-Voce</w:t>
            </w:r>
          </w:p>
        </w:tc>
        <w:tc>
          <w:tcPr>
            <w:tcW w:type="dxa" w:w="4752"/>
          </w:tcPr>
          <w:p>
            <w:r>
              <w:rPr>
                <w:b/>
                <w:sz w:val="17"/>
              </w:rPr>
              <w:t>Final report binding; source code GitHub packaging; live project demonstration and defense before external panel.</w:t>
            </w:r>
          </w:p>
        </w:tc>
      </w:tr>
    </w:tbl>
    <w:p>
      <w:r>
        <w:br w:type="page"/>
      </w:r>
    </w:p>
    <w:p>
      <w:r>
        <w:rPr>
          <w:b/>
          <w:color w:val="646464"/>
          <w:sz w:val="26"/>
        </w:rPr>
        <w:t>Chapter 9</w:t>
      </w:r>
    </w:p>
    <w:p>
      <w:pPr>
        <w:spacing w:after="280"/>
      </w:pPr>
      <w:r>
        <w:rPr>
          <w:b/>
          <w:color w:val="102C57"/>
          <w:sz w:val="32"/>
        </w:rPr>
        <w:t>Conclusion and Future Scope</w:t>
      </w:r>
    </w:p>
    <w:p>
      <w:r>
        <w:rPr>
          <w:b/>
        </w:rPr>
        <w:t>9.1 Conclusion</w:t>
        <w:br/>
      </w:r>
      <w:r>
        <w:t>This synopsis establishes a comprehensive design and methodology for a Dual-Stream Spatial and Frequency-Domain Deepfake Video Detection Framework. By systematically addressing the fatal vulnerability of spatial-only models—their severe degradation under real-world video compression—the proposed system combines the representational power of EfficientNet-B4 with the mathematical invariance of 2D Discrete Cosine Transform (DCT) spectral analysis. The mathematical modeling of upsampling artifacts, paired with attention-guided bilinear feature fusion, establishes an advanced forensic defense against current and emerging generative manipulation techniques. The proposed 10-week execution roadmap ensures timely fulfillment of all AKTU academic guidelines, culminating in a fully functional, explainable forensic inspection platform.</w:t>
      </w:r>
    </w:p>
    <w:p>
      <w:r>
        <w:rPr>
          <w:b/>
        </w:rPr>
        <w:t>9.2 Future Scope</w:t>
        <w:br/>
      </w:r>
      <w:r>
        <w:t>The proposed project provides a strong technological foundation that can be extended in subsequent research phases:</w:t>
        <w:br/>
        <w:t>1. Audio-Visual Multimodal Synchronization: Integrating audio spectral prosody analysis (using Whisper or wav2vec) to detect lip-sync discrepancies.</w:t>
        <w:br/>
        <w:t>2. Temporal Transformer Modeling: Augmenting the frame-level classifier with a TimeSformer or Video Transformer to capture subtle temporal blinking rhythms across video sequences.</w:t>
        <w:br/>
        <w:t>3. Edge Deployment &amp; Optimization: Quantizing the dual-stream model via ONNX Runtime and TensorRT for low-power edge deployment on smartphones and biometric verification kiosks.</w:t>
        <w:br/>
        <w:t>4. Zero-Shot Diffusion Forensics: Extending spectral artifact modeling to identify synthetic media produced by modern text-to-video diffusion architectures (e.g., Sora, Gen-2).</w:t>
      </w:r>
    </w:p>
    <w:p>
      <w:r>
        <w:br w:type="page"/>
      </w:r>
    </w:p>
    <w:p>
      <w:pPr>
        <w:spacing w:after="360"/>
      </w:pPr>
      <w:r>
        <w:rPr>
          <w:rFonts w:ascii="Times New Roman" w:hAnsi="Times New Roman"/>
          <w:b/>
          <w:color w:val="102C57"/>
          <w:sz w:val="32"/>
        </w:rPr>
        <w:t>References</w:t>
      </w:r>
    </w:p>
    <w:p>
      <w:pPr>
        <w:spacing w:line="312" w:lineRule="auto" w:after="120"/>
      </w:pPr>
      <w:r>
        <w:rPr>
          <w:rFonts w:ascii="Times New Roman" w:hAnsi="Times New Roman"/>
          <w:sz w:val="20"/>
        </w:rPr>
        <w:t>1. Rossler, A., Cozzolino, D., Verdoliva, L., Riess, C., Thies, J., and Niessner, M., “FaceForensics++: Learning to Detect Manipulated Facial Images,” Proceedings of the IEEE/CVF International Conference on Computer Vision (ICCV), pp. 1-11, 2019.</w:t>
      </w:r>
    </w:p>
    <w:p>
      <w:pPr>
        <w:spacing w:line="312" w:lineRule="auto" w:after="120"/>
      </w:pPr>
      <w:r>
        <w:rPr>
          <w:rFonts w:ascii="Times New Roman" w:hAnsi="Times New Roman"/>
          <w:sz w:val="20"/>
        </w:rPr>
        <w:t>2. Frank, J., Eisenhofer, T., Schonherr, L., Fischer, A., Kolossa, D., and Holz, T., “Leveraging Frequency Analysis for Deep Fake Image Recognition,” Proceedings of the 37th International Conference on Machine Learning (ICML), PMLR, vol. 119, pp. 3247-3258, 2020.</w:t>
      </w:r>
    </w:p>
    <w:p>
      <w:pPr>
        <w:spacing w:line="312" w:lineRule="auto" w:after="120"/>
      </w:pPr>
      <w:r>
        <w:rPr>
          <w:rFonts w:ascii="Times New Roman" w:hAnsi="Times New Roman"/>
          <w:sz w:val="20"/>
        </w:rPr>
        <w:t>3. Tan, M., and Le, Q. V., “EfficientNet: Rethinking Model Scaling for Convolutional Neural Networks,” Proceedings of the 36th International Conference on Machine Learning (ICML), PMLR, vol. 97, pp. 6105-6114, 2019.</w:t>
      </w:r>
    </w:p>
    <w:p>
      <w:pPr>
        <w:spacing w:line="312" w:lineRule="auto" w:after="120"/>
      </w:pPr>
      <w:r>
        <w:rPr>
          <w:rFonts w:ascii="Times New Roman" w:hAnsi="Times New Roman"/>
          <w:sz w:val="20"/>
        </w:rPr>
        <w:t>4. Qian, Y., Yin, G., Sheng, L., Chen, Z., and Shao, J., “Thinking in Frequency: Face Forgery Detection by Mining Frequency-aware Clues,” Proceedings of the European Conference on Computer Vision (ECCV), Springer, pp. 86-103, 2020.</w:t>
      </w:r>
    </w:p>
    <w:p>
      <w:pPr>
        <w:spacing w:line="312" w:lineRule="auto" w:after="120"/>
      </w:pPr>
      <w:r>
        <w:rPr>
          <w:rFonts w:ascii="Times New Roman" w:hAnsi="Times New Roman"/>
          <w:sz w:val="20"/>
        </w:rPr>
        <w:t>5. Li, Y., Yang, X., Sun, P., Qi, H., and Lyu, S., “Celeb-DF: A Large-scale Challenging Dataset for DeepFake Forensics,” Proceedings of the IEEE/CVF Conference on Computer Vision and Pattern Recognition (CVPR), pp. 3207-3216, 2020.</w:t>
      </w:r>
    </w:p>
    <w:p>
      <w:pPr>
        <w:spacing w:line="312" w:lineRule="auto" w:after="120"/>
      </w:pPr>
      <w:r>
        <w:rPr>
          <w:rFonts w:ascii="Times New Roman" w:hAnsi="Times New Roman"/>
          <w:sz w:val="20"/>
        </w:rPr>
        <w:t>6. Afchar, D., Nozick, V., Yamagishi, J., and Echizen, I., “MesoNet: a Compact Facial Video Forgery Detection Network,” IEEE International Workshop on Information Forensics and Security (WIFS), pp. 1-7, 2018.</w:t>
      </w:r>
    </w:p>
    <w:p>
      <w:pPr>
        <w:spacing w:line="312" w:lineRule="auto" w:after="120"/>
      </w:pPr>
      <w:r>
        <w:rPr>
          <w:rFonts w:ascii="Times New Roman" w:hAnsi="Times New Roman"/>
          <w:sz w:val="20"/>
        </w:rPr>
        <w:t>7. Durall, R., Keuper, M., and Keuper, J., “Watch your Up-Convolution: CNN Based Generative Deep Neural Networks are Failing to Reproduce Spectral Distributions,” Proceedings of the IEEE/CVF Conference on Computer Vision and Pattern Recognition (CVPR), pp. 7890-7899, 2020.</w:t>
      </w:r>
    </w:p>
    <w:p>
      <w:pPr>
        <w:spacing w:line="312" w:lineRule="auto" w:after="120"/>
      </w:pPr>
      <w:r>
        <w:rPr>
          <w:rFonts w:ascii="Times New Roman" w:hAnsi="Times New Roman"/>
          <w:sz w:val="20"/>
        </w:rPr>
        <w:t>8. Loshchilov, I., and Hutter, F., “Decoupled Weight Decay Regularization,” International Conference on Learning Representations (ICLR), pp. 1-10, 2019.</w:t>
      </w:r>
    </w:p>
    <w:p>
      <w:pPr>
        <w:spacing w:line="312" w:lineRule="auto" w:after="120"/>
      </w:pPr>
      <w:r>
        <w:rPr>
          <w:rFonts w:ascii="Times New Roman" w:hAnsi="Times New Roman"/>
          <w:sz w:val="20"/>
        </w:rPr>
        <w:t>9. Selvaraju, R. R., Cogswell, M., Das, A., Vedaldi, A., Parikh, D., and Batra, D., “Grad-CAM: Visual Explanations from Deep Networks via Gradient-Based Localization,” International Journal of Computer Vision (IJCV), vol. 128, no. 2, pp. 336-359, 2020.</w:t>
      </w:r>
    </w:p>
    <w:p>
      <w:pPr>
        <w:spacing w:line="312" w:lineRule="auto" w:after="120"/>
      </w:pPr>
      <w:r>
        <w:rPr>
          <w:rFonts w:ascii="Times New Roman" w:hAnsi="Times New Roman"/>
          <w:sz w:val="20"/>
        </w:rPr>
        <w:t>10. Zhang, K., Zhang, Z., Li, Z., and Qiao, Y., “Joint Face Detection and Alignment Using Multitask Cascaded Convolutional Networks,” IEEE Signal Processing Letters, vol. 23, no. 10, pp. 1499-1503, 2016.</w:t>
      </w:r>
    </w:p>
    <w:p>
      <w:r>
        <w:br w:type="page"/>
      </w:r>
    </w:p>
    <w:p>
      <w:pPr>
        <w:spacing w:after="360"/>
      </w:pPr>
      <w:r>
        <w:rPr>
          <w:rFonts w:ascii="Times New Roman" w:hAnsi="Times New Roman"/>
          <w:b/>
          <w:color w:val="102C57"/>
          <w:sz w:val="32"/>
        </w:rPr>
        <w:t>Student &amp; Guide Information Summary</w:t>
      </w:r>
    </w:p>
    <w:tbl>
      <w:tblPr>
        <w:tblW w:type="auto" w:w="0"/>
        <w:jc w:val="center"/>
        <w:tblLayout w:type="fixed"/>
        <w:tblLook w:firstColumn="1" w:firstRow="1" w:lastColumn="0" w:lastRow="0" w:noHBand="0" w:noVBand="1" w:val="04A0"/>
      </w:tblPr>
      <w:tblGrid>
        <w:gridCol w:w="3600"/>
        <w:gridCol w:w="6048"/>
      </w:tblGrid>
      <w:tr>
        <w:tc>
          <w:tcPr>
            <w:tcW w:type="dxa" w:w="3600"/>
          </w:tcPr>
          <w:p>
            <w:pPr>
              <w:spacing w:after="80"/>
            </w:pPr>
            <w:r>
              <w:rPr>
                <w:b/>
                <w:sz w:val="20"/>
              </w:rPr>
              <w:t>Student Full Name</w:t>
            </w:r>
          </w:p>
        </w:tc>
        <w:tc>
          <w:tcPr>
            <w:tcW w:type="dxa" w:w="6048"/>
          </w:tcPr>
          <w:p>
            <w:pPr>
              <w:spacing w:after="80"/>
            </w:pPr>
            <w:r>
              <w:rPr>
                <w:sz w:val="20"/>
              </w:rPr>
              <w:t>Dev Rana Kaila</w:t>
            </w:r>
          </w:p>
        </w:tc>
      </w:tr>
      <w:tr>
        <w:tc>
          <w:tcPr>
            <w:tcW w:type="dxa" w:w="3600"/>
          </w:tcPr>
          <w:p>
            <w:pPr>
              <w:spacing w:after="80"/>
            </w:pPr>
            <w:r>
              <w:rPr>
                <w:b/>
                <w:sz w:val="20"/>
              </w:rPr>
              <w:t>University Enrollment / Roll No.</w:t>
            </w:r>
          </w:p>
        </w:tc>
        <w:tc>
          <w:tcPr>
            <w:tcW w:type="dxa" w:w="6048"/>
          </w:tcPr>
          <w:p>
            <w:pPr>
              <w:spacing w:after="80"/>
            </w:pPr>
            <w:r>
              <w:rPr>
                <w:sz w:val="20"/>
              </w:rPr>
              <w:t>2301531530023</w:t>
            </w:r>
          </w:p>
        </w:tc>
      </w:tr>
      <w:tr>
        <w:tc>
          <w:tcPr>
            <w:tcW w:type="dxa" w:w="3600"/>
          </w:tcPr>
          <w:p>
            <w:pPr>
              <w:spacing w:after="80"/>
            </w:pPr>
            <w:r>
              <w:rPr>
                <w:b/>
                <w:sz w:val="20"/>
              </w:rPr>
              <w:t>Degree &amp; Branch</w:t>
            </w:r>
          </w:p>
        </w:tc>
        <w:tc>
          <w:tcPr>
            <w:tcW w:type="dxa" w:w="6048"/>
          </w:tcPr>
          <w:p>
            <w:pPr>
              <w:spacing w:after="80"/>
            </w:pPr>
            <w:r>
              <w:rPr>
                <w:sz w:val="20"/>
              </w:rPr>
              <w:t>B.Tech in Computer Science &amp; Engineering (AIML)</w:t>
            </w:r>
          </w:p>
        </w:tc>
      </w:tr>
      <w:tr>
        <w:tc>
          <w:tcPr>
            <w:tcW w:type="dxa" w:w="3600"/>
          </w:tcPr>
          <w:p>
            <w:pPr>
              <w:spacing w:after="80"/>
            </w:pPr>
            <w:r>
              <w:rPr>
                <w:b/>
                <w:sz w:val="20"/>
              </w:rPr>
              <w:t>Current Semester &amp; Year</w:t>
            </w:r>
          </w:p>
        </w:tc>
        <w:tc>
          <w:tcPr>
            <w:tcW w:type="dxa" w:w="6048"/>
          </w:tcPr>
          <w:p>
            <w:pPr>
              <w:spacing w:after="80"/>
            </w:pPr>
            <w:r>
              <w:rPr>
                <w:sz w:val="20"/>
              </w:rPr>
              <w:t>Semester VII (Final Year, 4th Year)</w:t>
            </w:r>
          </w:p>
        </w:tc>
      </w:tr>
      <w:tr>
        <w:tc>
          <w:tcPr>
            <w:tcW w:type="dxa" w:w="3600"/>
          </w:tcPr>
          <w:p>
            <w:pPr>
              <w:spacing w:after="80"/>
            </w:pPr>
            <w:r>
              <w:rPr>
                <w:b/>
                <w:sz w:val="20"/>
              </w:rPr>
              <w:t>Academic Institution</w:t>
            </w:r>
          </w:p>
        </w:tc>
        <w:tc>
          <w:tcPr>
            <w:tcW w:type="dxa" w:w="6048"/>
          </w:tcPr>
          <w:p>
            <w:pPr>
              <w:spacing w:after="80"/>
            </w:pPr>
            <w:r>
              <w:rPr>
                <w:sz w:val="20"/>
              </w:rPr>
              <w:t>Lloyd Institute of Engineering &amp; Technology, Greater Noida</w:t>
            </w:r>
          </w:p>
        </w:tc>
      </w:tr>
      <w:tr>
        <w:tc>
          <w:tcPr>
            <w:tcW w:type="dxa" w:w="3600"/>
          </w:tcPr>
          <w:p>
            <w:pPr>
              <w:spacing w:after="80"/>
            </w:pPr>
            <w:r>
              <w:rPr>
                <w:b/>
                <w:sz w:val="20"/>
              </w:rPr>
              <w:t>Affiliating University</w:t>
            </w:r>
          </w:p>
        </w:tc>
        <w:tc>
          <w:tcPr>
            <w:tcW w:type="dxa" w:w="6048"/>
          </w:tcPr>
          <w:p>
            <w:pPr>
              <w:spacing w:after="80"/>
            </w:pPr>
            <w:r>
              <w:rPr>
                <w:sz w:val="20"/>
              </w:rPr>
              <w:t>Dr. A.P.J. Abdul Kalam Technical University (AKTU), Lucknow</w:t>
            </w:r>
          </w:p>
        </w:tc>
      </w:tr>
      <w:tr>
        <w:tc>
          <w:tcPr>
            <w:tcW w:type="dxa" w:w="3600"/>
          </w:tcPr>
          <w:p>
            <w:pPr>
              <w:spacing w:after="80"/>
            </w:pPr>
            <w:r>
              <w:rPr>
                <w:b/>
                <w:sz w:val="20"/>
              </w:rPr>
              <w:t>Department</w:t>
            </w:r>
          </w:p>
        </w:tc>
        <w:tc>
          <w:tcPr>
            <w:tcW w:type="dxa" w:w="6048"/>
          </w:tcPr>
          <w:p>
            <w:pPr>
              <w:spacing w:after="80"/>
            </w:pPr>
            <w:r>
              <w:rPr>
                <w:sz w:val="20"/>
              </w:rPr>
              <w:t>Department of Computer Science &amp; Engineering &amp; Allied Branches</w:t>
            </w:r>
          </w:p>
        </w:tc>
      </w:tr>
      <w:tr>
        <w:tc>
          <w:tcPr>
            <w:tcW w:type="dxa" w:w="3600"/>
          </w:tcPr>
          <w:p>
            <w:pPr>
              <w:spacing w:after="80"/>
            </w:pPr>
            <w:r>
              <w:rPr>
                <w:b/>
                <w:sz w:val="20"/>
              </w:rPr>
              <w:t>Project Guide / Supervisor</w:t>
            </w:r>
          </w:p>
        </w:tc>
        <w:tc>
          <w:tcPr>
            <w:tcW w:type="dxa" w:w="6048"/>
          </w:tcPr>
          <w:p>
            <w:pPr>
              <w:spacing w:after="80"/>
            </w:pPr>
            <w:r>
              <w:rPr>
                <w:sz w:val="20"/>
              </w:rPr>
              <w:t>Dr. Devendra Gautam (Associate Professor)</w:t>
            </w:r>
          </w:p>
        </w:tc>
      </w:tr>
      <w:tr>
        <w:tc>
          <w:tcPr>
            <w:tcW w:type="dxa" w:w="3600"/>
          </w:tcPr>
          <w:p>
            <w:pPr>
              <w:spacing w:after="80"/>
            </w:pPr>
            <w:r>
              <w:rPr>
                <w:b/>
                <w:sz w:val="20"/>
              </w:rPr>
              <w:t>Guide's Administrative Role</w:t>
            </w:r>
          </w:p>
        </w:tc>
        <w:tc>
          <w:tcPr>
            <w:tcW w:type="dxa" w:w="6048"/>
          </w:tcPr>
          <w:p>
            <w:pPr>
              <w:spacing w:after="80"/>
            </w:pPr>
            <w:r>
              <w:rPr>
                <w:sz w:val="20"/>
              </w:rPr>
              <w:t>Mini Project / Internship Coordinator</w:t>
            </w:r>
          </w:p>
        </w:tc>
      </w:tr>
      <w:tr>
        <w:tc>
          <w:tcPr>
            <w:tcW w:type="dxa" w:w="3600"/>
          </w:tcPr>
          <w:p>
            <w:pPr>
              <w:spacing w:after="80"/>
            </w:pPr>
            <w:r>
              <w:rPr>
                <w:b/>
                <w:sz w:val="20"/>
              </w:rPr>
              <w:t>Project Title</w:t>
            </w:r>
          </w:p>
        </w:tc>
        <w:tc>
          <w:tcPr>
            <w:tcW w:type="dxa" w:w="6048"/>
          </w:tcPr>
          <w:p>
            <w:pPr>
              <w:spacing w:after="80"/>
            </w:pPr>
            <w:r>
              <w:rPr>
                <w:sz w:val="20"/>
              </w:rPr>
              <w:t>Dual-Stream Spatial and Frequency-Domain Deepfake Video Detection using EfficientNet and Discrete Cosine Transform (DCT)</w:t>
            </w:r>
          </w:p>
        </w:tc>
      </w:tr>
      <w:tr>
        <w:tc>
          <w:tcPr>
            <w:tcW w:type="dxa" w:w="3600"/>
          </w:tcPr>
          <w:p>
            <w:pPr>
              <w:spacing w:after="80"/>
            </w:pPr>
            <w:r>
              <w:rPr>
                <w:b/>
                <w:sz w:val="20"/>
              </w:rPr>
              <w:t>Academic Session</w:t>
            </w:r>
          </w:p>
        </w:tc>
        <w:tc>
          <w:tcPr>
            <w:tcW w:type="dxa" w:w="6048"/>
          </w:tcPr>
          <w:p>
            <w:pPr>
              <w:spacing w:after="80"/>
            </w:pPr>
            <w:r>
              <w:rPr>
                <w:sz w:val="20"/>
              </w:rPr>
              <w:t>2026–2027</w:t>
            </w:r>
          </w:p>
        </w:tc>
      </w:tr>
      <w:tr>
        <w:tc>
          <w:tcPr>
            <w:tcW w:type="dxa" w:w="3600"/>
          </w:tcPr>
          <w:p>
            <w:pPr>
              <w:spacing w:after="80"/>
            </w:pPr>
            <w:r>
              <w:rPr>
                <w:b/>
                <w:sz w:val="20"/>
              </w:rPr>
              <w:t>Evaluation Track</w:t>
            </w:r>
          </w:p>
        </w:tc>
        <w:tc>
          <w:tcPr>
            <w:tcW w:type="dxa" w:w="6048"/>
          </w:tcPr>
          <w:p>
            <w:pPr>
              <w:spacing w:after="80"/>
            </w:pPr>
            <w:r>
              <w:rPr>
                <w:sz w:val="20"/>
              </w:rPr>
              <w:t>Mini Project / Major Project–I (100-Mark AKTU Scheme)</w:t>
            </w:r>
          </w:p>
        </w:tc>
      </w:tr>
    </w:tbl>
    <w:p>
      <w:pPr>
        <w:spacing w:before="1200"/>
      </w:pPr>
    </w:p>
    <w:tbl>
      <w:tblPr>
        <w:tblW w:type="auto" w:w="0"/>
        <w:jc w:val="center"/>
        <w:tblLook w:firstColumn="1" w:firstRow="1" w:lastColumn="0" w:lastRow="0" w:noHBand="0" w:noVBand="1" w:val="04A0"/>
      </w:tblPr>
      <w:tblGrid>
        <w:gridCol w:w="4752"/>
        <w:gridCol w:w="4752"/>
      </w:tblGrid>
      <w:tr>
        <w:tc>
          <w:tcPr>
            <w:tcW w:type="dxa" w:w="4154"/>
          </w:tcPr>
          <w:p>
            <w:r>
              <w:rPr>
                <w:b/>
              </w:rPr>
              <w:t>________________________________</w:t>
              <w:br/>
            </w:r>
            <w:r>
              <w:t>Student Signature</w:t>
              <w:br/>
              <w:t>(Dev Rana Kaila)</w:t>
            </w:r>
          </w:p>
        </w:tc>
        <w:tc>
          <w:tcPr>
            <w:tcW w:type="dxa" w:w="4154"/>
          </w:tcPr>
          <w:p>
            <w:pPr>
              <w:jc w:val="right"/>
            </w:pPr>
            <w:r>
              <w:rPr>
                <w:b/>
              </w:rPr>
              <w:t>________________________________</w:t>
              <w:br/>
            </w:r>
            <w:r>
              <w:t>Project Guide Signature</w:t>
              <w:br/>
              <w:t>(Dr. Devendra Gautam)</w:t>
            </w:r>
          </w:p>
        </w:tc>
      </w:tr>
    </w:tbl>
    <w:sectPr w:rsidR="00FC693F" w:rsidRPr="0006063C" w:rsidSect="00034616">
      <w:headerReference w:type="default" r:id="rId9"/>
      <w:footerReference w:type="default" r:id="rId10"/>
      <w:pgSz w:w="11909" w:h="16834"/>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7"/>
      </w:rPr>
      <w:t>Department of CSE (AIML), Lloyd Institute of Engineering &amp; Technology, Greater Noida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Dual-Stream Deepfake Video Detection | B.Tech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